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FB85C">
      <w:pPr>
        <w:spacing w:line="560" w:lineRule="exact"/>
        <w:jc w:val="center"/>
        <w:outlineLvl w:val="0"/>
        <w:rPr>
          <w:rFonts w:ascii="方正小标宋简体" w:hAnsi="方正小标宋简体" w:eastAsia="方正小标宋简体" w:cs="方正小标宋简体"/>
          <w:sz w:val="44"/>
          <w:szCs w:val="44"/>
        </w:rPr>
      </w:pPr>
      <w:bookmarkStart w:id="0" w:name="_Toc76683363"/>
      <w:bookmarkStart w:id="1" w:name="_Toc27865"/>
      <w:r>
        <w:rPr>
          <w:rFonts w:hint="eastAsia" w:ascii="方正小标宋简体" w:hAnsi="方正小标宋简体" w:eastAsia="方正小标宋简体" w:cs="方正小标宋简体"/>
          <w:bCs/>
          <w:sz w:val="44"/>
          <w:szCs w:val="44"/>
        </w:rPr>
        <w:t>滦州市市场监督管理局</w:t>
      </w:r>
      <w:bookmarkEnd w:id="0"/>
      <w:bookmarkEnd w:id="1"/>
    </w:p>
    <w:p w14:paraId="6B38B8C7">
      <w:pPr>
        <w:spacing w:line="560" w:lineRule="exact"/>
        <w:jc w:val="center"/>
        <w:outlineLvl w:val="0"/>
        <w:rPr>
          <w:rFonts w:ascii="Times New Roman" w:hAnsi="Times New Roman" w:eastAsia="方正小标宋简体" w:cs="Mongolian Baiti"/>
          <w:bCs/>
          <w:color w:val="000000"/>
          <w:sz w:val="44"/>
          <w:szCs w:val="44"/>
        </w:rPr>
      </w:pPr>
      <w:bookmarkStart w:id="2" w:name="_Toc76683364"/>
      <w:r>
        <w:rPr>
          <w:rFonts w:ascii="Times New Roman" w:hAnsi="Mongolian Baiti" w:eastAsia="方正小标宋简体" w:cs="Mongolian Baiti"/>
          <w:bCs/>
          <w:color w:val="000000"/>
          <w:sz w:val="44"/>
          <w:szCs w:val="44"/>
        </w:rPr>
        <w:t>行政处罚决定书</w:t>
      </w:r>
      <w:bookmarkEnd w:id="2"/>
    </w:p>
    <w:p w14:paraId="427EC56F">
      <w:pPr>
        <w:widowControl/>
        <w:snapToGrid w:val="0"/>
        <w:spacing w:line="520" w:lineRule="exact"/>
        <w:ind w:right="55"/>
        <w:jc w:val="center"/>
        <w:rPr>
          <w:rFonts w:ascii="Times New Roman" w:hAnsi="Times New Roman" w:eastAsia="仿宋_GB2312" w:cs="Mongolian Baiti"/>
          <w:color w:val="000000"/>
          <w:sz w:val="32"/>
          <w:szCs w:val="32"/>
        </w:rPr>
      </w:pPr>
      <w:bookmarkStart w:id="3" w:name="_GoBack"/>
      <w:r>
        <w:rPr>
          <w:rFonts w:hint="eastAsia" w:ascii="Times New Roman" w:hAnsi="Times New Roman" w:eastAsia="仿宋_GB2312" w:cs="Mongolian Baiti"/>
          <w:color w:val="000000"/>
          <w:sz w:val="32"/>
          <w:szCs w:val="32"/>
          <w:u w:val="single"/>
        </w:rPr>
        <w:t>滦州</w:t>
      </w:r>
      <w:r>
        <w:rPr>
          <w:rFonts w:hint="eastAsia" w:ascii="Times New Roman" w:hAnsi="Times New Roman" w:eastAsia="仿宋_GB2312" w:cs="Mongolian Baiti"/>
          <w:color w:val="000000"/>
          <w:sz w:val="32"/>
          <w:szCs w:val="32"/>
        </w:rPr>
        <w:t>市监</w:t>
      </w:r>
      <w:r>
        <w:rPr>
          <w:rFonts w:hint="eastAsia" w:ascii="Times New Roman" w:hAnsi="Times New Roman" w:eastAsia="仿宋_GB2312" w:cs="Mongolian Baiti"/>
          <w:color w:val="000000"/>
          <w:sz w:val="32"/>
          <w:szCs w:val="32"/>
          <w:u w:val="none"/>
          <w:lang w:val="en-US" w:eastAsia="zh-CN"/>
        </w:rPr>
        <w:t>处罚</w:t>
      </w:r>
      <w:r>
        <w:rPr>
          <w:rFonts w:hint="eastAsia" w:ascii="Times New Roman" w:hAnsi="Times New Roman" w:eastAsia="仿宋_GB2312" w:cs="Mongolian Baiti"/>
          <w:color w:val="000000"/>
          <w:sz w:val="32"/>
          <w:szCs w:val="32"/>
          <w:u w:val="none"/>
        </w:rPr>
        <w:t>〔</w:t>
      </w:r>
      <w:r>
        <w:rPr>
          <w:rFonts w:hint="eastAsia" w:ascii="Times New Roman" w:hAnsi="Times New Roman" w:eastAsia="仿宋_GB2312" w:cs="Mongolian Baiti"/>
          <w:color w:val="000000"/>
          <w:sz w:val="32"/>
          <w:szCs w:val="32"/>
          <w:u w:val="single"/>
          <w:lang w:val="en-US" w:eastAsia="zh-CN"/>
        </w:rPr>
        <w:t>2026</w:t>
      </w:r>
      <w:r>
        <w:rPr>
          <w:rFonts w:hint="eastAsia" w:ascii="Times New Roman" w:hAnsi="Times New Roman" w:eastAsia="仿宋_GB2312" w:cs="Mongolian Baiti"/>
          <w:color w:val="000000"/>
          <w:sz w:val="32"/>
          <w:szCs w:val="32"/>
          <w:u w:val="none"/>
        </w:rPr>
        <w:t>〕</w:t>
      </w:r>
      <w:r>
        <w:rPr>
          <w:rFonts w:hint="eastAsia" w:ascii="Times New Roman" w:hAnsi="Times New Roman" w:eastAsia="仿宋_GB2312" w:cs="Mongolian Baiti"/>
          <w:color w:val="000000"/>
          <w:sz w:val="32"/>
          <w:szCs w:val="32"/>
          <w:u w:val="single"/>
          <w:lang w:val="en-US" w:eastAsia="zh-CN"/>
        </w:rPr>
        <w:t>79</w:t>
      </w:r>
      <w:r>
        <w:rPr>
          <w:rFonts w:hint="eastAsia" w:ascii="Times New Roman" w:hAnsi="Times New Roman" w:eastAsia="仿宋_GB2312" w:cs="Mongolian Baiti"/>
          <w:color w:val="000000"/>
          <w:sz w:val="32"/>
          <w:szCs w:val="32"/>
        </w:rPr>
        <w:t>号</w:t>
      </w:r>
      <w:bookmarkEnd w:id="3"/>
      <w:r>
        <w:rPr>
          <w:rFonts w:ascii="Times New Roman" w:hAnsi="Times New Roman" w:eastAsia="仿宋_GB2312" w:cs="Mongolian Baiti"/>
          <w:color w:val="000000"/>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3" name="直接箭头连接符 3"/>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a:effectLst/>
                      </wps:spPr>
                      <wps:txbx>
                        <w:txbxContent>
                          <w:p w14:paraId="567DA752">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&#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grLW/1gAAAAwBAAAPAAAAAAAAAAEAIAAAACIAAABk&#10;cnMvZG93bnJldi54bWxQSwECFAAUAAAACACHTuJAwDcF1AgCAAAGBAAADgAAAAAAAAABACAAAAAl&#10;AQAAZHJzL2Uyb0RvYy54bWxQSwUGAAAAAAYABgBZAQAAnwUAAAAA&#10;">
                <v:fill on="f" focussize="0,0"/>
                <v:stroke weight="1.5pt" color="#000000" joinstyle="round"/>
                <v:imagedata o:title=""/>
                <o:lock v:ext="edit" aspectratio="f"/>
                <v:textbox>
                  <w:txbxContent>
                    <w:p w14:paraId="567DA752">
                      <w:pPr>
                        <w:wordWrap w:val="0"/>
                        <w:rPr>
                          <w:rFonts w:ascii="宋体" w:hAnsi="宋体"/>
                          <w:sz w:val="20"/>
                          <w:szCs w:val="20"/>
                        </w:rPr>
                      </w:pPr>
                    </w:p>
                  </w:txbxContent>
                </v:textbox>
              </v:shape>
            </w:pict>
          </mc:Fallback>
        </mc:AlternateContent>
      </w:r>
    </w:p>
    <w:p w14:paraId="0D4E11C5">
      <w:pPr>
        <w:keepNext w:val="0"/>
        <w:keepLines w:val="0"/>
        <w:pageBreakBefore w:val="0"/>
        <w:widowControl w:val="0"/>
        <w:kinsoku/>
        <w:wordWrap/>
        <w:overflowPunct/>
        <w:topLinePunct w:val="0"/>
        <w:bidi w:val="0"/>
        <w:snapToGrid/>
        <w:spacing w:line="560" w:lineRule="exact"/>
        <w:ind w:left="140" w:hanging="140"/>
        <w:textAlignment w:val="auto"/>
        <w:rPr>
          <w:rFonts w:hint="eastAsia" w:ascii="Times New Roman" w:hAnsi="Times New Roman" w:eastAsia="仿宋_GB2312" w:cs="Mongolian Baiti"/>
          <w:bCs/>
          <w:kern w:val="1"/>
          <w:sz w:val="32"/>
          <w:szCs w:val="32"/>
        </w:rPr>
      </w:pPr>
    </w:p>
    <w:p w14:paraId="2F28A252">
      <w:pPr>
        <w:keepNext w:val="0"/>
        <w:keepLines w:val="0"/>
        <w:pageBreakBefore w:val="0"/>
        <w:widowControl w:val="0"/>
        <w:kinsoku/>
        <w:wordWrap/>
        <w:overflowPunct/>
        <w:topLinePunct w:val="0"/>
        <w:bidi w:val="0"/>
        <w:snapToGrid/>
        <w:spacing w:line="560" w:lineRule="exact"/>
        <w:ind w:left="140" w:hanging="140"/>
        <w:textAlignment w:val="auto"/>
        <w:rPr>
          <w:rFonts w:hint="default" w:ascii="仿宋_GB2312" w:hAnsi="仿宋_GB2312" w:eastAsia="仿宋_GB2312" w:cs="仿宋_GB2312"/>
          <w:bCs/>
          <w:sz w:val="32"/>
          <w:szCs w:val="32"/>
          <w:lang w:val="en-US" w:eastAsia="zh-CN"/>
        </w:rPr>
      </w:pPr>
      <w:r>
        <w:rPr>
          <w:rFonts w:hint="eastAsia" w:ascii="Times New Roman" w:hAnsi="Times New Roman" w:eastAsia="仿宋_GB2312" w:cs="Mongolian Baiti"/>
          <w:bCs/>
          <w:kern w:val="1"/>
          <w:sz w:val="32"/>
          <w:szCs w:val="32"/>
        </w:rPr>
        <w:t>当事人：</w:t>
      </w:r>
      <w:r>
        <w:rPr>
          <w:rFonts w:hint="eastAsia" w:ascii="仿宋_GB2312" w:hAnsi="仿宋_GB2312" w:eastAsia="仿宋_GB2312" w:cs="仿宋_GB2312"/>
          <w:bCs/>
          <w:sz w:val="32"/>
          <w:szCs w:val="32"/>
          <w:lang w:val="en-US" w:eastAsia="zh-CN"/>
        </w:rPr>
        <w:t>滦州市刘超熏鸡坊</w:t>
      </w:r>
    </w:p>
    <w:p w14:paraId="705260A0">
      <w:pPr>
        <w:keepNext w:val="0"/>
        <w:keepLines w:val="0"/>
        <w:pageBreakBefore w:val="0"/>
        <w:widowControl w:val="0"/>
        <w:kinsoku/>
        <w:wordWrap/>
        <w:overflowPunct/>
        <w:topLinePunct w:val="0"/>
        <w:bidi w:val="0"/>
        <w:snapToGrid/>
        <w:spacing w:line="560" w:lineRule="exact"/>
        <w:ind w:left="140" w:hanging="140"/>
        <w:textAlignment w:val="auto"/>
        <w:rPr>
          <w:rFonts w:ascii="仿宋_GB2312" w:hAnsi="Mongolian Baiti" w:eastAsia="仿宋_GB2312" w:cs="Mongolian Baiti"/>
          <w:color w:val="FF0000"/>
          <w:kern w:val="1"/>
          <w:sz w:val="32"/>
          <w:szCs w:val="32"/>
        </w:rPr>
      </w:pPr>
      <w:r>
        <w:rPr>
          <w:rFonts w:hint="eastAsia" w:ascii="Times New Roman" w:hAnsi="Times New Roman" w:eastAsia="仿宋_GB2312" w:cs="微软雅黑"/>
          <w:bCs/>
          <w:kern w:val="1"/>
          <w:sz w:val="32"/>
          <w:szCs w:val="32"/>
        </w:rPr>
        <w:t>主体资格证照</w:t>
      </w:r>
      <w:r>
        <w:rPr>
          <w:rFonts w:hint="eastAsia" w:ascii="Times New Roman" w:hAnsi="Times New Roman" w:eastAsia="仿宋_GB2312" w:cs="Mongolian Baiti"/>
          <w:kern w:val="1"/>
          <w:sz w:val="32"/>
          <w:szCs w:val="32"/>
        </w:rPr>
        <w:t>名称：</w:t>
      </w:r>
      <w:r>
        <w:rPr>
          <w:rFonts w:hint="eastAsia" w:ascii="仿宋_GB2312" w:hAnsi="Mongolian Baiti" w:eastAsia="仿宋_GB2312" w:cs="Mongolian Baiti"/>
          <w:kern w:val="1"/>
          <w:sz w:val="32"/>
          <w:szCs w:val="32"/>
        </w:rPr>
        <w:t>营业执照</w:t>
      </w:r>
    </w:p>
    <w:p w14:paraId="291DF0BB">
      <w:pPr>
        <w:keepNext w:val="0"/>
        <w:keepLines w:val="0"/>
        <w:pageBreakBefore w:val="0"/>
        <w:widowControl w:val="0"/>
        <w:kinsoku/>
        <w:wordWrap/>
        <w:overflowPunct/>
        <w:topLinePunct w:val="0"/>
        <w:bidi w:val="0"/>
        <w:snapToGrid/>
        <w:spacing w:line="560" w:lineRule="exact"/>
        <w:ind w:left="140" w:hanging="140"/>
        <w:textAlignment w:val="auto"/>
        <w:rPr>
          <w:rFonts w:hint="default" w:ascii="Times New Roman" w:hAnsi="Times New Roman" w:eastAsia="仿宋_GB2312" w:cs="Mongolian Baiti"/>
          <w:sz w:val="32"/>
          <w:szCs w:val="32"/>
          <w:lang w:val="en-US" w:eastAsia="zh-CN"/>
        </w:rPr>
      </w:pPr>
      <w:r>
        <w:rPr>
          <w:rFonts w:hint="eastAsia" w:ascii="Times New Roman" w:hAnsi="Times New Roman" w:eastAsia="仿宋_GB2312" w:cs="Mongolian Baiti"/>
          <w:kern w:val="1"/>
          <w:sz w:val="32"/>
          <w:szCs w:val="32"/>
        </w:rPr>
        <w:t>统一社会信用代码（注册号）：</w:t>
      </w:r>
      <w:r>
        <w:rPr>
          <w:rFonts w:hint="eastAsia" w:ascii="仿宋_GB2312" w:hAnsi="仿宋_GB2312" w:eastAsia="仿宋_GB2312" w:cs="仿宋_GB2312"/>
          <w:bCs/>
          <w:sz w:val="32"/>
          <w:szCs w:val="32"/>
          <w:lang w:val="en-US" w:eastAsia="zh-CN"/>
        </w:rPr>
        <w:t>*******</w:t>
      </w:r>
    </w:p>
    <w:p w14:paraId="51624357">
      <w:pPr>
        <w:keepNext w:val="0"/>
        <w:keepLines w:val="0"/>
        <w:pageBreakBefore w:val="0"/>
        <w:widowControl w:val="0"/>
        <w:kinsoku/>
        <w:wordWrap/>
        <w:overflowPunct/>
        <w:topLinePunct w:val="0"/>
        <w:bidi w:val="0"/>
        <w:snapToGrid/>
        <w:spacing w:line="560" w:lineRule="exact"/>
        <w:textAlignment w:val="auto"/>
        <w:rPr>
          <w:rFonts w:hint="eastAsia" w:ascii="Times New Roman" w:hAnsi="Times New Roman" w:eastAsia="仿宋_GB2312" w:cs="Mongolian Baiti"/>
          <w:kern w:val="1"/>
          <w:sz w:val="32"/>
          <w:szCs w:val="32"/>
          <w:lang w:eastAsia="zh-CN"/>
        </w:rPr>
      </w:pPr>
      <w:r>
        <w:rPr>
          <w:rFonts w:hint="eastAsia" w:ascii="Times New Roman" w:hAnsi="Times New Roman" w:eastAsia="仿宋_GB2312" w:cs="Mongolian Baiti"/>
          <w:kern w:val="1"/>
          <w:sz w:val="32"/>
          <w:szCs w:val="32"/>
        </w:rPr>
        <w:t>住所（住址）：</w:t>
      </w:r>
      <w:r>
        <w:rPr>
          <w:rFonts w:hint="eastAsia" w:ascii="仿宋_GB2312" w:hAnsi="仿宋_GB2312" w:eastAsia="仿宋_GB2312" w:cs="仿宋_GB2312"/>
          <w:bCs/>
          <w:sz w:val="32"/>
          <w:szCs w:val="32"/>
        </w:rPr>
        <w:t>滦州市九百户镇</w:t>
      </w:r>
      <w:r>
        <w:rPr>
          <w:rFonts w:hint="eastAsia" w:ascii="仿宋_GB2312" w:hAnsi="仿宋_GB2312" w:eastAsia="仿宋_GB2312" w:cs="仿宋_GB2312"/>
          <w:bCs/>
          <w:sz w:val="32"/>
          <w:szCs w:val="32"/>
          <w:lang w:eastAsia="zh-CN"/>
        </w:rPr>
        <w:t>郭各庄村</w:t>
      </w:r>
    </w:p>
    <w:p w14:paraId="527E4BAB">
      <w:pPr>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cs="Mongolian Baiti"/>
          <w:kern w:val="1"/>
          <w:sz w:val="32"/>
          <w:szCs w:val="32"/>
        </w:rPr>
      </w:pPr>
      <w:r>
        <w:rPr>
          <w:rFonts w:hint="eastAsia" w:ascii="Times New Roman" w:hAnsi="Times New Roman" w:eastAsia="仿宋_GB2312" w:cs="Mongolian Baiti"/>
          <w:kern w:val="1"/>
          <w:sz w:val="32"/>
          <w:szCs w:val="32"/>
        </w:rPr>
        <w:t>法定代表人（负责人、经营者）：</w:t>
      </w:r>
      <w:r>
        <w:rPr>
          <w:rFonts w:hint="eastAsia" w:ascii="仿宋_GB2312" w:hAnsi="仿宋_GB2312" w:eastAsia="仿宋_GB2312" w:cs="仿宋_GB2312"/>
          <w:bCs/>
          <w:sz w:val="32"/>
          <w:szCs w:val="32"/>
          <w:lang w:val="en-US" w:eastAsia="zh-CN"/>
        </w:rPr>
        <w:t>*********</w:t>
      </w:r>
      <w:r>
        <w:rPr>
          <w:rFonts w:hint="eastAsia" w:ascii="Times New Roman" w:hAnsi="Times New Roman" w:eastAsia="仿宋_GB2312" w:cs="Mongolian Baiti"/>
          <w:kern w:val="1"/>
          <w:sz w:val="32"/>
          <w:szCs w:val="32"/>
        </w:rPr>
        <w:t xml:space="preserve">      </w:t>
      </w:r>
    </w:p>
    <w:p w14:paraId="1E15BE3F">
      <w:pPr>
        <w:keepNext w:val="0"/>
        <w:keepLines w:val="0"/>
        <w:pageBreakBefore w:val="0"/>
        <w:widowControl w:val="0"/>
        <w:kinsoku/>
        <w:wordWrap/>
        <w:overflowPunct/>
        <w:topLinePunct w:val="0"/>
        <w:bidi w:val="0"/>
        <w:snapToGrid/>
        <w:spacing w:line="560" w:lineRule="exact"/>
        <w:ind w:left="140" w:hanging="140"/>
        <w:textAlignment w:val="auto"/>
        <w:rPr>
          <w:rFonts w:hint="eastAsia" w:ascii="Times New Roman" w:hAnsi="Times New Roman" w:eastAsia="仿宋_GB2312" w:cs="Mongolian Baiti"/>
          <w:kern w:val="1"/>
          <w:sz w:val="32"/>
          <w:szCs w:val="32"/>
          <w:lang w:val="en-US" w:eastAsia="zh-CN"/>
        </w:rPr>
      </w:pPr>
      <w:r>
        <w:rPr>
          <w:rFonts w:hint="eastAsia" w:ascii="Times New Roman" w:hAnsi="Times New Roman" w:eastAsia="仿宋_GB2312" w:cs="Mongolian Baiti"/>
          <w:kern w:val="1"/>
          <w:sz w:val="32"/>
          <w:szCs w:val="32"/>
        </w:rPr>
        <w:t>身份证件号码：</w:t>
      </w:r>
      <w:r>
        <w:rPr>
          <w:rFonts w:hint="eastAsia" w:ascii="Times New Roman" w:hAnsi="Times New Roman" w:eastAsia="仿宋_GB2312" w:cs="Mongolian Baiti"/>
          <w:kern w:val="1"/>
          <w:sz w:val="32"/>
          <w:szCs w:val="32"/>
          <w:lang w:val="en-US" w:eastAsia="zh-CN"/>
        </w:rPr>
        <w:t>*********</w:t>
      </w:r>
    </w:p>
    <w:p w14:paraId="395E49E8">
      <w:pPr>
        <w:keepNext w:val="0"/>
        <w:keepLines w:val="0"/>
        <w:pageBreakBefore w:val="0"/>
        <w:widowControl w:val="0"/>
        <w:kinsoku/>
        <w:wordWrap/>
        <w:overflowPunct/>
        <w:topLinePunct w:val="0"/>
        <w:bidi w:val="0"/>
        <w:snapToGrid/>
        <w:spacing w:line="560" w:lineRule="exact"/>
        <w:ind w:left="140" w:hanging="140"/>
        <w:textAlignment w:val="auto"/>
        <w:rPr>
          <w:rFonts w:hint="eastAsia" w:ascii="Times New Roman" w:hAnsi="Times New Roman" w:eastAsia="仿宋_GB2312" w:cs="Mongolian Baiti"/>
          <w:kern w:val="1"/>
          <w:sz w:val="32"/>
          <w:szCs w:val="32"/>
          <w:lang w:val="en-US" w:eastAsia="zh-CN"/>
        </w:rPr>
      </w:pPr>
      <w:r>
        <w:rPr>
          <w:rFonts w:hint="eastAsia" w:ascii="Times New Roman" w:hAnsi="Times New Roman" w:eastAsia="仿宋_GB2312" w:cs="Mongolian Baiti"/>
          <w:kern w:val="1"/>
          <w:sz w:val="32"/>
          <w:szCs w:val="32"/>
          <w:lang w:val="en-US" w:eastAsia="zh-CN"/>
        </w:rPr>
        <w:t>联系地址：</w:t>
      </w:r>
      <w:r>
        <w:rPr>
          <w:rFonts w:hint="eastAsia" w:ascii="仿宋_GB2312" w:hAnsi="仿宋_GB2312" w:eastAsia="仿宋_GB2312" w:cs="仿宋_GB2312"/>
          <w:bCs/>
          <w:sz w:val="32"/>
          <w:szCs w:val="32"/>
        </w:rPr>
        <w:t>滦州市九百户镇</w:t>
      </w:r>
      <w:r>
        <w:rPr>
          <w:rFonts w:hint="eastAsia" w:ascii="仿宋_GB2312" w:hAnsi="仿宋_GB2312" w:eastAsia="仿宋_GB2312" w:cs="仿宋_GB2312"/>
          <w:bCs/>
          <w:sz w:val="32"/>
          <w:szCs w:val="32"/>
          <w:lang w:eastAsia="zh-CN"/>
        </w:rPr>
        <w:t>郭各庄村</w:t>
      </w:r>
    </w:p>
    <w:p w14:paraId="2959ECA8">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3月12日，我局接到迁安市市场监督管理局的案件线索移送函称滦州市九百户镇刘超熏鸡坊提供的烧鸡亚硝酸盐超标，并附迁安市食品药品安全检验检测中心有限公司出具报告编号：QASYJC20260516的检验报告，该检验报告检验结论显示：经抽样检验亚硝酸盐（以亚硝酸钠计）项目不合格,不符合GB2760-2024《食品安全国家标准 食品添加剂使用标准》要求，检验结论为不合格。</w:t>
      </w:r>
    </w:p>
    <w:p w14:paraId="05C1D216">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3月13日执法人员立即根据案件线索对当事人经营的烧鸡店开展检查并送达该检验报告，该熏鸡店负责人刘超在检查现场。检查现场未发现存放亚硝酸盐的情况，当事人对该检验报告结果现场未提出异议，2026年3月16日报请滦州市市场监督管理局主管副局长批准立案调查。</w:t>
      </w:r>
    </w:p>
    <w:p w14:paraId="7C87EC1E">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滦州市刘超熏鸡坊经营者刘超在送达检验报告七个工作日内未以任何方式提出他对检验结果的异议，此案由执法人员黄子扬、申岚辛组成案件调查组对案件情况进行了全面调查，于2026年3月17日核实当事人主体资格、并于4月2日、4月15日、4月27日，多次询问当事人，并做了详细的询问笔录。</w:t>
      </w:r>
    </w:p>
    <w:p w14:paraId="3856B59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经查，</w:t>
      </w:r>
      <w:r>
        <w:rPr>
          <w:rFonts w:hint="eastAsia" w:ascii="仿宋" w:hAnsi="仿宋" w:eastAsia="仿宋" w:cs="仿宋"/>
          <w:sz w:val="32"/>
          <w:szCs w:val="32"/>
        </w:rPr>
        <w:t>当事人取得了有效的营业执照，以及河北省小餐饮许可证，调查后发现该熏鸡坊对迁安市食品药品安全检验检测中心有限公司出具的检验报告结果无异议，现场检查及调查过程中也未发现当事人经营使用亚硝酸盐的痕迹。</w:t>
      </w:r>
    </w:p>
    <w:p w14:paraId="041FB60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询问当事人该批次不合格熏鸡销售获利按售价-进价计算共计320元。（计算方法依据《市场监督管理行政处罚案件违法所得认定办法》第四条：当事人直接用于生产经营活动的合法必要支出，可以在认定违法所得时扣除。法律、行政法规、部门规章另有规定的，从其规定。）</w:t>
      </w:r>
    </w:p>
    <w:p w14:paraId="0931A994">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Times New Roman" w:eastAsia="仿宋_GB2312" w:cs="仿宋_GB2312"/>
          <w:sz w:val="32"/>
          <w:szCs w:val="32"/>
        </w:rPr>
      </w:pPr>
      <w:r>
        <w:rPr>
          <w:rFonts w:hint="eastAsia" w:ascii="仿宋_GB2312" w:hAnsi="仿宋_GB2312" w:eastAsia="仿宋_GB2312" w:cs="仿宋_GB2312"/>
          <w:sz w:val="32"/>
          <w:szCs w:val="32"/>
        </w:rPr>
        <w:t>上述事实，主要有以下证据证明：</w:t>
      </w:r>
    </w:p>
    <w:p w14:paraId="74F2B83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1.当事人身份证、《营业执照》复印件，</w:t>
      </w:r>
      <w:r>
        <w:rPr>
          <w:rFonts w:hint="eastAsia" w:ascii="仿宋_GB2312" w:hAnsi="仿宋_GB2312" w:eastAsia="仿宋_GB2312" w:cs="仿宋_GB2312"/>
          <w:sz w:val="32"/>
          <w:szCs w:val="32"/>
          <w:lang w:eastAsia="zh-CN"/>
        </w:rPr>
        <w:t>《河北省小餐饮许可证》复印件</w:t>
      </w:r>
      <w:r>
        <w:rPr>
          <w:rFonts w:hint="eastAsia" w:ascii="仿宋_GB2312" w:hAnsi="仿宋_GB2312" w:eastAsia="仿宋_GB2312" w:cs="仿宋_GB2312"/>
          <w:color w:val="auto"/>
          <w:sz w:val="32"/>
          <w:szCs w:val="32"/>
        </w:rPr>
        <w:t xml:space="preserve">证明当事人是承担行政法律责任的责任主体； </w:t>
      </w:r>
      <w:r>
        <w:rPr>
          <w:rFonts w:hint="eastAsia" w:ascii="仿宋_GB2312" w:hAnsi="仿宋_GB2312" w:eastAsia="仿宋_GB2312" w:cs="仿宋_GB2312"/>
          <w:sz w:val="32"/>
          <w:szCs w:val="32"/>
        </w:rPr>
        <w:t xml:space="preserve"> </w:t>
      </w:r>
    </w:p>
    <w:p w14:paraId="150B5E6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2. 20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日现场检查笔录</w:t>
      </w:r>
      <w:r>
        <w:rPr>
          <w:rFonts w:hint="eastAsia" w:ascii="仿宋_GB2312" w:hAnsi="仿宋_GB2312" w:eastAsia="仿宋_GB2312" w:cs="仿宋_GB2312"/>
          <w:color w:val="auto"/>
          <w:sz w:val="32"/>
          <w:szCs w:val="32"/>
        </w:rPr>
        <w:t>及现场检查照片</w:t>
      </w:r>
      <w:r>
        <w:rPr>
          <w:rFonts w:hint="eastAsia" w:ascii="仿宋_GB2312" w:hAnsi="仿宋_GB2312" w:eastAsia="仿宋_GB2312" w:cs="仿宋_GB2312"/>
          <w:sz w:val="32"/>
          <w:szCs w:val="32"/>
        </w:rPr>
        <w:t>，证明</w:t>
      </w:r>
      <w:r>
        <w:rPr>
          <w:rFonts w:hint="eastAsia" w:ascii="仿宋_GB2312" w:hAnsi="仿宋_GB2312" w:eastAsia="仿宋_GB2312" w:cs="仿宋_GB2312"/>
          <w:sz w:val="32"/>
          <w:szCs w:val="32"/>
          <w:lang w:eastAsia="zh-CN"/>
        </w:rPr>
        <w:t>当事人收到不合格检验报告及现场未发现经营使用亚硝酸盐的事实</w:t>
      </w:r>
      <w:r>
        <w:rPr>
          <w:rFonts w:hint="eastAsia" w:ascii="仿宋_GB2312" w:hAnsi="仿宋_GB2312" w:eastAsia="仿宋_GB2312" w:cs="仿宋_GB2312"/>
          <w:sz w:val="32"/>
          <w:szCs w:val="32"/>
        </w:rPr>
        <w:t>；</w:t>
      </w:r>
    </w:p>
    <w:p w14:paraId="2E533D07">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eastAsia="zh-CN"/>
        </w:rPr>
        <w:t>迁安市市场监督管理局案件线索移送函及附件证明当事人该批次烧鸡亚硝酸盐含量超标</w:t>
      </w:r>
      <w:r>
        <w:rPr>
          <w:rFonts w:hint="eastAsia" w:ascii="仿宋_GB2312" w:hAnsi="仿宋_GB2312" w:eastAsia="仿宋_GB2312" w:cs="仿宋_GB2312"/>
          <w:b w:val="0"/>
          <w:bCs w:val="0"/>
          <w:sz w:val="32"/>
          <w:szCs w:val="32"/>
        </w:rPr>
        <w:t>；</w:t>
      </w:r>
    </w:p>
    <w:p w14:paraId="5BD67156">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 w:hAnsi="仿宋" w:eastAsia="仿宋" w:cs="仿宋"/>
          <w:color w:val="auto"/>
          <w:sz w:val="32"/>
          <w:szCs w:val="32"/>
          <w:lang w:val="en-US" w:eastAsia="zh-CN"/>
        </w:rPr>
        <w:t>2026年3月17日至4月27日期间</w:t>
      </w:r>
      <w:r>
        <w:rPr>
          <w:rFonts w:hint="eastAsia" w:ascii="仿宋_GB2312" w:hAnsi="仿宋_GB2312" w:eastAsia="仿宋_GB2312" w:cs="仿宋_GB2312"/>
          <w:sz w:val="32"/>
          <w:szCs w:val="32"/>
          <w:lang w:eastAsia="zh-CN"/>
        </w:rPr>
        <w:t>询问</w:t>
      </w:r>
      <w:r>
        <w:rPr>
          <w:rFonts w:hint="eastAsia" w:ascii="仿宋_GB2312" w:hAnsi="仿宋_GB2312" w:eastAsia="仿宋_GB2312" w:cs="仿宋_GB2312"/>
          <w:sz w:val="32"/>
          <w:szCs w:val="32"/>
        </w:rPr>
        <w:t>笔录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证明该批次不合格烧鸡获利共计</w:t>
      </w:r>
      <w:r>
        <w:rPr>
          <w:rFonts w:hint="eastAsia" w:ascii="仿宋_GB2312" w:hAnsi="仿宋_GB2312" w:eastAsia="仿宋_GB2312" w:cs="仿宋_GB2312"/>
          <w:color w:val="auto"/>
          <w:sz w:val="32"/>
          <w:szCs w:val="32"/>
          <w:lang w:val="en-US" w:eastAsia="zh-CN"/>
        </w:rPr>
        <w:t>320元</w:t>
      </w:r>
      <w:r>
        <w:rPr>
          <w:rFonts w:hint="eastAsia" w:ascii="仿宋_GB2312" w:hAnsi="仿宋_GB2312" w:eastAsia="仿宋_GB2312" w:cs="仿宋_GB2312"/>
          <w:sz w:val="32"/>
          <w:szCs w:val="32"/>
        </w:rPr>
        <w:t>；</w:t>
      </w:r>
    </w:p>
    <w:p w14:paraId="518EF8A2">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5.通过国家企业信用信息公示网查询记录证明未发现有食品相关行政处罚信息与询问笔录内容一致；</w:t>
      </w:r>
    </w:p>
    <w:p w14:paraId="6632FF2E">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6.12315平台查询记录证明没有食品安全纠纷与询问笔录内容一致；</w:t>
      </w:r>
    </w:p>
    <w:p w14:paraId="440D633E">
      <w:pPr>
        <w:pStyle w:val="2"/>
        <w:keepNext w:val="0"/>
        <w:keepLines w:val="0"/>
        <w:pageBreakBefore w:val="0"/>
        <w:widowControl w:val="0"/>
        <w:tabs>
          <w:tab w:val="left" w:pos="9060"/>
        </w:tabs>
        <w:kinsoku/>
        <w:wordWrap/>
        <w:overflowPunct/>
        <w:topLinePunct w:val="0"/>
        <w:bidi w:val="0"/>
        <w:snapToGrid/>
        <w:spacing w:line="560" w:lineRule="exact"/>
        <w:ind w:firstLine="640" w:firstLineChars="200"/>
        <w:textAlignment w:val="auto"/>
        <w:rPr>
          <w:rFonts w:ascii="Times New Roman" w:eastAsia="仿宋_GB2312" w:cs="Mongolian Baiti"/>
          <w:kern w:val="1"/>
        </w:rPr>
      </w:pPr>
      <w:r>
        <w:rPr>
          <w:rFonts w:hint="eastAsia" w:ascii="Times New Roman" w:eastAsia="仿宋_GB2312" w:cs="Mongolian Baiti"/>
          <w:kern w:val="1"/>
        </w:rPr>
        <w:t>依据《中华人民共和国行政处罚法》第四十四条、第四十五条、第六十三条、第六十四条第一项，以及《市场监督管理行政处罚听证办法》第五条之规定已于20</w:t>
      </w:r>
      <w:r>
        <w:rPr>
          <w:rFonts w:hint="eastAsia" w:ascii="Times New Roman" w:eastAsia="仿宋_GB2312" w:cs="Mongolian Baiti"/>
          <w:kern w:val="1"/>
          <w:lang w:val="en-US" w:eastAsia="zh-CN"/>
        </w:rPr>
        <w:t>26</w:t>
      </w:r>
      <w:r>
        <w:rPr>
          <w:rFonts w:hint="eastAsia" w:ascii="Times New Roman" w:eastAsia="仿宋_GB2312" w:cs="Mongolian Baiti"/>
          <w:kern w:val="1"/>
        </w:rPr>
        <w:t>年</w:t>
      </w:r>
      <w:r>
        <w:rPr>
          <w:rFonts w:hint="eastAsia" w:ascii="Times New Roman" w:eastAsia="仿宋_GB2312" w:cs="Mongolian Baiti"/>
          <w:kern w:val="1"/>
          <w:lang w:val="en-US" w:eastAsia="zh-CN"/>
        </w:rPr>
        <w:t>5</w:t>
      </w:r>
      <w:r>
        <w:rPr>
          <w:rFonts w:hint="eastAsia" w:ascii="Times New Roman" w:eastAsia="仿宋_GB2312" w:cs="Mongolian Baiti"/>
          <w:kern w:val="1"/>
        </w:rPr>
        <w:t>月</w:t>
      </w:r>
      <w:r>
        <w:rPr>
          <w:rFonts w:hint="eastAsia" w:ascii="Times New Roman" w:eastAsia="仿宋_GB2312" w:cs="Mongolian Baiti"/>
          <w:kern w:val="1"/>
          <w:lang w:val="en-US" w:eastAsia="zh-CN"/>
        </w:rPr>
        <w:t>15</w:t>
      </w:r>
      <w:r>
        <w:rPr>
          <w:rFonts w:hint="eastAsia" w:ascii="Times New Roman" w:eastAsia="仿宋_GB2312" w:cs="Mongolian Baiti"/>
          <w:kern w:val="1"/>
        </w:rPr>
        <w:t>日将《行政处罚告知书》送达当事人。截止至20</w:t>
      </w:r>
      <w:r>
        <w:rPr>
          <w:rFonts w:hint="eastAsia" w:ascii="Times New Roman" w:eastAsia="仿宋_GB2312" w:cs="Mongolian Baiti"/>
          <w:kern w:val="1"/>
          <w:lang w:val="en-US" w:eastAsia="zh-CN"/>
        </w:rPr>
        <w:t>26</w:t>
      </w:r>
      <w:r>
        <w:rPr>
          <w:rFonts w:hint="eastAsia" w:ascii="Times New Roman" w:eastAsia="仿宋_GB2312" w:cs="Mongolian Baiti"/>
          <w:kern w:val="1"/>
        </w:rPr>
        <w:t>年</w:t>
      </w:r>
      <w:r>
        <w:rPr>
          <w:rFonts w:hint="eastAsia" w:ascii="Times New Roman" w:eastAsia="仿宋_GB2312" w:cs="Mongolian Baiti"/>
          <w:kern w:val="1"/>
          <w:lang w:val="en-US" w:eastAsia="zh-CN"/>
        </w:rPr>
        <w:t>5</w:t>
      </w:r>
      <w:r>
        <w:rPr>
          <w:rFonts w:hint="eastAsia" w:ascii="Times New Roman" w:eastAsia="仿宋_GB2312" w:cs="Mongolian Baiti"/>
          <w:kern w:val="1"/>
        </w:rPr>
        <w:t>月</w:t>
      </w:r>
      <w:r>
        <w:rPr>
          <w:rFonts w:hint="eastAsia" w:ascii="Times New Roman" w:eastAsia="仿宋_GB2312" w:cs="Mongolian Baiti"/>
          <w:kern w:val="1"/>
          <w:lang w:val="en-US" w:eastAsia="zh-CN"/>
        </w:rPr>
        <w:t>25</w:t>
      </w:r>
      <w:r>
        <w:rPr>
          <w:rFonts w:hint="eastAsia" w:ascii="Times New Roman" w:eastAsia="仿宋_GB2312" w:cs="Mongolian Baiti"/>
          <w:kern w:val="1"/>
        </w:rPr>
        <w:t xml:space="preserve">日，当事人未提出陈述、申辩，也未提出听证。 </w:t>
      </w:r>
    </w:p>
    <w:p w14:paraId="1CC6C97E">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行为违反了《河北省食品小作坊小餐饮小摊点管理条例》第十三条第六项“禁止小作坊、小餐饮、小摊点下列生产经营行为：（六）生产经营致病性微生物，农药残留、兽药残留、生物毒素、重金属等污染物质以及其他危害人体健康的物质含量超过食品安全标准限量的食品；”之规定，属于涉嫌生产经营危害人体健康的物质含量超过食品安全标准限量的食品行为。</w:t>
      </w:r>
    </w:p>
    <w:p w14:paraId="5AEBFD80">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新宋体" w:eastAsia="仿宋_GB2312"/>
          <w:color w:val="000000"/>
          <w:sz w:val="32"/>
          <w:szCs w:val="32"/>
        </w:rPr>
      </w:pPr>
      <w:r>
        <w:rPr>
          <w:rFonts w:hint="eastAsia" w:ascii="Times New Roman" w:hAnsi="仿宋_GB2312" w:eastAsia="仿宋_GB2312" w:cs="仿宋_GB2312"/>
          <w:bCs/>
          <w:sz w:val="32"/>
          <w:szCs w:val="32"/>
          <w:lang w:eastAsia="zh-CN"/>
        </w:rPr>
        <w:t>本局</w:t>
      </w:r>
      <w:r>
        <w:rPr>
          <w:rFonts w:hint="eastAsia" w:ascii="Times New Roman" w:hAnsi="仿宋_GB2312" w:eastAsia="仿宋_GB2312" w:cs="仿宋_GB2312"/>
          <w:bCs/>
          <w:sz w:val="32"/>
          <w:szCs w:val="32"/>
        </w:rPr>
        <w:t>依据</w:t>
      </w:r>
      <w:r>
        <w:rPr>
          <w:rFonts w:hint="eastAsia" w:ascii="仿宋_GB2312" w:hAnsi="仿宋_GB2312" w:eastAsia="仿宋_GB2312" w:cs="仿宋_GB2312"/>
          <w:sz w:val="32"/>
          <w:szCs w:val="32"/>
        </w:rPr>
        <w:t>《河北省食品小作坊小餐饮小摊点管理条例</w:t>
      </w:r>
      <w:r>
        <w:rPr>
          <w:rFonts w:hint="eastAsia" w:ascii="仿宋_GB2312" w:hAnsi="仿宋_GB2312" w:eastAsia="仿宋_GB2312" w:cs="仿宋_GB2312"/>
          <w:sz w:val="22"/>
          <w:szCs w:val="22"/>
        </w:rPr>
        <w:t>(2019修正)</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五十四条</w:t>
      </w:r>
      <w:r>
        <w:rPr>
          <w:rFonts w:hint="eastAsia" w:ascii="Times New Roman" w:hAnsi="仿宋_GB2312" w:eastAsia="仿宋_GB2312" w:cs="仿宋_GB2312"/>
          <w:bCs/>
          <w:sz w:val="32"/>
          <w:szCs w:val="32"/>
        </w:rPr>
        <w:t>“</w:t>
      </w:r>
      <w:r>
        <w:rPr>
          <w:rFonts w:hint="eastAsia" w:ascii="Times New Roman" w:hAnsi="仿宋_GB2312" w:eastAsia="仿宋_GB2312" w:cs="仿宋_GB2312"/>
          <w:bCs/>
          <w:sz w:val="32"/>
          <w:szCs w:val="32"/>
          <w:lang w:eastAsia="zh-CN"/>
        </w:rPr>
        <w:t>违反本条例第十三条第六项至第十三项规定，尚不构成犯罪的，由县级以上人民政府市场监管部门责令改正没收违法所得和违法生产经营的食品。对小作坊并处五千元以上两万元以下罚款，对小餐饮并处一千元以上五千元以下罚款；情节严重的，责令停产停业，直至吊销登记证、取消备案卡，并可没收用于违法生产经营的工具、设备、原料等物品</w:t>
      </w:r>
      <w:r>
        <w:rPr>
          <w:rFonts w:hint="eastAsia" w:ascii="Times New Roman" w:hAnsi="仿宋_GB2312" w:eastAsia="仿宋_GB2312" w:cs="仿宋_GB2312"/>
          <w:bCs/>
          <w:sz w:val="32"/>
          <w:szCs w:val="32"/>
        </w:rPr>
        <w:t>”的规定</w:t>
      </w:r>
      <w:r>
        <w:rPr>
          <w:rFonts w:hint="eastAsia" w:ascii="仿宋_GB2312" w:hAnsi="新宋体" w:eastAsia="仿宋_GB2312"/>
          <w:color w:val="000000"/>
          <w:sz w:val="32"/>
          <w:szCs w:val="32"/>
        </w:rPr>
        <w:t>进行处罚。</w:t>
      </w:r>
    </w:p>
    <w:p w14:paraId="4DE678D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事人违法事实清楚，应当承担法律责任。当事人虽首次违法，能如实陈述违法事实，在要求整改复查烧鸡亚硝酸盐含量的情况时，执法人员现场随机取样的食品快检未检测出该店烧鸡的亚硝酸盐，违法时间在1-3个月期间，配合执法人员调查配合程度一般，售出过期食品无法追回，无法确定消费者购买情况也未进行退赔，且存在亚硝酸盐超标的行为</w:t>
      </w:r>
      <w:r>
        <w:rPr>
          <w:rFonts w:hint="eastAsia" w:ascii="仿宋" w:hAnsi="仿宋" w:eastAsia="仿宋" w:cs="仿宋"/>
          <w:sz w:val="32"/>
          <w:szCs w:val="32"/>
          <w:lang w:val="en-US" w:eastAsia="zh-CN"/>
        </w:rPr>
        <w:t>可能</w:t>
      </w:r>
      <w:r>
        <w:rPr>
          <w:rFonts w:hint="eastAsia" w:ascii="仿宋" w:hAnsi="仿宋" w:eastAsia="仿宋" w:cs="仿宋"/>
          <w:sz w:val="32"/>
          <w:szCs w:val="32"/>
        </w:rPr>
        <w:t>危害消费者的身体健康等较重情节。</w:t>
      </w:r>
    </w:p>
    <w:p w14:paraId="351437D3">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该案件整体情节性质既有法定从轻情节，也存在一般情节和从重情节，经过执法人员对案件情节的综合考量，遂依据《河北省市场监督管理行政处罚裁量权基准》第72《河北省食品小作坊小餐饮小摊点管理条例》序号1裁量幅度“一般”使用条件标准，建议对当事人在法律规定的处罚幅度内一般处罚。</w:t>
      </w:r>
    </w:p>
    <w:p w14:paraId="11402E9E">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仿宋_GB2312"/>
          <w:b w:val="0"/>
          <w:bCs w:val="0"/>
          <w:kern w:val="2"/>
          <w:sz w:val="32"/>
          <w:szCs w:val="24"/>
          <w:u w:val="none"/>
          <w:lang w:val="en-US" w:eastAsia="zh-CN" w:bidi="ar-SA"/>
        </w:rPr>
      </w:pPr>
      <w:r>
        <w:rPr>
          <w:rFonts w:hint="eastAsia" w:ascii="仿宋_GB2312" w:hAnsi="Times New Roman" w:eastAsia="仿宋_GB2312" w:cs="仿宋_GB2312"/>
          <w:b w:val="0"/>
          <w:bCs w:val="0"/>
          <w:sz w:val="32"/>
          <w:u w:val="none"/>
          <w:lang w:eastAsia="zh-CN"/>
        </w:rPr>
        <w:t>其他需要说明的事项：由于当事人违法行为发生在</w:t>
      </w:r>
      <w:r>
        <w:rPr>
          <w:rFonts w:hint="eastAsia" w:ascii="仿宋_GB2312" w:hAnsi="Times New Roman" w:eastAsia="仿宋_GB2312" w:cs="仿宋_GB2312"/>
          <w:b w:val="0"/>
          <w:bCs w:val="0"/>
          <w:sz w:val="32"/>
          <w:u w:val="none"/>
        </w:rPr>
        <w:t>《</w:t>
      </w:r>
      <w:r>
        <w:rPr>
          <w:rFonts w:hint="eastAsia" w:ascii="仿宋_GB2312" w:hAnsi="Times New Roman" w:eastAsia="仿宋_GB2312" w:cs="仿宋_GB2312"/>
          <w:b w:val="0"/>
          <w:bCs w:val="0"/>
          <w:sz w:val="32"/>
          <w:u w:val="none"/>
          <w:lang w:eastAsia="zh-CN"/>
        </w:rPr>
        <w:t>河北省食品小作坊小餐饮小摊点管理条例</w:t>
      </w:r>
      <w:r>
        <w:rPr>
          <w:rFonts w:hint="eastAsia" w:ascii="仿宋_GB2312" w:hAnsi="Times New Roman" w:eastAsia="仿宋_GB2312" w:cs="仿宋_GB2312"/>
          <w:b w:val="0"/>
          <w:bCs w:val="0"/>
          <w:sz w:val="32"/>
          <w:u w:val="none"/>
        </w:rPr>
        <w:t>》</w:t>
      </w:r>
      <w:r>
        <w:rPr>
          <w:rFonts w:hint="eastAsia" w:ascii="仿宋_GB2312" w:hAnsi="Times New Roman" w:eastAsia="仿宋_GB2312" w:cs="仿宋_GB2312"/>
          <w:b w:val="0"/>
          <w:bCs w:val="0"/>
          <w:sz w:val="32"/>
          <w:u w:val="none"/>
          <w:lang w:val="en-US" w:eastAsia="zh-CN"/>
        </w:rPr>
        <w:t>2019版正式施行与2025版即将施行期间，依据《中华人民共和国行政处罚法》</w:t>
      </w:r>
      <w:r>
        <w:rPr>
          <w:rFonts w:hint="eastAsia" w:ascii="仿宋_GB2312" w:hAnsi="Times New Roman" w:eastAsia="仿宋_GB2312" w:cs="仿宋_GB2312"/>
          <w:b w:val="0"/>
          <w:bCs w:val="0"/>
          <w:kern w:val="2"/>
          <w:sz w:val="32"/>
          <w:szCs w:val="24"/>
          <w:u w:val="none"/>
          <w:lang w:val="en-US" w:eastAsia="zh-CN" w:bidi="ar-SA"/>
        </w:rPr>
        <w:t>第三十七条：实施行政处罚，适用违法行为发生时的法律、法规、规章的规定。但是，作出行政处罚决定时，法律、法规、规章已被修改或者废止，且新的规定处罚较轻或者不认为是违法的，适用新的规定。我局决定使用新施行的法条（</w:t>
      </w:r>
      <w:r>
        <w:rPr>
          <w:rFonts w:hint="eastAsia" w:ascii="仿宋_GB2312" w:hAnsi="Times New Roman" w:eastAsia="仿宋_GB2312" w:cs="仿宋_GB2312"/>
          <w:b w:val="0"/>
          <w:bCs w:val="0"/>
          <w:sz w:val="32"/>
          <w:u w:val="none"/>
        </w:rPr>
        <w:t>《</w:t>
      </w:r>
      <w:r>
        <w:rPr>
          <w:rFonts w:hint="eastAsia" w:ascii="仿宋_GB2312" w:hAnsi="Times New Roman" w:eastAsia="仿宋_GB2312" w:cs="仿宋_GB2312"/>
          <w:b w:val="0"/>
          <w:bCs w:val="0"/>
          <w:sz w:val="32"/>
          <w:u w:val="none"/>
          <w:lang w:eastAsia="zh-CN"/>
        </w:rPr>
        <w:t>河北省食品小作坊小餐饮小摊点管理条例</w:t>
      </w:r>
      <w:r>
        <w:rPr>
          <w:rFonts w:hint="eastAsia" w:ascii="仿宋_GB2312" w:hAnsi="Times New Roman" w:eastAsia="仿宋_GB2312" w:cs="仿宋_GB2312"/>
          <w:b w:val="0"/>
          <w:bCs w:val="0"/>
          <w:sz w:val="32"/>
          <w:u w:val="none"/>
        </w:rPr>
        <w:t>》</w:t>
      </w:r>
      <w:r>
        <w:rPr>
          <w:rFonts w:hint="eastAsia" w:ascii="仿宋_GB2312" w:hAnsi="Times New Roman" w:eastAsia="仿宋_GB2312" w:cs="仿宋_GB2312"/>
          <w:b w:val="0"/>
          <w:bCs w:val="0"/>
          <w:sz w:val="32"/>
          <w:u w:val="none"/>
          <w:lang w:val="en-US" w:eastAsia="zh-CN"/>
        </w:rPr>
        <w:t>2025版</w:t>
      </w:r>
      <w:r>
        <w:rPr>
          <w:rFonts w:hint="eastAsia" w:ascii="仿宋_GB2312" w:hAnsi="Times New Roman" w:eastAsia="仿宋_GB2312" w:cs="仿宋_GB2312"/>
          <w:b w:val="0"/>
          <w:bCs w:val="0"/>
          <w:kern w:val="2"/>
          <w:sz w:val="32"/>
          <w:szCs w:val="24"/>
          <w:u w:val="none"/>
          <w:lang w:val="en-US" w:eastAsia="zh-CN" w:bidi="ar-SA"/>
        </w:rPr>
        <w:t>）作为该案件的处罚依据。</w:t>
      </w:r>
    </w:p>
    <w:p w14:paraId="13BED91D">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仿宋_GB2312" w:eastAsia="仿宋_GB2312" w:cs="仿宋_GB2312"/>
          <w:bCs/>
          <w:sz w:val="32"/>
          <w:szCs w:val="32"/>
        </w:rPr>
      </w:pPr>
      <w:r>
        <w:rPr>
          <w:rFonts w:hint="eastAsia" w:ascii="仿宋_GB2312" w:hAnsi="仿宋_GB2312" w:eastAsia="仿宋_GB2312" w:cs="仿宋_GB2312"/>
          <w:sz w:val="32"/>
          <w:szCs w:val="32"/>
        </w:rPr>
        <w:t>综上，当事人违反了《河北省食品小作坊小餐饮小摊点管理条例》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2025修正）</w:t>
      </w:r>
      <w:r>
        <w:rPr>
          <w:rFonts w:hint="eastAsia" w:ascii="仿宋_GB2312" w:hAnsi="仿宋_GB2312" w:eastAsia="仿宋_GB2312" w:cs="仿宋_GB2312"/>
          <w:sz w:val="32"/>
          <w:szCs w:val="32"/>
        </w:rPr>
        <w:t>第十三条第六项的规定，依据《河北省食品小作坊小餐饮小摊点管理条例》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2025修正）</w:t>
      </w:r>
      <w:r>
        <w:rPr>
          <w:rFonts w:hint="eastAsia" w:ascii="仿宋_GB2312" w:hAnsi="仿宋_GB2312" w:eastAsia="仿宋_GB2312" w:cs="仿宋_GB2312"/>
          <w:sz w:val="32"/>
          <w:szCs w:val="32"/>
        </w:rPr>
        <w:t>第五十四条，</w:t>
      </w:r>
      <w:r>
        <w:rPr>
          <w:rFonts w:hint="eastAsia" w:ascii="Times New Roman" w:hAnsi="仿宋_GB2312" w:eastAsia="仿宋_GB2312" w:cs="仿宋_GB2312"/>
          <w:bCs/>
          <w:sz w:val="32"/>
          <w:szCs w:val="32"/>
        </w:rPr>
        <w:t>决定对当事人作出如下行政处罚：</w:t>
      </w:r>
    </w:p>
    <w:p w14:paraId="1BC93C0C">
      <w:pPr>
        <w:keepNext w:val="0"/>
        <w:keepLines w:val="0"/>
        <w:pageBreakBefore w:val="0"/>
        <w:widowControl w:val="0"/>
        <w:numPr>
          <w:ilvl w:val="0"/>
          <w:numId w:val="1"/>
        </w:numPr>
        <w:kinsoku/>
        <w:wordWrap/>
        <w:overflowPunct/>
        <w:topLinePunct w:val="0"/>
        <w:bidi w:val="0"/>
        <w:snapToGrid/>
        <w:spacing w:line="560" w:lineRule="exact"/>
        <w:ind w:firstLine="640" w:firstLineChars="200"/>
        <w:textAlignment w:val="auto"/>
        <w:rPr>
          <w:rFonts w:hint="eastAsia" w:ascii="仿宋_GB2312" w:hAnsi="Times New Roman" w:eastAsia="仿宋_GB2312" w:cs="仿宋_GB2312"/>
          <w:b w:val="0"/>
          <w:bCs w:val="0"/>
          <w:sz w:val="32"/>
          <w:u w:val="none"/>
          <w:lang w:val="en-US" w:eastAsia="zh-CN"/>
        </w:rPr>
      </w:pPr>
      <w:r>
        <w:rPr>
          <w:rFonts w:hint="eastAsia" w:ascii="仿宋_GB2312" w:hAnsi="Times New Roman" w:eastAsia="仿宋_GB2312" w:cs="仿宋_GB2312"/>
          <w:b w:val="0"/>
          <w:bCs w:val="0"/>
          <w:sz w:val="32"/>
          <w:u w:val="none"/>
          <w:lang w:val="en-US" w:eastAsia="zh-CN"/>
        </w:rPr>
        <w:t>罚款2000元；</w:t>
      </w:r>
    </w:p>
    <w:p w14:paraId="320C5AC7">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仿宋_GB2312" w:eastAsia="仿宋_GB2312" w:cs="仿宋_GB2312"/>
          <w:bCs/>
          <w:sz w:val="32"/>
          <w:szCs w:val="32"/>
        </w:rPr>
      </w:pPr>
      <w:r>
        <w:rPr>
          <w:rFonts w:hint="eastAsia" w:ascii="仿宋_GB2312" w:hAnsi="Times New Roman" w:eastAsia="仿宋_GB2312" w:cs="仿宋_GB2312"/>
          <w:sz w:val="32"/>
          <w:szCs w:val="32"/>
          <w:u w:val="none"/>
          <w:lang w:val="en-US" w:eastAsia="zh-CN"/>
        </w:rPr>
        <w:t>2、</w:t>
      </w:r>
      <w:r>
        <w:rPr>
          <w:rFonts w:hint="eastAsia" w:ascii="仿宋_GB2312" w:hAnsi="Times New Roman" w:eastAsia="仿宋_GB2312" w:cs="仿宋_GB2312"/>
          <w:sz w:val="32"/>
          <w:szCs w:val="32"/>
          <w:u w:val="none"/>
          <w:lang w:eastAsia="zh-CN"/>
        </w:rPr>
        <w:t>没收违法所得</w:t>
      </w:r>
      <w:r>
        <w:rPr>
          <w:rFonts w:hint="eastAsia" w:ascii="仿宋_GB2312" w:hAnsi="Times New Roman" w:eastAsia="仿宋_GB2312" w:cs="仿宋_GB2312"/>
          <w:sz w:val="32"/>
          <w:szCs w:val="32"/>
          <w:u w:val="none"/>
          <w:lang w:val="en-US" w:eastAsia="zh-CN"/>
        </w:rPr>
        <w:t>320元</w:t>
      </w:r>
      <w:r>
        <w:rPr>
          <w:rFonts w:hint="eastAsia" w:ascii="Times New Roman" w:hAnsi="仿宋_GB2312" w:eastAsia="仿宋_GB2312" w:cs="仿宋_GB2312"/>
          <w:bCs/>
          <w:sz w:val="32"/>
          <w:szCs w:val="32"/>
        </w:rPr>
        <w:t>。</w:t>
      </w:r>
    </w:p>
    <w:p w14:paraId="50AA404B">
      <w:pPr>
        <w:pStyle w:val="2"/>
        <w:keepNext w:val="0"/>
        <w:keepLines w:val="0"/>
        <w:pageBreakBefore w:val="0"/>
        <w:widowControl w:val="0"/>
        <w:tabs>
          <w:tab w:val="left" w:pos="9060"/>
        </w:tabs>
        <w:kinsoku/>
        <w:wordWrap/>
        <w:overflowPunct/>
        <w:topLinePunct w:val="0"/>
        <w:bidi w:val="0"/>
        <w:snapToGrid/>
        <w:spacing w:line="560" w:lineRule="exact"/>
        <w:ind w:firstLine="640" w:firstLineChars="200"/>
        <w:textAlignment w:val="auto"/>
        <w:rPr>
          <w:rFonts w:ascii="仿宋_GB2312" w:eastAsia="仿宋_GB2312" w:cs="Mongolian Baiti"/>
          <w:kern w:val="1"/>
        </w:rPr>
      </w:pPr>
      <w:r>
        <w:rPr>
          <w:rFonts w:hint="eastAsia" w:ascii="仿宋_GB2312" w:eastAsia="仿宋_GB2312" w:cs="Mongolian Baiti"/>
          <w:kern w:val="1"/>
        </w:rPr>
        <w:t xml:space="preserve">当事人应当自收到本处罚决定书之日起十五日内将罚(没)款缴至河北滦州农商银行（账号：380020122000121660），或者通过 缴款码 电子支付系统缴纳（缴纳方式为： 扫码支付 ）。到期不缴纳罚款的，依据《中华人民共和国行政处罚法》第七十二条的规定，本局将每日按罚款数额的百分之三加处罚款，并依法申请人民法院强制执行。 </w:t>
      </w:r>
    </w:p>
    <w:p w14:paraId="5AB3AB09">
      <w:pPr>
        <w:pStyle w:val="2"/>
        <w:keepNext w:val="0"/>
        <w:keepLines w:val="0"/>
        <w:pageBreakBefore w:val="0"/>
        <w:widowControl w:val="0"/>
        <w:tabs>
          <w:tab w:val="left" w:pos="9060"/>
        </w:tabs>
        <w:kinsoku/>
        <w:wordWrap/>
        <w:overflowPunct/>
        <w:topLinePunct w:val="0"/>
        <w:bidi w:val="0"/>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仿宋_GB2312" w:eastAsia="仿宋_GB2312" w:cs="Mongolian Baiti"/>
          <w:kern w:val="1"/>
        </w:rPr>
        <w:t xml:space="preserve">如你单位不服本行政处罚决定，可以在收到本行政处罚决定书之日起六十日内向滦州市人民政府申请行政复议，或在收到本行政处罚决定书之日起六个月内，依法向滦州市人民法院提起行政诉讼。申请行政复议或者提起行政诉讼期间，行政处罚不停止执行。  </w:t>
      </w:r>
      <w:r>
        <w:rPr>
          <w:rFonts w:hint="eastAsia" w:ascii="Times New Roman" w:hAnsi="Times New Roman" w:eastAsia="仿宋_GB2312" w:cs="仿宋_GB2312"/>
          <w:color w:val="000000"/>
          <w:sz w:val="32"/>
          <w:szCs w:val="32"/>
        </w:rPr>
        <w:t xml:space="preserve">                 </w:t>
      </w:r>
    </w:p>
    <w:p w14:paraId="13340156">
      <w:pPr>
        <w:spacing w:line="560" w:lineRule="exact"/>
        <w:ind w:right="640" w:firstLine="601"/>
        <w:jc w:val="right"/>
        <w:rPr>
          <w:rFonts w:hint="eastAsia" w:ascii="Times New Roman" w:hAnsi="Times New Roman" w:eastAsia="仿宋_GB2312" w:cs="仿宋_GB2312"/>
          <w:color w:val="000000"/>
          <w:sz w:val="32"/>
          <w:szCs w:val="32"/>
        </w:rPr>
      </w:pPr>
    </w:p>
    <w:p w14:paraId="6F54C7B2">
      <w:pPr>
        <w:spacing w:line="560" w:lineRule="exact"/>
        <w:ind w:right="640" w:firstLine="601"/>
        <w:jc w:val="right"/>
        <w:rPr>
          <w:rFonts w:hint="eastAsia" w:ascii="Times New Roman" w:hAnsi="Times New Roman" w:eastAsia="仿宋_GB2312" w:cs="仿宋_GB2312"/>
          <w:color w:val="000000"/>
          <w:sz w:val="32"/>
          <w:szCs w:val="32"/>
        </w:rPr>
      </w:pPr>
    </w:p>
    <w:p w14:paraId="6413A24C">
      <w:pPr>
        <w:spacing w:line="560" w:lineRule="exact"/>
        <w:ind w:right="640"/>
        <w:jc w:val="both"/>
        <w:rPr>
          <w:rFonts w:hint="eastAsia" w:ascii="Times New Roman" w:hAnsi="Times New Roman" w:eastAsia="仿宋_GB2312" w:cs="仿宋_GB2312"/>
          <w:color w:val="000000"/>
          <w:sz w:val="32"/>
          <w:szCs w:val="32"/>
        </w:rPr>
      </w:pPr>
    </w:p>
    <w:p w14:paraId="5198B43D">
      <w:pPr>
        <w:spacing w:line="560" w:lineRule="exact"/>
        <w:ind w:right="640" w:firstLine="601"/>
        <w:jc w:val="right"/>
        <w:rPr>
          <w:rFonts w:hint="eastAsia" w:ascii="Times New Roman" w:hAnsi="Times New Roman" w:eastAsia="仿宋_GB2312" w:cs="仿宋_GB2312"/>
          <w:color w:val="000000"/>
          <w:sz w:val="32"/>
          <w:szCs w:val="32"/>
        </w:rPr>
      </w:pPr>
    </w:p>
    <w:p w14:paraId="30DC73FC">
      <w:pPr>
        <w:spacing w:line="560" w:lineRule="exact"/>
        <w:ind w:right="640" w:firstLine="601"/>
        <w:jc w:val="right"/>
        <w:rPr>
          <w:rFonts w:hint="eastAsia" w:ascii="Times New Roman" w:hAnsi="Times New Roman" w:eastAsia="仿宋_GB2312" w:cs="仿宋_GB2312"/>
          <w:color w:val="000000"/>
          <w:sz w:val="32"/>
          <w:szCs w:val="32"/>
        </w:rPr>
      </w:pPr>
    </w:p>
    <w:p w14:paraId="539CF11F">
      <w:pPr>
        <w:spacing w:line="560" w:lineRule="exact"/>
        <w:ind w:right="640" w:firstLine="601"/>
        <w:jc w:val="right"/>
        <w:rPr>
          <w:rFonts w:hint="eastAsia" w:ascii="Times New Roman" w:hAnsi="Times New Roman" w:eastAsia="仿宋_GB2312" w:cs="仿宋_GB2312"/>
          <w:color w:val="000000"/>
          <w:sz w:val="32"/>
          <w:szCs w:val="32"/>
        </w:rPr>
      </w:pPr>
    </w:p>
    <w:p w14:paraId="3B8757C5">
      <w:pPr>
        <w:spacing w:line="560" w:lineRule="exact"/>
        <w:ind w:right="640" w:firstLine="601"/>
        <w:jc w:val="right"/>
        <w:rPr>
          <w:rFonts w:hint="eastAsia" w:ascii="Times New Roman" w:hAnsi="Times New Roman" w:eastAsia="仿宋_GB2312" w:cs="仿宋_GB2312"/>
          <w:color w:val="000000"/>
          <w:sz w:val="32"/>
          <w:szCs w:val="32"/>
        </w:rPr>
      </w:pPr>
    </w:p>
    <w:p w14:paraId="4AC86036">
      <w:pPr>
        <w:spacing w:line="560" w:lineRule="exact"/>
        <w:ind w:right="640" w:firstLine="601"/>
        <w:jc w:val="right"/>
        <w:rPr>
          <w:rFonts w:hint="eastAsia" w:ascii="Times New Roman" w:hAnsi="Times New Roman" w:eastAsia="仿宋_GB2312" w:cs="仿宋_GB2312"/>
          <w:color w:val="000000"/>
          <w:sz w:val="32"/>
          <w:szCs w:val="32"/>
        </w:rPr>
      </w:pPr>
    </w:p>
    <w:p w14:paraId="32ABB9B4">
      <w:pPr>
        <w:spacing w:line="560" w:lineRule="exact"/>
        <w:ind w:right="640"/>
        <w:jc w:val="right"/>
        <w:rPr>
          <w:rFonts w:ascii="Times New Roman" w:hAnsi="Times New Roman" w:eastAsia="仿宋_GB2312" w:cs="仿宋"/>
          <w:color w:val="000000"/>
          <w:sz w:val="32"/>
          <w:szCs w:val="32"/>
        </w:rPr>
      </w:pP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仿宋_GB2312"/>
          <w:color w:val="000000"/>
          <w:sz w:val="32"/>
          <w:szCs w:val="32"/>
        </w:rPr>
        <w:t>滦州市</w:t>
      </w:r>
      <w:r>
        <w:rPr>
          <w:rFonts w:hint="eastAsia" w:ascii="Times New Roman" w:hAnsi="Times New Roman" w:eastAsia="仿宋_GB2312" w:cs="仿宋"/>
          <w:color w:val="000000"/>
          <w:sz w:val="32"/>
          <w:szCs w:val="32"/>
        </w:rPr>
        <w:t xml:space="preserve">市场监督管理局    </w:t>
      </w:r>
    </w:p>
    <w:p w14:paraId="36BBF101">
      <w:pPr>
        <w:spacing w:line="560" w:lineRule="exact"/>
        <w:ind w:left="4826" w:leftChars="456" w:right="640" w:hanging="3868" w:hangingChars="1209"/>
        <w:jc w:val="left"/>
        <w:outlineLvl w:val="1"/>
        <w:rPr>
          <w:rFonts w:hint="eastAsia" w:ascii="黑体" w:hAnsi="黑体" w:eastAsia="黑体"/>
          <w:color w:val="231F20"/>
          <w:spacing w:val="-16"/>
        </w:rPr>
      </w:pPr>
      <w:r>
        <w:rPr>
          <w:rFonts w:hint="eastAsia"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000000"/>
          <w:sz w:val="32"/>
          <w:szCs w:val="32"/>
        </w:rPr>
        <w:t xml:space="preserve">（印 章）         </w:t>
      </w:r>
      <w:r>
        <w:rPr>
          <w:rFonts w:hint="eastAsia" w:ascii="仿宋_GB2312" w:hAnsi="Times New Roman" w:eastAsia="仿宋_GB2312" w:cs="仿宋"/>
          <w:color w:val="000000"/>
          <w:sz w:val="32"/>
          <w:szCs w:val="32"/>
        </w:rPr>
        <w:t xml:space="preserve">                 </w:t>
      </w:r>
      <w:r>
        <w:rPr>
          <w:rFonts w:hint="eastAsia" w:ascii="仿宋_GB2312" w:hAnsi="Times New Roman" w:eastAsia="仿宋_GB2312" w:cs="仿宋"/>
          <w:sz w:val="32"/>
          <w:szCs w:val="32"/>
        </w:rPr>
        <w:t>二0二</w:t>
      </w:r>
      <w:r>
        <w:rPr>
          <w:rFonts w:hint="eastAsia" w:ascii="仿宋_GB2312" w:hAnsi="Times New Roman" w:eastAsia="仿宋_GB2312" w:cs="仿宋"/>
          <w:sz w:val="32"/>
          <w:szCs w:val="32"/>
          <w:lang w:eastAsia="zh-CN"/>
        </w:rPr>
        <w:t>六</w:t>
      </w:r>
      <w:r>
        <w:rPr>
          <w:rFonts w:hint="eastAsia" w:ascii="仿宋_GB2312" w:hAnsi="Times New Roman" w:eastAsia="仿宋_GB2312" w:cs="仿宋"/>
          <w:sz w:val="32"/>
          <w:szCs w:val="32"/>
        </w:rPr>
        <w:t>年</w:t>
      </w:r>
      <w:r>
        <w:rPr>
          <w:rFonts w:hint="eastAsia" w:ascii="仿宋_GB2312" w:hAnsi="Times New Roman" w:eastAsia="仿宋_GB2312" w:cs="仿宋"/>
          <w:sz w:val="32"/>
          <w:szCs w:val="32"/>
          <w:lang w:eastAsia="zh-CN"/>
        </w:rPr>
        <w:t>五</w:t>
      </w:r>
      <w:r>
        <w:rPr>
          <w:rFonts w:hint="eastAsia" w:ascii="仿宋_GB2312" w:hAnsi="Times New Roman" w:eastAsia="仿宋_GB2312" w:cs="仿宋"/>
          <w:sz w:val="32"/>
          <w:szCs w:val="32"/>
        </w:rPr>
        <w:t>月</w:t>
      </w:r>
      <w:r>
        <w:rPr>
          <w:rFonts w:hint="eastAsia" w:ascii="仿宋_GB2312" w:hAnsi="Times New Roman" w:eastAsia="仿宋_GB2312" w:cs="仿宋"/>
          <w:sz w:val="32"/>
          <w:szCs w:val="32"/>
          <w:lang w:eastAsia="zh-CN"/>
        </w:rPr>
        <w:t>二十八</w:t>
      </w:r>
      <w:r>
        <w:rPr>
          <w:rFonts w:hint="eastAsia" w:ascii="仿宋_GB2312" w:hAnsi="Times New Roman" w:eastAsia="仿宋_GB2312" w:cs="仿宋"/>
          <w:sz w:val="32"/>
          <w:szCs w:val="32"/>
        </w:rPr>
        <w:t>日</w:t>
      </w:r>
      <w:r>
        <w:rPr>
          <w:rFonts w:hint="eastAsia" w:ascii="Times New Roman" w:hAnsi="Times New Roman" w:eastAsia="仿宋_GB2312" w:cs="仿宋_GB2312"/>
          <w:color w:val="000000"/>
          <w:sz w:val="32"/>
          <w:szCs w:val="32"/>
        </w:rPr>
        <w:t xml:space="preserve">  </w:t>
      </w:r>
    </w:p>
    <w:p w14:paraId="700FA7C6">
      <w:pPr>
        <w:pStyle w:val="2"/>
        <w:ind w:left="163"/>
        <w:rPr>
          <w:rFonts w:ascii="Times New Roman" w:eastAsia="仿宋_GB2312" w:cs="仿宋"/>
          <w:bCs/>
          <w:color w:val="000000"/>
          <w:sz w:val="44"/>
          <w:szCs w:val="44"/>
        </w:rPr>
      </w:pPr>
      <w:r>
        <w:rPr>
          <w:rFonts w:hint="eastAsia" w:ascii="黑体" w:hAnsi="黑体" w:eastAsia="黑体"/>
          <w:color w:val="231F20"/>
          <w:spacing w:val="-16"/>
        </w:rPr>
        <w:t>（市场监督管理部门将依法向社会公开行政处罚决定信息）</w:t>
      </w:r>
    </w:p>
    <w:p w14:paraId="00A816BB">
      <w:pPr>
        <w:spacing w:line="500" w:lineRule="exact"/>
        <w:rPr>
          <w:rFonts w:ascii="黑体" w:hAnsi="黑体" w:eastAsia="黑体"/>
          <w:color w:val="231F20"/>
          <w:spacing w:val="-16"/>
        </w:rPr>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2pt;height:0.05pt;width:437.05pt;mso-position-horizontal:center;z-index:251661312;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nQaGtQAAAAEAQAADwAAAAAAAAABACAAAAAiAAAAZHJzL2Rvd25yZXYueG1sUEsB&#10;AhQAFAAAAAgAh07iQEPBgEL5AQAA9QMAAA4AAAAAAAAAAQAgAAAAIwEAAGRycy9lMm9Eb2MueG1s&#10;UEsFBgAAAAAGAAYAWQEAAI4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GlcB1/QEAAPMDAAAOAAAAZHJzL2Uyb0RvYy54bWytU82O&#10;0zAQviPxDpbvNG3QdiFquoctywVBJeABpo6TWPIfHrdpX4IXQOIGJ47c921YHoOxU8qyXHogB2fs&#10;GX8z3+eZ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Pfjd&#10;p+8/Pn75efuZ1rtvX1mZRBo8VhR7bdfhuEO/Donxvg0m/YkL22dhDydh5T4yQYcXl/NyXl5wJsg3&#10;Ky+z7sWfuz5gfCmdYcmouVY20YYKdq8wUj4K/R2SjrVlQ82fP53TKwqgHsQPZBhPLNB2+SY6rZob&#10;pXWKx9BtrnVgO0hdkL/EiVD/CkspVoD9GJddY3/0EpoXtmHx4EkfS2PBUwFGNpxpSVOULAKEKoLS&#10;50RSam3TBZl79MgyiTzKmqyNaw70NlsfVNeTKrNcc/JQL+Tqj32bmu3+nuz7s7r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vv85HXAAAACgEAAA8AAAAAAAAAAQAgAAAAIgAAAGRycy9kb3ducmV2&#10;LnhtbFBLAQIUABQAAAAIAIdO4kAGlcB1/QEAAPMDAAAOAAAAAAAAAAEAIAAAACYBAABkcnMvZTJv&#10;RG9jLnhtbFBLBQYAAAAABgAGAFkBAACV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三</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一</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一份办案机构留存</w:t>
      </w:r>
      <w:r>
        <w:rPr>
          <w:rFonts w:hint="eastAsia" w:ascii="Times New Roman" w:hAnsi="Times New Roman" w:eastAsia="仿宋_GB2312" w:cs="仿宋"/>
          <w:color w:val="000000"/>
          <w:sz w:val="32"/>
          <w:szCs w:val="32"/>
        </w:rPr>
        <w:t>。</w:t>
      </w:r>
    </w:p>
    <w:sectPr>
      <w:pgSz w:w="11906" w:h="16838"/>
      <w:pgMar w:top="1757" w:right="1474" w:bottom="153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7F" w:usb3="00000000" w:csb0="203F01FF" w:csb1="DFFF0000"/>
  </w:font>
  <w:font w:name="方正小标宋简体">
    <w:panose1 w:val="02010601030101010101"/>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051EB"/>
    <w:multiLevelType w:val="singleLevel"/>
    <w:tmpl w:val="0C2051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wY2EzOTNlMThmYTMxNmJlYTg4OTI2ZmNjMzMwZGQifQ=="/>
  </w:docVars>
  <w:rsids>
    <w:rsidRoot w:val="00886230"/>
    <w:rsid w:val="00091A39"/>
    <w:rsid w:val="00117A7E"/>
    <w:rsid w:val="00227F4F"/>
    <w:rsid w:val="002321A2"/>
    <w:rsid w:val="002452D9"/>
    <w:rsid w:val="002A7AFC"/>
    <w:rsid w:val="002C0C2C"/>
    <w:rsid w:val="00343038"/>
    <w:rsid w:val="003D478B"/>
    <w:rsid w:val="004815CA"/>
    <w:rsid w:val="00652D95"/>
    <w:rsid w:val="00696306"/>
    <w:rsid w:val="00787B6F"/>
    <w:rsid w:val="0084214A"/>
    <w:rsid w:val="00886230"/>
    <w:rsid w:val="008A034D"/>
    <w:rsid w:val="00991CDA"/>
    <w:rsid w:val="00A15D60"/>
    <w:rsid w:val="00A41E14"/>
    <w:rsid w:val="00A90DC4"/>
    <w:rsid w:val="00A96CA4"/>
    <w:rsid w:val="00AB0437"/>
    <w:rsid w:val="00AD3FBA"/>
    <w:rsid w:val="00B76210"/>
    <w:rsid w:val="00CE49F4"/>
    <w:rsid w:val="00DB051D"/>
    <w:rsid w:val="00DB6CC2"/>
    <w:rsid w:val="00DD0792"/>
    <w:rsid w:val="00E846CE"/>
    <w:rsid w:val="00EA2A1A"/>
    <w:rsid w:val="00EF014C"/>
    <w:rsid w:val="00F33AF4"/>
    <w:rsid w:val="034743C4"/>
    <w:rsid w:val="034D6268"/>
    <w:rsid w:val="03A4402E"/>
    <w:rsid w:val="04F9571B"/>
    <w:rsid w:val="066C340E"/>
    <w:rsid w:val="089910A7"/>
    <w:rsid w:val="095477EB"/>
    <w:rsid w:val="0C3E21B7"/>
    <w:rsid w:val="10B36ECA"/>
    <w:rsid w:val="113A133C"/>
    <w:rsid w:val="12B020A3"/>
    <w:rsid w:val="18AD5433"/>
    <w:rsid w:val="19382FE0"/>
    <w:rsid w:val="1AC87F21"/>
    <w:rsid w:val="1C3755A9"/>
    <w:rsid w:val="1C981DB0"/>
    <w:rsid w:val="1EA2729F"/>
    <w:rsid w:val="1F653BE9"/>
    <w:rsid w:val="20C64DBE"/>
    <w:rsid w:val="21232480"/>
    <w:rsid w:val="255A6C57"/>
    <w:rsid w:val="2B622C8F"/>
    <w:rsid w:val="2ECD5EDF"/>
    <w:rsid w:val="302E65EB"/>
    <w:rsid w:val="3292080E"/>
    <w:rsid w:val="335F359C"/>
    <w:rsid w:val="336458EC"/>
    <w:rsid w:val="348B3149"/>
    <w:rsid w:val="390A2917"/>
    <w:rsid w:val="3A5A4210"/>
    <w:rsid w:val="3D292A4F"/>
    <w:rsid w:val="406B135F"/>
    <w:rsid w:val="4DAB42E4"/>
    <w:rsid w:val="54DE4C05"/>
    <w:rsid w:val="57463AEF"/>
    <w:rsid w:val="5EB47240"/>
    <w:rsid w:val="601D089B"/>
    <w:rsid w:val="60EC7EAD"/>
    <w:rsid w:val="6286358E"/>
    <w:rsid w:val="652104FF"/>
    <w:rsid w:val="65C96D2C"/>
    <w:rsid w:val="6AEC3FEA"/>
    <w:rsid w:val="73B54518"/>
    <w:rsid w:val="76D810F9"/>
    <w:rsid w:val="7B931C86"/>
    <w:rsid w:val="7C995848"/>
    <w:rsid w:val="7F035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2464</Words>
  <Characters>2620</Characters>
  <Lines>13</Lines>
  <Paragraphs>3</Paragraphs>
  <TotalTime>24</TotalTime>
  <ScaleCrop>false</ScaleCrop>
  <LinksUpToDate>false</LinksUpToDate>
  <CharactersWithSpaces>2716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2021-07-24T05:03:00Z</dcterms:created>
  <dc:creator>lenovo</dc:creator>
  <cp:lastModifiedBy>Administrator</cp:lastModifiedBy>
  <cp:lastPrinted>2026-06-11T07:33:00Z</cp:lastPrinted>
  <dcterms:modified xsi:type="dcterms:W3CDTF">2026-06-11T09:19:32Z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328DB36B63F342B583E900D495786CAA_13</vt:lpwstr>
  </property>
  <property fmtid="{D5CDD505-2E9C-101B-9397-08002B2CF9AE}" pid="4" name="KSOTemplateDocerSaveRecord">
    <vt:lpwstr>eyJoZGlkIjoiOGYyNDU5OGJkMWQ1NzBmNTUyNjNjMTVhNjBlMzM5N2YiLCJ1c2VySWQiOiIyOTU1Njk3NjgifQ==</vt:lpwstr>
  </property>
</Properties>
</file>