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3B7AC">
      <w:pPr>
        <w:shd w:val="clear"/>
        <w:ind w:left="0" w:leftChars="0" w:firstLine="0" w:firstLineChars="0"/>
        <w:rPr>
          <w:rFonts w:hint="default" w:ascii="Times New Roman" w:hAnsi="Times New Roman" w:eastAsia="仿宋_GB2312" w:cs="Times New Roman"/>
          <w:color w:val="000000" w:themeColor="text1"/>
          <w:sz w:val="30"/>
          <w:szCs w:val="30"/>
          <w:highlight w:val="none"/>
          <w14:textFill>
            <w14:solidFill>
              <w14:schemeClr w14:val="tx1"/>
            </w14:solidFill>
          </w14:textFill>
        </w:rPr>
      </w:pPr>
      <w:bookmarkStart w:id="8" w:name="_GoBack"/>
      <w:bookmarkEnd w:id="8"/>
    </w:p>
    <w:p w14:paraId="7D12F4D1">
      <w:pPr>
        <w:shd w:val="clear"/>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4115E2B4">
      <w:pPr>
        <w:shd w:val="clear"/>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2BBA9DAA">
      <w:pPr>
        <w:shd w:val="clear"/>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61B09FC9">
      <w:pPr>
        <w:pStyle w:val="48"/>
        <w:shd w:val="clear"/>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建设项目环境影响报告表</w:t>
      </w:r>
    </w:p>
    <w:p w14:paraId="07D5A91C">
      <w:pPr>
        <w:keepNext w:val="0"/>
        <w:keepLines w:val="0"/>
        <w:pageBreakBefore w:val="0"/>
        <w:widowControl w:val="0"/>
        <w:shd w:val="clear"/>
        <w:kinsoku/>
        <w:wordWrap/>
        <w:overflowPunct/>
        <w:topLinePunct w:val="0"/>
        <w:autoSpaceDE/>
        <w:autoSpaceDN/>
        <w:bidi w:val="0"/>
        <w:adjustRightInd w:val="0"/>
        <w:snapToGrid w:val="0"/>
        <w:spacing w:before="192" w:beforeLines="80"/>
        <w:ind w:firstLine="0" w:firstLineChars="0"/>
        <w:jc w:val="center"/>
        <w:textAlignment w:val="auto"/>
        <w:rPr>
          <w:rFonts w:hint="default" w:ascii="Times New Roman" w:hAnsi="Times New Roman" w:eastAsia="楷体_GB2312" w:cs="Times New Roman"/>
          <w:bCs/>
          <w:color w:val="000000" w:themeColor="text1"/>
          <w:sz w:val="48"/>
          <w:szCs w:val="48"/>
          <w:highlight w:val="none"/>
          <w14:textFill>
            <w14:solidFill>
              <w14:schemeClr w14:val="tx1"/>
            </w14:solidFill>
          </w14:textFill>
        </w:rPr>
      </w:pPr>
      <w:r>
        <w:rPr>
          <w:rFonts w:hint="default" w:ascii="Times New Roman" w:hAnsi="Times New Roman" w:eastAsia="楷体_GB2312" w:cs="Times New Roman"/>
          <w:bCs/>
          <w:color w:val="000000" w:themeColor="text1"/>
          <w:sz w:val="48"/>
          <w:szCs w:val="48"/>
          <w:highlight w:val="none"/>
          <w14:textFill>
            <w14:solidFill>
              <w14:schemeClr w14:val="tx1"/>
            </w14:solidFill>
          </w14:textFill>
        </w:rPr>
        <w:t>（污染影响类）</w:t>
      </w:r>
    </w:p>
    <w:p w14:paraId="497F7C54">
      <w:pPr>
        <w:keepNext w:val="0"/>
        <w:keepLines w:val="0"/>
        <w:pageBreakBefore w:val="0"/>
        <w:widowControl w:val="0"/>
        <w:shd w:val="clear"/>
        <w:kinsoku/>
        <w:wordWrap/>
        <w:overflowPunct/>
        <w:topLinePunct w:val="0"/>
        <w:autoSpaceDE/>
        <w:autoSpaceDN/>
        <w:bidi w:val="0"/>
        <w:adjustRightInd w:val="0"/>
        <w:snapToGrid w:val="0"/>
        <w:spacing w:before="192" w:beforeLines="80"/>
        <w:ind w:firstLine="0" w:firstLineChars="0"/>
        <w:jc w:val="center"/>
        <w:textAlignment w:val="auto"/>
        <w:rPr>
          <w:rFonts w:hint="eastAsia" w:ascii="Times New Roman" w:hAnsi="Times New Roman" w:eastAsia="楷体_GB2312" w:cs="Times New Roman"/>
          <w:bCs/>
          <w:color w:val="000000" w:themeColor="text1"/>
          <w:sz w:val="48"/>
          <w:szCs w:val="48"/>
          <w:highlight w:val="none"/>
          <w:lang w:val="en-US" w:eastAsia="zh-CN"/>
          <w14:textFill>
            <w14:solidFill>
              <w14:schemeClr w14:val="tx1"/>
            </w14:solidFill>
          </w14:textFill>
        </w:rPr>
      </w:pPr>
      <w:r>
        <w:rPr>
          <w:rFonts w:hint="eastAsia" w:eastAsia="楷体_GB2312" w:cs="Times New Roman"/>
          <w:bCs/>
          <w:color w:val="000000" w:themeColor="text1"/>
          <w:sz w:val="48"/>
          <w:szCs w:val="48"/>
          <w:highlight w:val="none"/>
          <w:lang w:val="en-US" w:eastAsia="zh-CN"/>
          <w14:textFill>
            <w14:solidFill>
              <w14:schemeClr w14:val="tx1"/>
            </w14:solidFill>
          </w14:textFill>
        </w:rPr>
        <w:t>修改版</w:t>
      </w:r>
    </w:p>
    <w:p w14:paraId="56ACEDBD">
      <w:pPr>
        <w:keepNext w:val="0"/>
        <w:keepLines w:val="0"/>
        <w:pageBreakBefore w:val="0"/>
        <w:widowControl w:val="0"/>
        <w:shd w:val="clear"/>
        <w:kinsoku/>
        <w:wordWrap/>
        <w:overflowPunct/>
        <w:topLinePunct w:val="0"/>
        <w:autoSpaceDE/>
        <w:autoSpaceDN/>
        <w:bidi w:val="0"/>
        <w:adjustRightInd w:val="0"/>
        <w:snapToGrid w:val="0"/>
        <w:spacing w:before="192" w:beforeLines="80"/>
        <w:ind w:firstLine="0" w:firstLineChars="0"/>
        <w:jc w:val="center"/>
        <w:textAlignment w:val="auto"/>
        <w:rPr>
          <w:rFonts w:hint="eastAsia" w:ascii="Times New Roman" w:hAnsi="Times New Roman" w:eastAsia="楷体_GB2312" w:cs="Times New Roman"/>
          <w:bCs/>
          <w:color w:val="000000" w:themeColor="text1"/>
          <w:sz w:val="48"/>
          <w:szCs w:val="48"/>
          <w:highlight w:val="none"/>
          <w:lang w:eastAsia="zh-CN"/>
          <w14:textFill>
            <w14:solidFill>
              <w14:schemeClr w14:val="tx1"/>
            </w14:solidFill>
          </w14:textFill>
        </w:rPr>
      </w:pPr>
    </w:p>
    <w:p w14:paraId="4C505F6B">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p>
    <w:p w14:paraId="2D153793">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p>
    <w:p w14:paraId="1DA0C22F">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p>
    <w:p w14:paraId="711A0674">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p>
    <w:p w14:paraId="6CCCC711">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p>
    <w:p w14:paraId="65B4E001">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p>
    <w:p w14:paraId="6BC1AD39">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p>
    <w:p w14:paraId="10F997D2">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p>
    <w:p w14:paraId="0903CC14">
      <w:pPr>
        <w:shd w:val="clear"/>
        <w:rPr>
          <w:rFonts w:hint="default" w:ascii="Times New Roman" w:hAnsi="Times New Roman" w:cs="Times New Roman"/>
          <w:color w:val="000000" w:themeColor="text1"/>
          <w:highlight w:val="none"/>
          <w14:textFill>
            <w14:solidFill>
              <w14:schemeClr w14:val="tx1"/>
            </w14:solidFill>
          </w14:textFill>
        </w:rPr>
      </w:pPr>
    </w:p>
    <w:p w14:paraId="491D4867">
      <w:pPr>
        <w:shd w:val="clear"/>
        <w:rPr>
          <w:rFonts w:hint="default" w:ascii="Times New Roman" w:hAnsi="Times New Roman" w:cs="Times New Roman"/>
          <w:color w:val="000000" w:themeColor="text1"/>
          <w:highlight w:val="none"/>
          <w14:textFill>
            <w14:solidFill>
              <w14:schemeClr w14:val="tx1"/>
            </w14:solidFill>
          </w14:textFill>
        </w:rPr>
      </w:pP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14:paraId="1F411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9060" w:type="dxa"/>
            <w:tcBorders>
              <w:tl2br w:val="nil"/>
              <w:tr2bl w:val="nil"/>
            </w:tcBorders>
            <w:vAlign w:val="center"/>
          </w:tcPr>
          <w:p w14:paraId="157404E9">
            <w:pPr>
              <w:keepNext w:val="0"/>
              <w:keepLines w:val="0"/>
              <w:pageBreakBefore w:val="0"/>
              <w:widowControl w:val="0"/>
              <w:shd w:val="clear"/>
              <w:kinsoku/>
              <w:wordWrap w:val="0"/>
              <w:overflowPunct/>
              <w:topLinePunct/>
              <w:autoSpaceDE/>
              <w:autoSpaceDN/>
              <w:bidi w:val="0"/>
              <w:adjustRightInd w:val="0"/>
              <w:snapToGrid w:val="0"/>
              <w:spacing w:line="288" w:lineRule="auto"/>
              <w:ind w:left="0" w:leftChars="0" w:firstLine="0" w:firstLineChars="0"/>
              <w:jc w:val="left"/>
              <w:textAlignment w:val="auto"/>
              <w:rPr>
                <w:rFonts w:hint="default" w:ascii="Times New Roman" w:hAnsi="Times New Roman" w:eastAsia="仿宋_GB2312" w:cs="Times New Roman"/>
                <w:color w:val="000000" w:themeColor="text1"/>
                <w:sz w:val="36"/>
                <w:szCs w:val="36"/>
                <w:highlight w:val="none"/>
                <w:u w:val="none"/>
                <w:vertAlign w:val="baseline"/>
                <w:lang w:val="en-US"/>
                <w14:textFill>
                  <w14:solidFill>
                    <w14:schemeClr w14:val="tx1"/>
                  </w14:solidFill>
                </w14:textFill>
              </w:rPr>
            </w:pPr>
            <w:r>
              <w:rPr>
                <w:rFonts w:hint="default" w:ascii="Times New Roman" w:hAnsi="Times New Roman" w:eastAsia="仿宋_GB2312" w:cs="Times New Roman"/>
                <w:color w:val="000000" w:themeColor="text1"/>
                <w:sz w:val="36"/>
                <w:szCs w:val="36"/>
                <w:highlight w:val="none"/>
                <w:u w:val="none"/>
                <w14:textFill>
                  <w14:solidFill>
                    <w14:schemeClr w14:val="tx1"/>
                  </w14:solidFill>
                </w14:textFill>
              </w:rPr>
              <w:t>项目名称：</w:t>
            </w:r>
            <w:r>
              <w:rPr>
                <w:rFonts w:hint="eastAsia" w:eastAsia="仿宋_GB2312" w:cs="Times New Roman"/>
                <w:color w:val="000000" w:themeColor="text1"/>
                <w:spacing w:val="0"/>
                <w:sz w:val="36"/>
                <w:szCs w:val="36"/>
                <w:highlight w:val="none"/>
                <w:u w:val="single"/>
                <w:lang w:val="en-US" w:eastAsia="zh-CN"/>
                <w14:textFill>
                  <w14:solidFill>
                    <w14:schemeClr w14:val="tx1"/>
                  </w14:solidFill>
                </w14:textFill>
              </w:rPr>
              <w:t>滦州市耀隆宝峰矿业有限公司新增破碎筛分设备技术改造项目</w:t>
            </w:r>
          </w:p>
        </w:tc>
      </w:tr>
      <w:tr w14:paraId="79505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0145E0CF">
            <w:pPr>
              <w:keepNext w:val="0"/>
              <w:keepLines w:val="0"/>
              <w:pageBreakBefore w:val="0"/>
              <w:widowControl w:val="0"/>
              <w:shd w:val="clear"/>
              <w:kinsoku/>
              <w:wordWrap w:val="0"/>
              <w:overflowPunct/>
              <w:topLinePunct/>
              <w:autoSpaceDE/>
              <w:autoSpaceDN/>
              <w:bidi w:val="0"/>
              <w:adjustRightInd w:val="0"/>
              <w:snapToGrid w:val="0"/>
              <w:spacing w:line="288" w:lineRule="auto"/>
              <w:ind w:left="0" w:leftChars="0" w:firstLine="0" w:firstLineChars="0"/>
              <w:jc w:val="left"/>
              <w:textAlignment w:val="auto"/>
              <w:rPr>
                <w:rFonts w:hint="default" w:ascii="Times New Roman" w:hAnsi="Times New Roman" w:eastAsia="仿宋_GB2312" w:cs="Times New Roman"/>
                <w:color w:val="000000" w:themeColor="text1"/>
                <w:sz w:val="36"/>
                <w:szCs w:val="36"/>
                <w:highlight w:val="none"/>
                <w:u w:val="none"/>
                <w:vertAlign w:val="baseline"/>
                <w:lang w:val="en-US"/>
                <w14:textFill>
                  <w14:solidFill>
                    <w14:schemeClr w14:val="tx1"/>
                  </w14:solidFill>
                </w14:textFill>
              </w:rPr>
            </w:pPr>
            <w:r>
              <w:rPr>
                <w:rFonts w:hint="default" w:ascii="Times New Roman" w:hAnsi="Times New Roman" w:eastAsia="仿宋_GB2312" w:cs="Times New Roman"/>
                <w:color w:val="000000" w:themeColor="text1"/>
                <w:sz w:val="36"/>
                <w:szCs w:val="36"/>
                <w:highlight w:val="none"/>
                <w:u w:val="none"/>
                <w14:textFill>
                  <w14:solidFill>
                    <w14:schemeClr w14:val="tx1"/>
                  </w14:solidFill>
                </w14:textFill>
              </w:rPr>
              <w:t>建设单位（盖章）：</w:t>
            </w:r>
            <w:r>
              <w:rPr>
                <w:rFonts w:hint="eastAsia" w:eastAsia="仿宋_GB2312" w:cs="Times New Roman"/>
                <w:color w:val="000000" w:themeColor="text1"/>
                <w:spacing w:val="-11"/>
                <w:sz w:val="36"/>
                <w:szCs w:val="36"/>
                <w:highlight w:val="none"/>
                <w:u w:val="single"/>
                <w:lang w:val="en-US" w:eastAsia="zh-CN"/>
                <w14:textFill>
                  <w14:solidFill>
                    <w14:schemeClr w14:val="tx1"/>
                  </w14:solidFill>
                </w14:textFill>
              </w:rPr>
              <w:t xml:space="preserve">滦州市耀隆宝峰矿业有限公司        </w:t>
            </w:r>
          </w:p>
        </w:tc>
      </w:tr>
      <w:tr w14:paraId="58B0C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54BA2D2D">
            <w:pPr>
              <w:keepNext w:val="0"/>
              <w:keepLines w:val="0"/>
              <w:pageBreakBefore w:val="0"/>
              <w:widowControl w:val="0"/>
              <w:shd w:val="clear"/>
              <w:kinsoku/>
              <w:wordWrap w:val="0"/>
              <w:overflowPunct/>
              <w:topLinePunct/>
              <w:autoSpaceDE/>
              <w:autoSpaceDN/>
              <w:bidi w:val="0"/>
              <w:adjustRightInd w:val="0"/>
              <w:snapToGrid w:val="0"/>
              <w:spacing w:line="288" w:lineRule="auto"/>
              <w:ind w:left="0" w:leftChars="0" w:firstLine="0" w:firstLineChars="0"/>
              <w:jc w:val="left"/>
              <w:textAlignment w:val="auto"/>
              <w:rPr>
                <w:rFonts w:hint="default" w:ascii="Times New Roman" w:hAnsi="Times New Roman" w:eastAsia="仿宋_GB2312" w:cs="Times New Roman"/>
                <w:color w:val="000000" w:themeColor="text1"/>
                <w:sz w:val="36"/>
                <w:szCs w:val="36"/>
                <w:highlight w:val="none"/>
                <w:u w:val="none"/>
                <w:vertAlign w:val="baseline"/>
                <w:lang w:val="en-US"/>
                <w14:textFill>
                  <w14:solidFill>
                    <w14:schemeClr w14:val="tx1"/>
                  </w14:solidFill>
                </w14:textFill>
              </w:rPr>
            </w:pPr>
            <w:r>
              <w:rPr>
                <w:rFonts w:hint="default" w:ascii="Times New Roman" w:hAnsi="Times New Roman" w:eastAsia="仿宋_GB2312" w:cs="Times New Roman"/>
                <w:color w:val="000000" w:themeColor="text1"/>
                <w:sz w:val="36"/>
                <w:szCs w:val="36"/>
                <w:highlight w:val="none"/>
                <w:u w:val="none"/>
                <w14:textFill>
                  <w14:solidFill>
                    <w14:schemeClr w14:val="tx1"/>
                  </w14:solidFill>
                </w14:textFill>
              </w:rPr>
              <w:t>编制日期：</w:t>
            </w:r>
            <w:r>
              <w:rPr>
                <w:rFonts w:hint="eastAsia" w:eastAsia="仿宋_GB2312" w:cs="Times New Roman"/>
                <w:color w:val="000000" w:themeColor="text1"/>
                <w:spacing w:val="-6"/>
                <w:sz w:val="36"/>
                <w:szCs w:val="36"/>
                <w:highlight w:val="none"/>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6"/>
                <w:sz w:val="36"/>
                <w:szCs w:val="36"/>
                <w:highlight w:val="none"/>
                <w:u w:val="single"/>
                <w:lang w:val="en-US" w:eastAsia="zh-CN"/>
                <w14:textFill>
                  <w14:solidFill>
                    <w14:schemeClr w14:val="tx1"/>
                  </w14:solidFill>
                </w14:textFill>
              </w:rPr>
              <w:t>202</w:t>
            </w:r>
            <w:r>
              <w:rPr>
                <w:rFonts w:hint="eastAsia" w:eastAsia="仿宋_GB2312" w:cs="Times New Roman"/>
                <w:color w:val="000000" w:themeColor="text1"/>
                <w:spacing w:val="-6"/>
                <w:sz w:val="36"/>
                <w:szCs w:val="36"/>
                <w:highlight w:val="none"/>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pacing w:val="-6"/>
                <w:sz w:val="36"/>
                <w:szCs w:val="36"/>
                <w:highlight w:val="none"/>
                <w:u w:val="single"/>
                <w:lang w:val="en-US" w:eastAsia="zh-CN"/>
                <w14:textFill>
                  <w14:solidFill>
                    <w14:schemeClr w14:val="tx1"/>
                  </w14:solidFill>
                </w14:textFill>
              </w:rPr>
              <w:t>年</w:t>
            </w:r>
            <w:r>
              <w:rPr>
                <w:rFonts w:hint="eastAsia" w:eastAsia="仿宋_GB2312" w:cs="Times New Roman"/>
                <w:color w:val="000000" w:themeColor="text1"/>
                <w:spacing w:val="-6"/>
                <w:sz w:val="36"/>
                <w:szCs w:val="36"/>
                <w:highlight w:val="none"/>
                <w:u w:val="single"/>
                <w:lang w:val="en-US" w:eastAsia="zh-CN"/>
                <w14:textFill>
                  <w14:solidFill>
                    <w14:schemeClr w14:val="tx1"/>
                  </w14:solidFill>
                </w14:textFill>
              </w:rPr>
              <w:t>4</w:t>
            </w:r>
            <w:r>
              <w:rPr>
                <w:rFonts w:hint="default" w:ascii="Times New Roman" w:hAnsi="Times New Roman" w:eastAsia="仿宋_GB2312" w:cs="Times New Roman"/>
                <w:color w:val="000000" w:themeColor="text1"/>
                <w:spacing w:val="-6"/>
                <w:sz w:val="36"/>
                <w:szCs w:val="36"/>
                <w:highlight w:val="none"/>
                <w:u w:val="single"/>
                <w:lang w:val="en-US" w:eastAsia="zh-CN"/>
                <w14:textFill>
                  <w14:solidFill>
                    <w14:schemeClr w14:val="tx1"/>
                  </w14:solidFill>
                </w14:textFill>
              </w:rPr>
              <w:t>月</w:t>
            </w:r>
            <w:r>
              <w:rPr>
                <w:rFonts w:hint="eastAsia" w:eastAsia="仿宋_GB2312" w:cs="Times New Roman"/>
                <w:color w:val="000000" w:themeColor="text1"/>
                <w:spacing w:val="-6"/>
                <w:sz w:val="36"/>
                <w:szCs w:val="36"/>
                <w:highlight w:val="none"/>
                <w:u w:val="single"/>
                <w:lang w:val="en-US" w:eastAsia="zh-CN"/>
                <w14:textFill>
                  <w14:solidFill>
                    <w14:schemeClr w14:val="tx1"/>
                  </w14:solidFill>
                </w14:textFill>
              </w:rPr>
              <w:t xml:space="preserve">                </w:t>
            </w:r>
          </w:p>
        </w:tc>
      </w:tr>
    </w:tbl>
    <w:p w14:paraId="5AAE9CA5">
      <w:pPr>
        <w:keepNext w:val="0"/>
        <w:keepLines w:val="0"/>
        <w:pageBreakBefore w:val="0"/>
        <w:widowControl w:val="0"/>
        <w:shd w:val="clear"/>
        <w:kinsoku/>
        <w:wordWrap w:val="0"/>
        <w:overflowPunct/>
        <w:topLinePunct/>
        <w:autoSpaceDE/>
        <w:autoSpaceDN/>
        <w:bidi w:val="0"/>
        <w:adjustRightInd w:val="0"/>
        <w:snapToGrid w:val="0"/>
        <w:spacing w:line="288" w:lineRule="auto"/>
        <w:ind w:firstLine="1080" w:firstLineChars="300"/>
        <w:jc w:val="both"/>
        <w:textAlignment w:val="auto"/>
        <w:rPr>
          <w:rFonts w:hint="default" w:ascii="Times New Roman" w:hAnsi="Times New Roman" w:eastAsia="仿宋_GB2312" w:cs="Times New Roman"/>
          <w:color w:val="000000" w:themeColor="text1"/>
          <w:sz w:val="36"/>
          <w:szCs w:val="36"/>
          <w:highlight w:val="none"/>
          <w:u w:val="single"/>
          <w:lang w:val="en-US" w:eastAsia="zh-CN"/>
          <w14:textFill>
            <w14:solidFill>
              <w14:schemeClr w14:val="tx1"/>
            </w14:solidFill>
          </w14:textFill>
        </w:rPr>
      </w:pPr>
      <w:bookmarkStart w:id="0" w:name="_Hlk57884087"/>
    </w:p>
    <w:p w14:paraId="2082C0E9">
      <w:pPr>
        <w:shd w:val="clear"/>
        <w:adjustRightInd w:val="0"/>
        <w:snapToGrid w:val="0"/>
        <w:spacing w:line="288" w:lineRule="auto"/>
        <w:ind w:firstLine="104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bookmarkEnd w:id="0"/>
    <w:p w14:paraId="2BBF706D">
      <w:pPr>
        <w:keepNext w:val="0"/>
        <w:keepLines w:val="0"/>
        <w:pageBreakBefore w:val="0"/>
        <w:widowControl w:val="0"/>
        <w:shd w:val="clear"/>
        <w:kinsoku/>
        <w:wordWrap/>
        <w:overflowPunct/>
        <w:topLinePunct w:val="0"/>
        <w:autoSpaceDE/>
        <w:autoSpaceDN/>
        <w:bidi w:val="0"/>
        <w:adjustRightInd w:val="0"/>
        <w:snapToGrid w:val="0"/>
        <w:spacing w:line="288" w:lineRule="auto"/>
        <w:ind w:firstLine="0" w:firstLineChars="0"/>
        <w:jc w:val="center"/>
        <w:textAlignment w:val="auto"/>
        <w:rPr>
          <w:rFonts w:hint="default" w:ascii="Times New Roman" w:hAnsi="Times New Roman" w:eastAsia="楷体_GB2312" w:cs="Times New Roman"/>
          <w:color w:val="000000" w:themeColor="text1"/>
          <w:sz w:val="36"/>
          <w:szCs w:val="36"/>
          <w:highlight w:val="none"/>
          <w14:textFill>
            <w14:solidFill>
              <w14:schemeClr w14:val="tx1"/>
            </w14:solidFill>
          </w14:textFill>
        </w:rPr>
      </w:pPr>
      <w:r>
        <w:rPr>
          <w:rFonts w:hint="default" w:ascii="Times New Roman" w:hAnsi="Times New Roman" w:eastAsia="楷体_GB2312" w:cs="Times New Roman"/>
          <w:color w:val="000000" w:themeColor="text1"/>
          <w:sz w:val="36"/>
          <w:szCs w:val="36"/>
          <w:highlight w:val="none"/>
          <w14:textFill>
            <w14:solidFill>
              <w14:schemeClr w14:val="tx1"/>
            </w14:solidFill>
          </w14:textFill>
        </w:rPr>
        <w:t>中华人民共和国生态环境部制</w:t>
      </w:r>
    </w:p>
    <w:p w14:paraId="7EFBFE3B">
      <w:pPr>
        <w:shd w:val="clear"/>
        <w:rPr>
          <w:rFonts w:hint="default" w:ascii="Times New Roman" w:hAnsi="Times New Roman" w:eastAsia="楷体_GB2312" w:cs="Times New Roman"/>
          <w:color w:val="000000" w:themeColor="text1"/>
          <w:sz w:val="36"/>
          <w:szCs w:val="36"/>
          <w:highlight w:val="none"/>
          <w14:textFill>
            <w14:solidFill>
              <w14:schemeClr w14:val="tx1"/>
            </w14:solidFill>
          </w14:textFill>
        </w:rPr>
      </w:pPr>
      <w:r>
        <w:rPr>
          <w:rFonts w:hint="default" w:ascii="Times New Roman" w:hAnsi="Times New Roman" w:eastAsia="楷体_GB2312" w:cs="Times New Roman"/>
          <w:color w:val="000000" w:themeColor="text1"/>
          <w:sz w:val="36"/>
          <w:szCs w:val="36"/>
          <w:highlight w:val="none"/>
          <w14:textFill>
            <w14:solidFill>
              <w14:schemeClr w14:val="tx1"/>
            </w14:solidFill>
          </w14:textFill>
        </w:rPr>
        <w:br w:type="page"/>
      </w:r>
    </w:p>
    <w:p w14:paraId="1C24BB37">
      <w:pPr>
        <w:shd w:val="clear"/>
        <w:adjustRightInd w:val="0"/>
        <w:snapToGrid w:val="0"/>
        <w:spacing w:line="288" w:lineRule="auto"/>
        <w:jc w:val="center"/>
        <w:rPr>
          <w:rFonts w:hint="default" w:ascii="Times New Roman" w:hAnsi="Times New Roman" w:eastAsia="仿宋_GB2312" w:cs="Times New Roman"/>
          <w:color w:val="000000" w:themeColor="text1"/>
          <w:sz w:val="36"/>
          <w:szCs w:val="36"/>
          <w:highlight w:val="none"/>
          <w14:textFill>
            <w14:solidFill>
              <w14:schemeClr w14:val="tx1"/>
            </w14:solidFill>
          </w14:textFill>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hint="default" w:ascii="Times New Roman" w:hAnsi="Times New Roman" w:eastAsia="仿宋_GB2312" w:cs="Times New Roman"/>
          <w:color w:val="000000" w:themeColor="text1"/>
          <w:sz w:val="36"/>
          <w:szCs w:val="36"/>
          <w:highlight w:val="none"/>
          <w14:textFill>
            <w14:solidFill>
              <w14:schemeClr w14:val="tx1"/>
            </w14:solidFill>
          </w14:textFill>
        </w:rPr>
        <w:br w:type="page"/>
      </w:r>
    </w:p>
    <w:p w14:paraId="254A9EE1">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一、建设项目基本情况</w:t>
      </w:r>
    </w:p>
    <w:tbl>
      <w:tblPr>
        <w:tblStyle w:val="32"/>
        <w:tblW w:w="9071"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1571"/>
        <w:gridCol w:w="2018"/>
        <w:gridCol w:w="2168"/>
        <w:gridCol w:w="3314"/>
      </w:tblGrid>
      <w:tr w14:paraId="7A71051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970" w:hRule="atLeast"/>
          <w:jc w:val="center"/>
        </w:trPr>
        <w:tc>
          <w:tcPr>
            <w:tcW w:w="1571" w:type="dxa"/>
            <w:tcBorders>
              <w:tl2br w:val="nil"/>
              <w:tr2bl w:val="nil"/>
            </w:tcBorders>
            <w:noWrap w:val="0"/>
            <w:tcMar>
              <w:top w:w="16" w:type="dxa"/>
              <w:left w:w="16" w:type="dxa"/>
              <w:right w:w="16" w:type="dxa"/>
            </w:tcMar>
            <w:vAlign w:val="center"/>
          </w:tcPr>
          <w:p w14:paraId="0A753F3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建设项目名称</w:t>
            </w:r>
          </w:p>
        </w:tc>
        <w:tc>
          <w:tcPr>
            <w:tcW w:w="7500" w:type="dxa"/>
            <w:gridSpan w:val="3"/>
            <w:tcBorders>
              <w:tl2br w:val="nil"/>
              <w:tr2bl w:val="nil"/>
            </w:tcBorders>
            <w:noWrap w:val="0"/>
            <w:vAlign w:val="center"/>
          </w:tcPr>
          <w:p w14:paraId="60052ADC">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shd w:val="clear"/>
                <w:lang w:val="en-US" w:eastAsia="zh-CN"/>
                <w14:textFill>
                  <w14:solidFill>
                    <w14:schemeClr w14:val="tx1"/>
                  </w14:solidFill>
                </w14:textFill>
              </w:rPr>
              <w:t>滦州市耀隆宝峰矿业有限公司新增破碎筛分设备技术改造项目</w:t>
            </w:r>
          </w:p>
        </w:tc>
      </w:tr>
      <w:tr w14:paraId="02311D3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4" w:hRule="atLeast"/>
          <w:jc w:val="center"/>
        </w:trPr>
        <w:tc>
          <w:tcPr>
            <w:tcW w:w="1571" w:type="dxa"/>
            <w:tcBorders>
              <w:tl2br w:val="nil"/>
              <w:tr2bl w:val="nil"/>
            </w:tcBorders>
            <w:noWrap w:val="0"/>
            <w:tcMar>
              <w:top w:w="16" w:type="dxa"/>
              <w:left w:w="16" w:type="dxa"/>
              <w:right w:w="16" w:type="dxa"/>
            </w:tcMar>
            <w:vAlign w:val="center"/>
          </w:tcPr>
          <w:p w14:paraId="5B68C4B0">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项目代码</w:t>
            </w:r>
          </w:p>
        </w:tc>
        <w:tc>
          <w:tcPr>
            <w:tcW w:w="7500" w:type="dxa"/>
            <w:gridSpan w:val="3"/>
            <w:tcBorders>
              <w:tl2br w:val="nil"/>
              <w:tr2bl w:val="nil"/>
            </w:tcBorders>
            <w:noWrap w:val="0"/>
            <w:vAlign w:val="center"/>
          </w:tcPr>
          <w:p w14:paraId="3556D54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2602-130223-89-02-335466</w:t>
            </w:r>
          </w:p>
        </w:tc>
      </w:tr>
      <w:tr w14:paraId="7D10AE6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4" w:hRule="atLeast"/>
          <w:jc w:val="center"/>
        </w:trPr>
        <w:tc>
          <w:tcPr>
            <w:tcW w:w="1571" w:type="dxa"/>
            <w:tcBorders>
              <w:tl2br w:val="nil"/>
              <w:tr2bl w:val="nil"/>
            </w:tcBorders>
            <w:noWrap w:val="0"/>
            <w:tcMar>
              <w:top w:w="16" w:type="dxa"/>
              <w:left w:w="16" w:type="dxa"/>
              <w:right w:w="16" w:type="dxa"/>
            </w:tcMar>
            <w:vAlign w:val="center"/>
          </w:tcPr>
          <w:p w14:paraId="68392B6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shd w:val="clear"/>
                <w14:textFill>
                  <w14:solidFill>
                    <w14:schemeClr w14:val="tx1"/>
                  </w14:solidFill>
                </w14:textFill>
              </w:rPr>
              <w:t>建设单位联系人</w:t>
            </w:r>
          </w:p>
        </w:tc>
        <w:tc>
          <w:tcPr>
            <w:tcW w:w="2018" w:type="dxa"/>
            <w:tcBorders>
              <w:tl2br w:val="nil"/>
              <w:tr2bl w:val="nil"/>
            </w:tcBorders>
            <w:noWrap w:val="0"/>
            <w:vAlign w:val="center"/>
          </w:tcPr>
          <w:p w14:paraId="118123BF">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杨凤杰</w:t>
            </w:r>
          </w:p>
        </w:tc>
        <w:tc>
          <w:tcPr>
            <w:tcW w:w="2168" w:type="dxa"/>
            <w:tcBorders>
              <w:tl2br w:val="nil"/>
              <w:tr2bl w:val="nil"/>
            </w:tcBorders>
            <w:noWrap w:val="0"/>
            <w:vAlign w:val="center"/>
          </w:tcPr>
          <w:p w14:paraId="632F0561">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s="Times New Roman"/>
                <w:color w:val="000000" w:themeColor="text1"/>
                <w:sz w:val="24"/>
                <w:szCs w:val="24"/>
                <w:highlight w:val="none"/>
                <w:lang w:val="en-US" w:eastAsia="zh-CN"/>
                <w14:textFill>
                  <w14:solidFill>
                    <w14:schemeClr w14:val="tx1"/>
                  </w14:solidFill>
                </w14:textFill>
              </w:rPr>
            </w:pPr>
            <w:r>
              <w:rPr>
                <w:rFonts w:hint="default" w:cs="Times New Roman"/>
                <w:color w:val="000000" w:themeColor="text1"/>
                <w:sz w:val="24"/>
                <w:szCs w:val="24"/>
                <w:highlight w:val="none"/>
                <w:lang w:val="en-US" w:eastAsia="zh-CN"/>
                <w14:textFill>
                  <w14:solidFill>
                    <w14:schemeClr w14:val="tx1"/>
                  </w14:solidFill>
                </w14:textFill>
              </w:rPr>
              <w:t>联系方式</w:t>
            </w:r>
          </w:p>
        </w:tc>
        <w:tc>
          <w:tcPr>
            <w:tcW w:w="3314" w:type="dxa"/>
            <w:tcBorders>
              <w:tl2br w:val="nil"/>
              <w:tr2bl w:val="nil"/>
            </w:tcBorders>
            <w:noWrap w:val="0"/>
            <w:vAlign w:val="center"/>
          </w:tcPr>
          <w:p w14:paraId="394D6E0A">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13903150729</w:t>
            </w:r>
          </w:p>
        </w:tc>
      </w:tr>
      <w:tr w14:paraId="447ACF7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4" w:hRule="atLeast"/>
          <w:jc w:val="center"/>
        </w:trPr>
        <w:tc>
          <w:tcPr>
            <w:tcW w:w="1571" w:type="dxa"/>
            <w:tcBorders>
              <w:tl2br w:val="nil"/>
              <w:tr2bl w:val="nil"/>
            </w:tcBorders>
            <w:noWrap w:val="0"/>
            <w:tcMar>
              <w:top w:w="16" w:type="dxa"/>
              <w:left w:w="16" w:type="dxa"/>
              <w:right w:w="16" w:type="dxa"/>
            </w:tcMar>
            <w:vAlign w:val="center"/>
          </w:tcPr>
          <w:p w14:paraId="55A8CA75">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建设地点</w:t>
            </w:r>
          </w:p>
        </w:tc>
        <w:tc>
          <w:tcPr>
            <w:tcW w:w="7500" w:type="dxa"/>
            <w:gridSpan w:val="3"/>
            <w:tcBorders>
              <w:tl2br w:val="nil"/>
              <w:tr2bl w:val="nil"/>
            </w:tcBorders>
            <w:noWrap w:val="0"/>
            <w:vAlign w:val="center"/>
          </w:tcPr>
          <w:p w14:paraId="4D4E01E3">
            <w:pPr>
              <w:pStyle w:val="43"/>
              <w:pageBreakBefore w:val="0"/>
              <w:shd w:val="clear"/>
              <w:kinsoku/>
              <w:overflowPunct/>
              <w:topLinePunct w:val="0"/>
              <w:bidi w:val="0"/>
              <w:spacing w:before="0" w:after="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河北省唐山市滦州市雷庄镇耀隆宝峰矿业有限公司院内</w:t>
            </w:r>
          </w:p>
        </w:tc>
      </w:tr>
      <w:tr w14:paraId="3076FCA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4" w:hRule="atLeast"/>
          <w:jc w:val="center"/>
        </w:trPr>
        <w:tc>
          <w:tcPr>
            <w:tcW w:w="1571" w:type="dxa"/>
            <w:tcBorders>
              <w:tl2br w:val="nil"/>
              <w:tr2bl w:val="nil"/>
            </w:tcBorders>
            <w:noWrap w:val="0"/>
            <w:tcMar>
              <w:top w:w="16" w:type="dxa"/>
              <w:left w:w="16" w:type="dxa"/>
              <w:right w:w="16" w:type="dxa"/>
            </w:tcMar>
            <w:vAlign w:val="center"/>
          </w:tcPr>
          <w:p w14:paraId="5417D83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地理坐标</w:t>
            </w:r>
          </w:p>
        </w:tc>
        <w:tc>
          <w:tcPr>
            <w:tcW w:w="7500" w:type="dxa"/>
            <w:gridSpan w:val="3"/>
            <w:tcBorders>
              <w:tl2br w:val="nil"/>
              <w:tr2bl w:val="nil"/>
            </w:tcBorders>
            <w:noWrap w:val="0"/>
            <w:vAlign w:val="center"/>
          </w:tcPr>
          <w:p w14:paraId="3372400C">
            <w:pPr>
              <w:pStyle w:val="43"/>
              <w:pageBreakBefore w:val="0"/>
              <w:shd w:val="clear"/>
              <w:kinsoku/>
              <w:overflowPunct/>
              <w:topLinePunct w:val="0"/>
              <w:bidi w:val="0"/>
              <w:spacing w:before="0" w:after="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shd w:val="clear"/>
                <w:lang w:val="en-US" w:eastAsia="zh-CN"/>
                <w14:textFill>
                  <w14:solidFill>
                    <w14:schemeClr w14:val="tx1"/>
                  </w14:solidFill>
                </w14:textFill>
              </w:rPr>
              <w:t>东经：118°35'2.11</w:t>
            </w:r>
            <w:r>
              <w:rPr>
                <w:rFonts w:hint="eastAsia" w:cs="Times New Roman"/>
                <w:color w:val="000000" w:themeColor="text1"/>
                <w:sz w:val="24"/>
                <w:szCs w:val="24"/>
                <w:highlight w:val="none"/>
                <w:shd w:val="clear"/>
                <w:lang w:val="en-US" w:eastAsia="zh-CN"/>
                <w14:textFill>
                  <w14:solidFill>
                    <w14:schemeClr w14:val="tx1"/>
                  </w14:solidFill>
                </w14:textFill>
              </w:rPr>
              <w:t>0</w:t>
            </w:r>
            <w:r>
              <w:rPr>
                <w:rFonts w:hint="default" w:ascii="Times New Roman" w:hAnsi="Times New Roman" w:cs="Times New Roman"/>
                <w:color w:val="000000" w:themeColor="text1"/>
                <w:sz w:val="24"/>
                <w:szCs w:val="24"/>
                <w:highlight w:val="none"/>
                <w:shd w:val="clear"/>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shd w:val="clear"/>
                <w:lang w:eastAsia="zh-CN"/>
                <w14:textFill>
                  <w14:solidFill>
                    <w14:schemeClr w14:val="tx1"/>
                  </w14:solidFill>
                </w14:textFill>
              </w:rPr>
              <w:t>；</w:t>
            </w:r>
            <w:r>
              <w:rPr>
                <w:rFonts w:hint="default" w:ascii="Times New Roman" w:hAnsi="Times New Roman" w:cs="Times New Roman"/>
                <w:color w:val="000000" w:themeColor="text1"/>
                <w:sz w:val="24"/>
                <w:szCs w:val="24"/>
                <w:highlight w:val="none"/>
                <w:shd w:val="clear"/>
                <w:lang w:val="en-US" w:eastAsia="zh-CN"/>
                <w14:textFill>
                  <w14:solidFill>
                    <w14:schemeClr w14:val="tx1"/>
                  </w14:solidFill>
                </w14:textFill>
              </w:rPr>
              <w:t>北纬：</w:t>
            </w:r>
            <w:r>
              <w:rPr>
                <w:rFonts w:hint="default" w:ascii="Times New Roman" w:hAnsi="Times New Roman" w:cs="Times New Roman"/>
                <w:color w:val="000000" w:themeColor="text1"/>
                <w:sz w:val="24"/>
                <w:szCs w:val="24"/>
                <w:highlight w:val="none"/>
                <w:shd w:val="clear"/>
                <w:lang w:eastAsia="zh-CN"/>
                <w14:textFill>
                  <w14:solidFill>
                    <w14:schemeClr w14:val="tx1"/>
                  </w14:solidFill>
                </w14:textFill>
              </w:rPr>
              <w:t>39°45'48.66</w:t>
            </w:r>
            <w:r>
              <w:rPr>
                <w:rFonts w:hint="eastAsia" w:cs="Times New Roman"/>
                <w:color w:val="000000" w:themeColor="text1"/>
                <w:sz w:val="24"/>
                <w:szCs w:val="24"/>
                <w:highlight w:val="none"/>
                <w:shd w:val="clear"/>
                <w:lang w:val="en-US" w:eastAsia="zh-CN"/>
                <w14:textFill>
                  <w14:solidFill>
                    <w14:schemeClr w14:val="tx1"/>
                  </w14:solidFill>
                </w14:textFill>
              </w:rPr>
              <w:t>0</w:t>
            </w:r>
            <w:r>
              <w:rPr>
                <w:rFonts w:hint="default" w:ascii="Times New Roman" w:hAnsi="Times New Roman" w:cs="Times New Roman"/>
                <w:color w:val="000000" w:themeColor="text1"/>
                <w:sz w:val="24"/>
                <w:szCs w:val="24"/>
                <w:highlight w:val="none"/>
                <w:shd w:val="clear"/>
                <w:lang w:eastAsia="zh-CN"/>
                <w14:textFill>
                  <w14:solidFill>
                    <w14:schemeClr w14:val="tx1"/>
                  </w14:solidFill>
                </w14:textFill>
              </w:rPr>
              <w:t>"</w:t>
            </w:r>
          </w:p>
        </w:tc>
      </w:tr>
      <w:tr w14:paraId="4C25500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922" w:hRule="atLeast"/>
          <w:jc w:val="center"/>
        </w:trPr>
        <w:tc>
          <w:tcPr>
            <w:tcW w:w="1571" w:type="dxa"/>
            <w:tcBorders>
              <w:tl2br w:val="nil"/>
              <w:tr2bl w:val="nil"/>
            </w:tcBorders>
            <w:noWrap w:val="0"/>
            <w:tcMar>
              <w:top w:w="16" w:type="dxa"/>
              <w:left w:w="16" w:type="dxa"/>
              <w:right w:w="16" w:type="dxa"/>
            </w:tcMar>
            <w:vAlign w:val="center"/>
          </w:tcPr>
          <w:p w14:paraId="3D8FE7DC">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国民经济</w:t>
            </w:r>
          </w:p>
          <w:p w14:paraId="31DF72B9">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行业类别</w:t>
            </w:r>
          </w:p>
        </w:tc>
        <w:tc>
          <w:tcPr>
            <w:tcW w:w="2018" w:type="dxa"/>
            <w:tcBorders>
              <w:tl2br w:val="nil"/>
              <w:tr2bl w:val="nil"/>
            </w:tcBorders>
            <w:noWrap w:val="0"/>
            <w:vAlign w:val="center"/>
          </w:tcPr>
          <w:p w14:paraId="2597C636">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其他非金属矿物制品制造</w:t>
            </w:r>
            <w:r>
              <w:rPr>
                <w:rFonts w:hint="eastAsia"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C3</w:t>
            </w:r>
            <w:r>
              <w:rPr>
                <w:rFonts w:hint="eastAsia" w:cs="Times New Roman"/>
                <w:color w:val="000000" w:themeColor="text1"/>
                <w:sz w:val="24"/>
                <w:szCs w:val="24"/>
                <w:highlight w:val="none"/>
                <w:lang w:val="en-US" w:eastAsia="zh-CN"/>
                <w14:textFill>
                  <w14:solidFill>
                    <w14:schemeClr w14:val="tx1"/>
                  </w14:solidFill>
                </w14:textFill>
              </w:rPr>
              <w:t>099</w:t>
            </w:r>
          </w:p>
        </w:tc>
        <w:tc>
          <w:tcPr>
            <w:tcW w:w="2168" w:type="dxa"/>
            <w:tcBorders>
              <w:tl2br w:val="nil"/>
              <w:tr2bl w:val="nil"/>
            </w:tcBorders>
            <w:noWrap w:val="0"/>
            <w:vAlign w:val="center"/>
          </w:tcPr>
          <w:p w14:paraId="671D24AB">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bookmarkStart w:id="1" w:name="_Hlk49843745"/>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建设项目</w:t>
            </w:r>
          </w:p>
          <w:p w14:paraId="0C795270">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行业类别</w:t>
            </w:r>
            <w:bookmarkEnd w:id="1"/>
          </w:p>
        </w:tc>
        <w:tc>
          <w:tcPr>
            <w:tcW w:w="3314" w:type="dxa"/>
            <w:tcBorders>
              <w:tl2br w:val="nil"/>
              <w:tr2bl w:val="nil"/>
            </w:tcBorders>
            <w:noWrap w:val="0"/>
            <w:vAlign w:val="center"/>
          </w:tcPr>
          <w:p w14:paraId="6C104CF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kern w:val="1"/>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1"/>
                <w:sz w:val="24"/>
                <w:szCs w:val="24"/>
                <w:highlight w:val="none"/>
                <w:lang w:val="en-US" w:eastAsia="zh-CN" w:bidi="ar-SA"/>
                <w14:textFill>
                  <w14:solidFill>
                    <w14:schemeClr w14:val="tx1"/>
                  </w14:solidFill>
                </w14:textFill>
              </w:rPr>
              <w:t>二十七、非金属矿物制品业30-6</w:t>
            </w:r>
            <w:r>
              <w:rPr>
                <w:rFonts w:hint="eastAsia" w:cs="Times New Roman"/>
                <w:color w:val="000000" w:themeColor="text1"/>
                <w:kern w:val="1"/>
                <w:sz w:val="24"/>
                <w:szCs w:val="24"/>
                <w:highlight w:val="none"/>
                <w:lang w:val="en-US" w:eastAsia="zh-CN" w:bidi="ar-SA"/>
                <w14:textFill>
                  <w14:solidFill>
                    <w14:schemeClr w14:val="tx1"/>
                  </w14:solidFill>
                </w14:textFill>
              </w:rPr>
              <w:t>0</w:t>
            </w:r>
            <w:r>
              <w:rPr>
                <w:rFonts w:hint="default" w:ascii="Times New Roman" w:hAnsi="Times New Roman" w:eastAsia="宋体" w:cs="Times New Roman"/>
                <w:color w:val="000000" w:themeColor="text1"/>
                <w:kern w:val="1"/>
                <w:sz w:val="24"/>
                <w:szCs w:val="24"/>
                <w:highlight w:val="none"/>
                <w:lang w:val="en-US" w:eastAsia="zh-CN" w:bidi="ar-SA"/>
                <w14:textFill>
                  <w14:solidFill>
                    <w14:schemeClr w14:val="tx1"/>
                  </w14:solidFill>
                </w14:textFill>
              </w:rPr>
              <w:t>石墨及其他非金</w:t>
            </w:r>
          </w:p>
          <w:p w14:paraId="0B2A72E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1"/>
                <w:sz w:val="24"/>
                <w:szCs w:val="24"/>
                <w:highlight w:val="none"/>
                <w:lang w:val="en-US" w:eastAsia="zh-CN" w:bidi="ar-SA"/>
                <w14:textFill>
                  <w14:solidFill>
                    <w14:schemeClr w14:val="tx1"/>
                  </w14:solidFill>
                </w14:textFill>
              </w:rPr>
              <w:t>属矿物制品制造309-其他</w:t>
            </w:r>
          </w:p>
        </w:tc>
      </w:tr>
      <w:tr w14:paraId="199B198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869" w:hRule="atLeast"/>
          <w:jc w:val="center"/>
        </w:trPr>
        <w:tc>
          <w:tcPr>
            <w:tcW w:w="1571" w:type="dxa"/>
            <w:tcBorders>
              <w:tl2br w:val="nil"/>
              <w:tr2bl w:val="nil"/>
            </w:tcBorders>
            <w:noWrap w:val="0"/>
            <w:tcMar>
              <w:top w:w="16" w:type="dxa"/>
              <w:left w:w="16" w:type="dxa"/>
              <w:right w:w="16" w:type="dxa"/>
            </w:tcMar>
            <w:vAlign w:val="center"/>
          </w:tcPr>
          <w:p w14:paraId="41FDF3C5">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建设性质</w:t>
            </w:r>
          </w:p>
        </w:tc>
        <w:tc>
          <w:tcPr>
            <w:tcW w:w="2018" w:type="dxa"/>
            <w:tcBorders>
              <w:tl2br w:val="nil"/>
              <w:tr2bl w:val="nil"/>
            </w:tcBorders>
            <w:noWrap w:val="0"/>
            <w:vAlign w:val="center"/>
          </w:tcPr>
          <w:p w14:paraId="7D126698">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cs="Times New Roman"/>
                <w:b w:val="0"/>
                <w:bCs w:val="0"/>
                <w:color w:val="000000" w:themeColor="text1"/>
                <w:sz w:val="24"/>
                <w:szCs w:val="24"/>
                <w:highlight w:val="none"/>
                <w14:textFill>
                  <w14:solidFill>
                    <w14:schemeClr w14:val="tx1"/>
                  </w14:solidFill>
                </w14:textFill>
              </w:rPr>
              <w:t>新建（迁建）</w:t>
            </w:r>
          </w:p>
          <w:p w14:paraId="7B8C348B">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cs="Times New Roman"/>
                <w:b w:val="0"/>
                <w:bCs w:val="0"/>
                <w:color w:val="000000" w:themeColor="text1"/>
                <w:sz w:val="24"/>
                <w:szCs w:val="24"/>
                <w:highlight w:val="none"/>
                <w14:textFill>
                  <w14:solidFill>
                    <w14:schemeClr w14:val="tx1"/>
                  </w14:solidFill>
                </w14:textFill>
              </w:rPr>
              <w:t>改建</w:t>
            </w:r>
          </w:p>
          <w:p w14:paraId="264203A7">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cs="Times New Roman"/>
                <w:b w:val="0"/>
                <w:bCs w:val="0"/>
                <w:color w:val="000000" w:themeColor="text1"/>
                <w:sz w:val="24"/>
                <w:szCs w:val="24"/>
                <w:highlight w:val="none"/>
                <w14:textFill>
                  <w14:solidFill>
                    <w14:schemeClr w14:val="tx1"/>
                  </w14:solidFill>
                </w14:textFill>
              </w:rPr>
              <w:t>扩建</w:t>
            </w:r>
          </w:p>
          <w:p w14:paraId="725A39DD">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52"/>
            </w:r>
            <w:r>
              <w:rPr>
                <w:rFonts w:hint="default" w:ascii="Times New Roman" w:hAnsi="Times New Roman" w:cs="Times New Roman"/>
                <w:b w:val="0"/>
                <w:bCs w:val="0"/>
                <w:color w:val="000000" w:themeColor="text1"/>
                <w:sz w:val="24"/>
                <w:szCs w:val="24"/>
                <w:highlight w:val="none"/>
                <w14:textFill>
                  <w14:solidFill>
                    <w14:schemeClr w14:val="tx1"/>
                  </w14:solidFill>
                </w14:textFill>
              </w:rPr>
              <w:t>技术改造</w:t>
            </w:r>
          </w:p>
        </w:tc>
        <w:tc>
          <w:tcPr>
            <w:tcW w:w="2168" w:type="dxa"/>
            <w:tcBorders>
              <w:tl2br w:val="nil"/>
              <w:tr2bl w:val="nil"/>
            </w:tcBorders>
            <w:noWrap w:val="0"/>
            <w:vAlign w:val="center"/>
          </w:tcPr>
          <w:p w14:paraId="0D0E5E1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建设项目</w:t>
            </w:r>
          </w:p>
          <w:p w14:paraId="0E654270">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申报情形</w:t>
            </w:r>
          </w:p>
        </w:tc>
        <w:tc>
          <w:tcPr>
            <w:tcW w:w="3314" w:type="dxa"/>
            <w:tcBorders>
              <w:tl2br w:val="nil"/>
              <w:tr2bl w:val="nil"/>
            </w:tcBorders>
            <w:noWrap w:val="0"/>
            <w:vAlign w:val="center"/>
          </w:tcPr>
          <w:p w14:paraId="7B2ECD3D">
            <w:pPr>
              <w:pStyle w:val="43"/>
              <w:pageBreakBefore w:val="0"/>
              <w:shd w:val="clear"/>
              <w:kinsoku/>
              <w:overflowPunct/>
              <w:topLinePunct w:val="0"/>
              <w:bidi w:val="0"/>
              <w:spacing w:before="0" w:after="0"/>
              <w:jc w:val="left"/>
              <w:textAlignment w:val="auto"/>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52"/>
            </w:r>
            <w:r>
              <w:rPr>
                <w:rFonts w:hint="default" w:ascii="Times New Roman" w:hAnsi="Times New Roman" w:cs="Times New Roman"/>
                <w:b w:val="0"/>
                <w:bCs w:val="0"/>
                <w:color w:val="000000" w:themeColor="text1"/>
                <w:sz w:val="24"/>
                <w:szCs w:val="24"/>
                <w:highlight w:val="none"/>
                <w14:textFill>
                  <w14:solidFill>
                    <w14:schemeClr w14:val="tx1"/>
                  </w14:solidFill>
                </w14:textFill>
              </w:rPr>
              <w:t>首次申报项目</w:t>
            </w:r>
          </w:p>
          <w:p w14:paraId="2647780D">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cs="Times New Roman"/>
                <w:b w:val="0"/>
                <w:bCs w:val="0"/>
                <w:color w:val="000000" w:themeColor="text1"/>
                <w:sz w:val="24"/>
                <w:szCs w:val="24"/>
                <w:highlight w:val="none"/>
                <w14:textFill>
                  <w14:solidFill>
                    <w14:schemeClr w14:val="tx1"/>
                  </w14:solidFill>
                </w14:textFill>
              </w:rPr>
              <w:t>不予批准后再次申报项目</w:t>
            </w:r>
          </w:p>
          <w:p w14:paraId="282512B0">
            <w:pPr>
              <w:pStyle w:val="43"/>
              <w:pageBreakBefore w:val="0"/>
              <w:shd w:val="clear"/>
              <w:kinsoku/>
              <w:overflowPunct/>
              <w:topLinePunct w:val="0"/>
              <w:bidi w:val="0"/>
              <w:spacing w:before="0" w:after="0"/>
              <w:jc w:val="left"/>
              <w:textAlignment w:val="auto"/>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cs="Times New Roman"/>
                <w:b w:val="0"/>
                <w:bCs w:val="0"/>
                <w:color w:val="000000" w:themeColor="text1"/>
                <w:sz w:val="24"/>
                <w:szCs w:val="24"/>
                <w:highlight w:val="none"/>
                <w14:textFill>
                  <w14:solidFill>
                    <w14:schemeClr w14:val="tx1"/>
                  </w14:solidFill>
                </w14:textFill>
              </w:rPr>
              <w:t>超五年重新审核项目</w:t>
            </w:r>
          </w:p>
          <w:p w14:paraId="6695B2B5">
            <w:pPr>
              <w:pStyle w:val="43"/>
              <w:pageBreakBefore w:val="0"/>
              <w:shd w:val="clear"/>
              <w:kinsoku/>
              <w:overflowPunct/>
              <w:topLinePunct w:val="0"/>
              <w:bidi w:val="0"/>
              <w:spacing w:before="0" w:after="0"/>
              <w:jc w:val="left"/>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cs="Times New Roman"/>
                <w:b w:val="0"/>
                <w:bCs w:val="0"/>
                <w:color w:val="000000" w:themeColor="text1"/>
                <w:sz w:val="24"/>
                <w:szCs w:val="24"/>
                <w:highlight w:val="none"/>
                <w14:textFill>
                  <w14:solidFill>
                    <w14:schemeClr w14:val="tx1"/>
                  </w14:solidFill>
                </w14:textFill>
              </w:rPr>
              <w:t>重大变动重新报批项目</w:t>
            </w:r>
          </w:p>
        </w:tc>
      </w:tr>
      <w:tr w14:paraId="468FD8A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375" w:hRule="atLeast"/>
          <w:jc w:val="center"/>
        </w:trPr>
        <w:tc>
          <w:tcPr>
            <w:tcW w:w="1571" w:type="dxa"/>
            <w:tcBorders>
              <w:tl2br w:val="nil"/>
              <w:tr2bl w:val="nil"/>
            </w:tcBorders>
            <w:noWrap w:val="0"/>
            <w:tcMar>
              <w:top w:w="16" w:type="dxa"/>
              <w:left w:w="16" w:type="dxa"/>
              <w:right w:w="16" w:type="dxa"/>
            </w:tcMar>
            <w:vAlign w:val="center"/>
          </w:tcPr>
          <w:p w14:paraId="632FD4D9">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项目审批（核准/备案）部门（选填）</w:t>
            </w:r>
          </w:p>
        </w:tc>
        <w:tc>
          <w:tcPr>
            <w:tcW w:w="2018" w:type="dxa"/>
            <w:tcBorders>
              <w:tl2br w:val="nil"/>
              <w:tr2bl w:val="nil"/>
            </w:tcBorders>
            <w:noWrap w:val="0"/>
            <w:vAlign w:val="center"/>
          </w:tcPr>
          <w:p w14:paraId="6D4A0030">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滦州市行政审批局</w:t>
            </w:r>
          </w:p>
        </w:tc>
        <w:tc>
          <w:tcPr>
            <w:tcW w:w="2168" w:type="dxa"/>
            <w:tcBorders>
              <w:tl2br w:val="nil"/>
              <w:tr2bl w:val="nil"/>
            </w:tcBorders>
            <w:noWrap w:val="0"/>
            <w:vAlign w:val="center"/>
          </w:tcPr>
          <w:p w14:paraId="23724D7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项目审批（核准/</w:t>
            </w:r>
          </w:p>
          <w:p w14:paraId="51E460F4">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备案）文号（选填）</w:t>
            </w:r>
          </w:p>
        </w:tc>
        <w:tc>
          <w:tcPr>
            <w:tcW w:w="3314" w:type="dxa"/>
            <w:tcBorders>
              <w:tl2br w:val="nil"/>
              <w:tr2bl w:val="nil"/>
            </w:tcBorders>
            <w:noWrap w:val="0"/>
            <w:vAlign w:val="center"/>
          </w:tcPr>
          <w:p w14:paraId="73F2BDFD">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滦审批技改备案(2026)2号</w:t>
            </w:r>
          </w:p>
        </w:tc>
      </w:tr>
      <w:tr w14:paraId="5C3599E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031" w:hRule="atLeast"/>
          <w:jc w:val="center"/>
        </w:trPr>
        <w:tc>
          <w:tcPr>
            <w:tcW w:w="1571" w:type="dxa"/>
            <w:tcBorders>
              <w:tl2br w:val="nil"/>
              <w:tr2bl w:val="nil"/>
            </w:tcBorders>
            <w:shd w:val="clear" w:color="auto" w:fill="auto"/>
            <w:noWrap w:val="0"/>
            <w:tcMar>
              <w:top w:w="16" w:type="dxa"/>
              <w:left w:w="16" w:type="dxa"/>
              <w:right w:w="16" w:type="dxa"/>
            </w:tcMar>
            <w:vAlign w:val="center"/>
          </w:tcPr>
          <w:p w14:paraId="1D78ACB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总投资（万元）</w:t>
            </w:r>
          </w:p>
        </w:tc>
        <w:tc>
          <w:tcPr>
            <w:tcW w:w="2018" w:type="dxa"/>
            <w:tcBorders>
              <w:tl2br w:val="nil"/>
              <w:tr2bl w:val="nil"/>
            </w:tcBorders>
            <w:shd w:val="clear" w:color="auto" w:fill="auto"/>
            <w:noWrap w:val="0"/>
            <w:vAlign w:val="center"/>
          </w:tcPr>
          <w:p w14:paraId="76C46697">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300</w:t>
            </w:r>
          </w:p>
        </w:tc>
        <w:tc>
          <w:tcPr>
            <w:tcW w:w="2168" w:type="dxa"/>
            <w:tcBorders>
              <w:tl2br w:val="nil"/>
              <w:tr2bl w:val="nil"/>
            </w:tcBorders>
            <w:shd w:val="clear" w:color="auto" w:fill="auto"/>
            <w:noWrap w:val="0"/>
            <w:tcMar>
              <w:top w:w="16" w:type="dxa"/>
              <w:left w:w="16" w:type="dxa"/>
              <w:right w:w="16" w:type="dxa"/>
            </w:tcMar>
            <w:vAlign w:val="center"/>
          </w:tcPr>
          <w:p w14:paraId="3FE856A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环保投资（万元）</w:t>
            </w:r>
          </w:p>
        </w:tc>
        <w:tc>
          <w:tcPr>
            <w:tcW w:w="3314" w:type="dxa"/>
            <w:tcBorders>
              <w:tl2br w:val="nil"/>
              <w:tr2bl w:val="nil"/>
            </w:tcBorders>
            <w:shd w:val="clear" w:color="auto" w:fill="auto"/>
            <w:noWrap w:val="0"/>
            <w:vAlign w:val="center"/>
          </w:tcPr>
          <w:p w14:paraId="62079663">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15</w:t>
            </w:r>
          </w:p>
        </w:tc>
      </w:tr>
      <w:tr w14:paraId="09DA61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186" w:hRule="atLeast"/>
          <w:jc w:val="center"/>
        </w:trPr>
        <w:tc>
          <w:tcPr>
            <w:tcW w:w="1571" w:type="dxa"/>
            <w:tcBorders>
              <w:tl2br w:val="nil"/>
              <w:tr2bl w:val="nil"/>
            </w:tcBorders>
            <w:shd w:val="clear" w:color="auto" w:fill="auto"/>
            <w:noWrap w:val="0"/>
            <w:tcMar>
              <w:top w:w="16" w:type="dxa"/>
              <w:left w:w="16" w:type="dxa"/>
              <w:right w:w="16" w:type="dxa"/>
            </w:tcMar>
            <w:vAlign w:val="center"/>
          </w:tcPr>
          <w:p w14:paraId="3F7EDB1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环保投资占比（%）</w:t>
            </w:r>
          </w:p>
        </w:tc>
        <w:tc>
          <w:tcPr>
            <w:tcW w:w="2018" w:type="dxa"/>
            <w:tcBorders>
              <w:tl2br w:val="nil"/>
              <w:tr2bl w:val="nil"/>
            </w:tcBorders>
            <w:shd w:val="clear" w:color="auto" w:fill="auto"/>
            <w:noWrap w:val="0"/>
            <w:vAlign w:val="center"/>
          </w:tcPr>
          <w:p w14:paraId="488B41C7">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5.0</w:t>
            </w:r>
          </w:p>
        </w:tc>
        <w:tc>
          <w:tcPr>
            <w:tcW w:w="2168" w:type="dxa"/>
            <w:tcBorders>
              <w:tl2br w:val="nil"/>
              <w:tr2bl w:val="nil"/>
            </w:tcBorders>
            <w:shd w:val="clear" w:color="auto" w:fill="auto"/>
            <w:noWrap w:val="0"/>
            <w:tcMar>
              <w:top w:w="16" w:type="dxa"/>
              <w:left w:w="16" w:type="dxa"/>
              <w:right w:w="16" w:type="dxa"/>
            </w:tcMar>
            <w:vAlign w:val="center"/>
          </w:tcPr>
          <w:p w14:paraId="0F70EBA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施工工期</w:t>
            </w:r>
          </w:p>
        </w:tc>
        <w:tc>
          <w:tcPr>
            <w:tcW w:w="3314" w:type="dxa"/>
            <w:tcBorders>
              <w:tl2br w:val="nil"/>
              <w:tr2bl w:val="nil"/>
            </w:tcBorders>
            <w:shd w:val="clear" w:color="auto" w:fill="auto"/>
            <w:noWrap w:val="0"/>
            <w:vAlign w:val="center"/>
          </w:tcPr>
          <w:p w14:paraId="3F249886">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个月</w:t>
            </w:r>
          </w:p>
        </w:tc>
      </w:tr>
      <w:tr w14:paraId="1086700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1400" w:hRule="atLeast"/>
          <w:jc w:val="center"/>
        </w:trPr>
        <w:tc>
          <w:tcPr>
            <w:tcW w:w="1571" w:type="dxa"/>
            <w:tcBorders>
              <w:tl2br w:val="nil"/>
              <w:tr2bl w:val="nil"/>
            </w:tcBorders>
            <w:noWrap w:val="0"/>
            <w:tcMar>
              <w:top w:w="16" w:type="dxa"/>
              <w:left w:w="16" w:type="dxa"/>
              <w:right w:w="16" w:type="dxa"/>
            </w:tcMar>
            <w:vAlign w:val="center"/>
          </w:tcPr>
          <w:p w14:paraId="58C81656">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是否开工建设</w:t>
            </w:r>
          </w:p>
        </w:tc>
        <w:tc>
          <w:tcPr>
            <w:tcW w:w="2018" w:type="dxa"/>
            <w:tcBorders>
              <w:tl2br w:val="nil"/>
              <w:tr2bl w:val="nil"/>
            </w:tcBorders>
            <w:noWrap w:val="0"/>
            <w:vAlign w:val="center"/>
          </w:tcPr>
          <w:p w14:paraId="04E89A6A">
            <w:pPr>
              <w:pStyle w:val="43"/>
              <w:pageBreakBefore w:val="0"/>
              <w:shd w:val="clear"/>
              <w:kinsoku/>
              <w:overflowPunct/>
              <w:topLinePunct w:val="0"/>
              <w:bidi w:val="0"/>
              <w:spacing w:before="0" w:after="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52"/>
            </w:r>
            <w:r>
              <w:rPr>
                <w:rFonts w:hint="default" w:ascii="Times New Roman" w:hAnsi="Times New Roman" w:cs="Times New Roman"/>
                <w:color w:val="000000" w:themeColor="text1"/>
                <w:sz w:val="24"/>
                <w:szCs w:val="24"/>
                <w:highlight w:val="none"/>
                <w14:textFill>
                  <w14:solidFill>
                    <w14:schemeClr w14:val="tx1"/>
                  </w14:solidFill>
                </w14:textFill>
              </w:rPr>
              <w:t>否</w:t>
            </w:r>
          </w:p>
          <w:p w14:paraId="7443A2BC">
            <w:pPr>
              <w:pStyle w:val="43"/>
              <w:pageBreakBefore w:val="0"/>
              <w:shd w:val="clear"/>
              <w:kinsoku/>
              <w:overflowPunct/>
              <w:topLinePunct w:val="0"/>
              <w:bidi w:val="0"/>
              <w:spacing w:before="0" w:after="0"/>
              <w:jc w:val="left"/>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sym w:font="Wingdings 2" w:char="00A3"/>
            </w:r>
            <w:r>
              <w:rPr>
                <w:rFonts w:hint="default" w:ascii="Times New Roman" w:hAnsi="Times New Roman" w:cs="Times New Roman"/>
                <w:color w:val="000000" w:themeColor="text1"/>
                <w:sz w:val="24"/>
                <w:szCs w:val="24"/>
                <w:highlight w:val="none"/>
                <w14:textFill>
                  <w14:solidFill>
                    <w14:schemeClr w14:val="tx1"/>
                  </w14:solidFill>
                </w14:textFill>
              </w:rPr>
              <w:t>是：</w:t>
            </w:r>
          </w:p>
        </w:tc>
        <w:tc>
          <w:tcPr>
            <w:tcW w:w="2168" w:type="dxa"/>
            <w:tcBorders>
              <w:tl2br w:val="nil"/>
              <w:tr2bl w:val="nil"/>
            </w:tcBorders>
            <w:noWrap w:val="0"/>
            <w:tcMar>
              <w:top w:w="16" w:type="dxa"/>
              <w:left w:w="16" w:type="dxa"/>
              <w:right w:w="16" w:type="dxa"/>
            </w:tcMar>
            <w:vAlign w:val="center"/>
          </w:tcPr>
          <w:p w14:paraId="53DD0869">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用地（用海）</w:t>
            </w:r>
          </w:p>
          <w:p w14:paraId="4B72E382">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面积（m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w:t>
            </w:r>
          </w:p>
        </w:tc>
        <w:tc>
          <w:tcPr>
            <w:tcW w:w="3314" w:type="dxa"/>
            <w:tcBorders>
              <w:tl2br w:val="nil"/>
              <w:tr2bl w:val="nil"/>
            </w:tcBorders>
            <w:noWrap w:val="0"/>
            <w:vAlign w:val="center"/>
          </w:tcPr>
          <w:p w14:paraId="61FFA87F">
            <w:pPr>
              <w:pStyle w:val="43"/>
              <w:pageBreakBefore w:val="0"/>
              <w:shd w:val="clear"/>
              <w:kinsoku/>
              <w:overflowPunct/>
              <w:topLinePunct w:val="0"/>
              <w:bidi w:val="0"/>
              <w:spacing w:before="0" w:after="0"/>
              <w:textAlignment w:val="auto"/>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0（</w:t>
            </w:r>
            <w:r>
              <w:rPr>
                <w:rFonts w:ascii="宋体" w:hAnsi="宋体" w:eastAsia="宋体" w:cs="宋体"/>
                <w:b w:val="0"/>
                <w:bCs w:val="0"/>
                <w:color w:val="000000" w:themeColor="text1"/>
                <w:sz w:val="24"/>
                <w:szCs w:val="24"/>
                <w:highlight w:val="none"/>
                <w14:textFill>
                  <w14:solidFill>
                    <w14:schemeClr w14:val="tx1"/>
                  </w14:solidFill>
                </w14:textFill>
              </w:rPr>
              <w:t>本项目</w:t>
            </w:r>
            <w:r>
              <w:rPr>
                <w:rStyle w:val="35"/>
                <w:rFonts w:ascii="宋体" w:hAnsi="宋体" w:eastAsia="宋体" w:cs="宋体"/>
                <w:b w:val="0"/>
                <w:bCs w:val="0"/>
                <w:color w:val="000000" w:themeColor="text1"/>
                <w:sz w:val="24"/>
                <w:szCs w:val="24"/>
                <w:highlight w:val="none"/>
                <w14:textFill>
                  <w14:solidFill>
                    <w14:schemeClr w14:val="tx1"/>
                  </w14:solidFill>
                </w14:textFill>
              </w:rPr>
              <w:t>不新增用地面积</w:t>
            </w:r>
            <w:r>
              <w:rPr>
                <w:rFonts w:ascii="宋体" w:hAnsi="宋体" w:eastAsia="宋体" w:cs="宋体"/>
                <w:b w:val="0"/>
                <w:bCs w:val="0"/>
                <w:color w:val="000000" w:themeColor="text1"/>
                <w:sz w:val="24"/>
                <w:szCs w:val="24"/>
                <w:highlight w:val="none"/>
                <w14:textFill>
                  <w14:solidFill>
                    <w14:schemeClr w14:val="tx1"/>
                  </w14:solidFill>
                </w14:textFill>
              </w:rPr>
              <w:t>，依托现有土地进行建设</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w:t>
            </w:r>
          </w:p>
        </w:tc>
      </w:tr>
      <w:tr w14:paraId="5A61B3F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1571" w:type="dxa"/>
            <w:tcBorders>
              <w:tl2br w:val="nil"/>
              <w:tr2bl w:val="nil"/>
            </w:tcBorders>
            <w:noWrap w:val="0"/>
            <w:vAlign w:val="center"/>
          </w:tcPr>
          <w:p w14:paraId="3BC41364">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专项评价设置情况</w:t>
            </w:r>
          </w:p>
        </w:tc>
        <w:tc>
          <w:tcPr>
            <w:tcW w:w="7500" w:type="dxa"/>
            <w:gridSpan w:val="3"/>
            <w:tcBorders>
              <w:tl2br w:val="nil"/>
              <w:tr2bl w:val="nil"/>
            </w:tcBorders>
            <w:noWrap w:val="0"/>
            <w:vAlign w:val="center"/>
          </w:tcPr>
          <w:p w14:paraId="26CF1C5B">
            <w:pPr>
              <w:pStyle w:val="43"/>
              <w:keepNext w:val="0"/>
              <w:keepLines w:val="0"/>
              <w:pageBreakBefore w:val="0"/>
              <w:widowControl w:val="0"/>
              <w:shd w:val="clear"/>
              <w:kinsoku/>
              <w:wordWrap/>
              <w:overflowPunct/>
              <w:topLinePunct w:val="0"/>
              <w:autoSpaceDE/>
              <w:autoSpaceDN/>
              <w:bidi w:val="0"/>
              <w:adjustRightInd/>
              <w:snapToGrid/>
              <w:spacing w:before="0" w:after="0" w:line="360" w:lineRule="auto"/>
              <w:ind w:firstLine="480" w:firstLineChars="200"/>
              <w:jc w:val="lef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建设项目环境影响报告表编制技术指南（污染影响类）（试行）》，结合本项目周边环境特征和污染物排放情况可知，本项目排放废气不含有毒有害污染物、二噁英、苯并[a]芘、氰化物、氯气等，因此，不设大气专项评价；本项目无废水直接排放至外环境，不属于新增工业废水直排建设项目，也不属于新增废水直排的污水集中处理厂项目，因此，不设地表水专项评价；</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本项目有毒有害和易燃易爆危险物质</w:t>
            </w:r>
            <w:r>
              <w:rPr>
                <w:rFonts w:hint="eastAsia"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最大</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存储量</w:t>
            </w:r>
            <w:r>
              <w:rPr>
                <w:rFonts w:hint="eastAsia"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均</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不超过</w:t>
            </w:r>
            <w:r>
              <w:rPr>
                <w:rFonts w:hint="eastAsia"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对应物质的</w:t>
            </w:r>
            <w:r>
              <w:rPr>
                <w:rFonts w:hint="default" w:ascii="Times New Roman" w:hAnsi="Times New Roman" w:eastAsia="宋体" w:cs="Times New Roman"/>
                <w:color w:val="000000" w:themeColor="text1"/>
                <w:spacing w:val="0"/>
                <w:sz w:val="24"/>
                <w:szCs w:val="24"/>
                <w:highlight w:val="none"/>
                <w:lang w:val="en-US" w:eastAsia="zh-CN"/>
                <w14:textFill>
                  <w14:solidFill>
                    <w14:schemeClr w14:val="tx1"/>
                  </w14:solidFill>
                </w14:textFill>
              </w:rPr>
              <w:t>临界量，因此，无需设环境风险专项评价</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不属于“取水口下游500米范围内有重要水生生物的自然产卵场、索饵场、越冬场和洄游通道的新增河道取水的污染类建设项目”，因此，不设生态专项评价；项目不属于“直接向海排放污染物的海洋工程建设项目”，因此，不设海洋专项评价；项目</w:t>
            </w:r>
            <w:r>
              <w:rPr>
                <w:rFonts w:hint="eastAsia" w:cs="Times New Roman"/>
                <w:color w:val="000000" w:themeColor="text1"/>
                <w:sz w:val="24"/>
                <w:szCs w:val="24"/>
                <w:highlight w:val="none"/>
                <w:lang w:val="en-US" w:eastAsia="zh-CN"/>
                <w14:textFill>
                  <w14:solidFill>
                    <w14:schemeClr w14:val="tx1"/>
                  </w14:solidFill>
                </w14:textFill>
              </w:rPr>
              <w:t>周边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不涉及集中式饮用水水源和热水、矿泉水、温泉等特殊地下水资源保护区，因此，不设置地下水专项评价。</w:t>
            </w:r>
          </w:p>
        </w:tc>
      </w:tr>
      <w:tr w14:paraId="42EC81C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08" w:hRule="atLeast"/>
          <w:jc w:val="center"/>
        </w:trPr>
        <w:tc>
          <w:tcPr>
            <w:tcW w:w="1571" w:type="dxa"/>
            <w:tcBorders>
              <w:tl2br w:val="nil"/>
              <w:tr2bl w:val="nil"/>
            </w:tcBorders>
            <w:noWrap w:val="0"/>
            <w:vAlign w:val="center"/>
          </w:tcPr>
          <w:p w14:paraId="2A61CAC3">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规划情况</w:t>
            </w:r>
          </w:p>
        </w:tc>
        <w:tc>
          <w:tcPr>
            <w:tcW w:w="7500" w:type="dxa"/>
            <w:gridSpan w:val="3"/>
            <w:tcBorders>
              <w:tl2br w:val="nil"/>
              <w:tr2bl w:val="nil"/>
            </w:tcBorders>
            <w:noWrap w:val="0"/>
            <w:vAlign w:val="center"/>
          </w:tcPr>
          <w:p w14:paraId="7F95AC5B">
            <w:pPr>
              <w:pStyle w:val="15"/>
              <w:keepNext w:val="0"/>
              <w:keepLines w:val="0"/>
              <w:pageBreakBefore w:val="0"/>
              <w:widowControl w:val="0"/>
              <w:shd w:val="clear"/>
              <w:kinsoku/>
              <w:wordWrap/>
              <w:overflowPunct/>
              <w:topLinePunct w:val="0"/>
              <w:autoSpaceDE/>
              <w:autoSpaceDN/>
              <w:bidi w:val="0"/>
              <w:adjustRightInd/>
              <w:snapToGrid/>
              <w:spacing w:after="0" w:line="480" w:lineRule="exact"/>
              <w:ind w:left="0" w:leftChars="0" w:right="0" w:rightChars="0" w:firstLine="480" w:firstLineChars="200"/>
              <w:jc w:val="lef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p>
        </w:tc>
      </w:tr>
      <w:tr w14:paraId="6040F0C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74" w:hRule="atLeast"/>
          <w:jc w:val="center"/>
        </w:trPr>
        <w:tc>
          <w:tcPr>
            <w:tcW w:w="1571" w:type="dxa"/>
            <w:tcBorders>
              <w:tl2br w:val="nil"/>
              <w:tr2bl w:val="nil"/>
            </w:tcBorders>
            <w:noWrap w:val="0"/>
            <w:vAlign w:val="center"/>
          </w:tcPr>
          <w:p w14:paraId="6F48785D">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规划环境影响评价情况</w:t>
            </w:r>
          </w:p>
        </w:tc>
        <w:tc>
          <w:tcPr>
            <w:tcW w:w="7500" w:type="dxa"/>
            <w:gridSpan w:val="3"/>
            <w:tcBorders>
              <w:tl2br w:val="nil"/>
              <w:tr2bl w:val="nil"/>
            </w:tcBorders>
            <w:noWrap w:val="0"/>
            <w:vAlign w:val="center"/>
          </w:tcPr>
          <w:p w14:paraId="3C69A9D4">
            <w:pPr>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139F855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3" w:hRule="atLeast"/>
          <w:jc w:val="center"/>
        </w:trPr>
        <w:tc>
          <w:tcPr>
            <w:tcW w:w="1571" w:type="dxa"/>
            <w:tcBorders>
              <w:tl2br w:val="nil"/>
              <w:tr2bl w:val="nil"/>
            </w:tcBorders>
            <w:noWrap w:val="0"/>
            <w:vAlign w:val="center"/>
          </w:tcPr>
          <w:p w14:paraId="2D354BD2">
            <w:pPr>
              <w:pStyle w:val="43"/>
              <w:pageBreakBefore w:val="0"/>
              <w:shd w:val="clear"/>
              <w:kinsoku/>
              <w:overflowPunct/>
              <w:topLinePunct w:val="0"/>
              <w:bidi w:val="0"/>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规划及规划环境影响评价符合性分析</w:t>
            </w:r>
          </w:p>
        </w:tc>
        <w:tc>
          <w:tcPr>
            <w:tcW w:w="7500" w:type="dxa"/>
            <w:gridSpan w:val="3"/>
            <w:tcBorders>
              <w:tl2br w:val="nil"/>
              <w:tr2bl w:val="nil"/>
            </w:tcBorders>
            <w:noWrap w:val="0"/>
            <w:vAlign w:val="center"/>
          </w:tcPr>
          <w:p w14:paraId="595647E2">
            <w:pPr>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1DE0B6C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5" w:hRule="atLeast"/>
          <w:jc w:val="center"/>
        </w:trPr>
        <w:tc>
          <w:tcPr>
            <w:tcW w:w="1571" w:type="dxa"/>
            <w:tcBorders>
              <w:tl2br w:val="nil"/>
              <w:tr2bl w:val="nil"/>
            </w:tcBorders>
            <w:noWrap w:val="0"/>
            <w:vAlign w:val="center"/>
          </w:tcPr>
          <w:p w14:paraId="0E8A2247">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0"/>
                <w:sz w:val="24"/>
                <w:szCs w:val="24"/>
                <w:highlight w:val="none"/>
                <w14:textFill>
                  <w14:solidFill>
                    <w14:schemeClr w14:val="tx1"/>
                  </w14:solidFill>
                </w14:textFill>
              </w:rPr>
            </w:pPr>
            <w:r>
              <w:rPr>
                <w:rFonts w:hint="default" w:ascii="Times New Roman" w:hAnsi="Times New Roman" w:cs="Times New Roman"/>
                <w:color w:val="000000" w:themeColor="text1"/>
                <w:kern w:val="0"/>
                <w:sz w:val="24"/>
                <w:szCs w:val="24"/>
                <w:highlight w:val="none"/>
                <w14:textFill>
                  <w14:solidFill>
                    <w14:schemeClr w14:val="tx1"/>
                  </w14:solidFill>
                </w14:textFill>
              </w:rPr>
              <w:t>其他符合性分析</w:t>
            </w:r>
          </w:p>
        </w:tc>
        <w:tc>
          <w:tcPr>
            <w:tcW w:w="7500" w:type="dxa"/>
            <w:gridSpan w:val="3"/>
            <w:tcBorders>
              <w:tl2br w:val="nil"/>
              <w:tr2bl w:val="nil"/>
            </w:tcBorders>
            <w:noWrap w:val="0"/>
            <w:vAlign w:val="center"/>
          </w:tcPr>
          <w:p w14:paraId="67250681">
            <w:pPr>
              <w:pStyle w:val="29"/>
              <w:keepNext w:val="0"/>
              <w:keepLines w:val="0"/>
              <w:pageBreakBefore w:val="0"/>
              <w:widowControl w:val="0"/>
              <w:numPr>
                <w:ilvl w:val="0"/>
                <w:numId w:val="2"/>
              </w:numPr>
              <w:suppressLineNumbers w:val="0"/>
              <w:shd w:val="clear"/>
              <w:kinsoku/>
              <w:wordWrap/>
              <w:overflowPunct/>
              <w:topLinePunct w:val="0"/>
              <w:autoSpaceDE/>
              <w:autoSpaceDN/>
              <w:bidi w:val="0"/>
              <w:adjustRightInd/>
              <w:snapToGrid/>
              <w:spacing w:before="0" w:beforeAutospacing="0" w:after="0" w:afterAutospacing="0" w:line="460" w:lineRule="exact"/>
              <w:ind w:left="0" w:leftChars="0" w:right="0" w:firstLine="482" w:firstLineChars="200"/>
              <w:jc w:val="both"/>
              <w:textAlignment w:val="auto"/>
              <w:rPr>
                <w:rFonts w:hint="default" w:ascii="Times New Roman" w:hAnsi="Times New Roman" w:cs="Times New Roman"/>
                <w:b/>
                <w:bCs w:val="0"/>
                <w:color w:val="000000" w:themeColor="text1"/>
                <w:kern w:val="2"/>
                <w:sz w:val="24"/>
                <w:szCs w:val="24"/>
                <w:highlight w:val="none"/>
                <w:lang w:bidi="ar"/>
                <w14:textFill>
                  <w14:solidFill>
                    <w14:schemeClr w14:val="tx1"/>
                  </w14:solidFill>
                </w14:textFill>
              </w:rPr>
            </w:pPr>
            <w:r>
              <w:rPr>
                <w:rFonts w:hint="default" w:ascii="Times New Roman" w:hAnsi="Times New Roman" w:cs="Times New Roman"/>
                <w:b/>
                <w:bCs w:val="0"/>
                <w:color w:val="000000" w:themeColor="text1"/>
                <w:kern w:val="2"/>
                <w:sz w:val="24"/>
                <w:szCs w:val="24"/>
                <w:highlight w:val="none"/>
                <w:lang w:val="en-US" w:eastAsia="zh-CN" w:bidi="ar"/>
                <w14:textFill>
                  <w14:solidFill>
                    <w14:schemeClr w14:val="tx1"/>
                  </w14:solidFill>
                </w14:textFill>
              </w:rPr>
              <w:t>产业政策</w:t>
            </w:r>
            <w:r>
              <w:rPr>
                <w:rFonts w:hint="default" w:ascii="Times New Roman" w:hAnsi="Times New Roman" w:cs="Times New Roman"/>
                <w:b/>
                <w:bCs w:val="0"/>
                <w:color w:val="000000" w:themeColor="text1"/>
                <w:kern w:val="2"/>
                <w:sz w:val="24"/>
                <w:szCs w:val="24"/>
                <w:highlight w:val="none"/>
                <w:lang w:bidi="ar"/>
                <w14:textFill>
                  <w14:solidFill>
                    <w14:schemeClr w14:val="tx1"/>
                  </w14:solidFill>
                </w14:textFill>
              </w:rPr>
              <w:t>相符性分析</w:t>
            </w:r>
          </w:p>
          <w:p w14:paraId="58E34652">
            <w:pPr>
              <w:keepNext w:val="0"/>
              <w:keepLines w:val="0"/>
              <w:pageBreakBefore w:val="0"/>
              <w:widowControl w:val="0"/>
              <w:shd w:val="clear"/>
              <w:tabs>
                <w:tab w:val="left" w:pos="3150"/>
              </w:tabs>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本项目不在</w:t>
            </w:r>
            <w:r>
              <w:rPr>
                <w:rFonts w:hint="eastAsia"/>
                <w:color w:val="000000" w:themeColor="text1"/>
                <w:sz w:val="24"/>
                <w:szCs w:val="24"/>
                <w:highlight w:val="none"/>
                <w:lang w:eastAsia="zh-CN"/>
                <w14:textFill>
                  <w14:solidFill>
                    <w14:schemeClr w14:val="tx1"/>
                  </w14:solidFill>
                </w14:textFill>
              </w:rPr>
              <w:t>《产业结构调整指导目录（2024年本）》</w:t>
            </w:r>
            <w:r>
              <w:rPr>
                <w:rFonts w:ascii="Times New Roman" w:hAnsi="Times New Roman"/>
                <w:color w:val="000000" w:themeColor="text1"/>
                <w:sz w:val="24"/>
                <w:szCs w:val="24"/>
                <w:highlight w:val="none"/>
                <w14:textFill>
                  <w14:solidFill>
                    <w14:schemeClr w14:val="tx1"/>
                  </w14:solidFill>
                </w14:textFill>
              </w:rPr>
              <w:t>中鼓励类、限制类、淘汰类项目之列，属允许类</w:t>
            </w:r>
            <w:r>
              <w:rPr>
                <w:rFonts w:hint="eastAsia"/>
                <w:color w:val="000000" w:themeColor="text1"/>
                <w:sz w:val="24"/>
                <w:szCs w:val="24"/>
                <w:highlight w:val="none"/>
                <w:lang w:val="en-US" w:eastAsia="zh-CN"/>
                <w14:textFill>
                  <w14:solidFill>
                    <w14:schemeClr w14:val="tx1"/>
                  </w14:solidFill>
                </w14:textFill>
              </w:rPr>
              <w:t>建设项目</w:t>
            </w:r>
            <w:r>
              <w:rPr>
                <w:rFonts w:ascii="Times New Roman" w:hAnsi="Times New Roman"/>
                <w:color w:val="000000" w:themeColor="text1"/>
                <w:sz w:val="24"/>
                <w:szCs w:val="24"/>
                <w:highlight w:val="none"/>
                <w14:textFill>
                  <w14:solidFill>
                    <w14:schemeClr w14:val="tx1"/>
                  </w14:solidFill>
                </w14:textFill>
              </w:rPr>
              <w:t>；本项目不属于《市场准入负面清单（202</w:t>
            </w:r>
            <w:r>
              <w:rPr>
                <w:rFonts w:hint="eastAsia"/>
                <w:color w:val="000000" w:themeColor="text1"/>
                <w:sz w:val="24"/>
                <w:szCs w:val="24"/>
                <w:highlight w:val="none"/>
                <w:lang w:val="en-US" w:eastAsia="zh-CN"/>
                <w14:textFill>
                  <w14:solidFill>
                    <w14:schemeClr w14:val="tx1"/>
                  </w14:solidFill>
                </w14:textFill>
              </w:rPr>
              <w:t>5</w:t>
            </w:r>
            <w:r>
              <w:rPr>
                <w:rFonts w:ascii="Times New Roman" w:hAnsi="Times New Roman"/>
                <w:color w:val="000000" w:themeColor="text1"/>
                <w:sz w:val="24"/>
                <w:szCs w:val="24"/>
                <w:highlight w:val="none"/>
                <w14:textFill>
                  <w14:solidFill>
                    <w14:schemeClr w14:val="tx1"/>
                  </w14:solidFill>
                </w14:textFill>
              </w:rPr>
              <w:t>年版）》中禁止准入类项目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并</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且本项目已通过</w:t>
            </w:r>
            <w:r>
              <w:rPr>
                <w:rFonts w:hint="eastAsia" w:cs="Times New Roman"/>
                <w:color w:val="000000" w:themeColor="text1"/>
                <w:sz w:val="24"/>
                <w:szCs w:val="24"/>
                <w:highlight w:val="none"/>
                <w:lang w:val="en-US" w:eastAsia="zh-CN"/>
                <w14:textFill>
                  <w14:solidFill>
                    <w14:schemeClr w14:val="tx1"/>
                  </w14:solidFill>
                </w14:textFill>
              </w:rPr>
              <w:t>滦州市行政审批局</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滦审批技改备案(2026)2号</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）备案，因此，本项目符合国家产业政策。</w:t>
            </w:r>
          </w:p>
          <w:p w14:paraId="5E8FEC98">
            <w:pPr>
              <w:pStyle w:val="29"/>
              <w:keepNext w:val="0"/>
              <w:keepLines w:val="0"/>
              <w:pageBreakBefore w:val="0"/>
              <w:widowControl w:val="0"/>
              <w:numPr>
                <w:ilvl w:val="0"/>
                <w:numId w:val="2"/>
              </w:numPr>
              <w:suppressLineNumbers w:val="0"/>
              <w:shd w:val="clear"/>
              <w:kinsoku/>
              <w:wordWrap/>
              <w:overflowPunct/>
              <w:topLinePunct w:val="0"/>
              <w:autoSpaceDE/>
              <w:autoSpaceDN/>
              <w:bidi w:val="0"/>
              <w:adjustRightInd/>
              <w:snapToGrid/>
              <w:spacing w:before="0" w:beforeAutospacing="0" w:after="0" w:afterAutospacing="0" w:line="460" w:lineRule="exact"/>
              <w:ind w:left="0" w:leftChars="0" w:right="0" w:firstLine="482" w:firstLineChars="200"/>
              <w:jc w:val="both"/>
              <w:textAlignment w:val="auto"/>
              <w:rPr>
                <w:rFonts w:hint="default" w:ascii="Times New Roman" w:hAnsi="Times New Roman" w:cs="Times New Roman"/>
                <w:b/>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cs="Times New Roman"/>
                <w:b/>
                <w:bCs w:val="0"/>
                <w:color w:val="000000" w:themeColor="text1"/>
                <w:kern w:val="2"/>
                <w:sz w:val="24"/>
                <w:szCs w:val="24"/>
                <w:highlight w:val="none"/>
                <w:lang w:val="en-US" w:eastAsia="zh-CN" w:bidi="ar"/>
                <w14:textFill>
                  <w14:solidFill>
                    <w14:schemeClr w14:val="tx1"/>
                  </w14:solidFill>
                </w14:textFill>
              </w:rPr>
              <w:t>项目选址合理性分析</w:t>
            </w:r>
          </w:p>
          <w:p w14:paraId="281D6DD7">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60" w:lineRule="exact"/>
              <w:ind w:leftChars="0" w:right="0" w:rightChars="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本项目位于</w:t>
            </w:r>
            <w:r>
              <w:rPr>
                <w:rFonts w:hint="eastAsia" w:cs="Times New Roman"/>
                <w:color w:val="000000" w:themeColor="text1"/>
                <w:sz w:val="24"/>
                <w:szCs w:val="24"/>
                <w:highlight w:val="none"/>
                <w:lang w:val="en-US" w:eastAsia="zh-CN"/>
                <w14:textFill>
                  <w14:solidFill>
                    <w14:schemeClr w14:val="tx1"/>
                  </w14:solidFill>
                </w14:textFill>
              </w:rPr>
              <w:t>河北省唐山市滦州市雷庄镇耀隆宝峰矿业有限公司院内</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根据企业不动产权证书（冀（2023）滦州市不动产权第0013602号）可知，本项目用地性质为工业用地，符合用地要求。</w:t>
            </w:r>
          </w:p>
          <w:p w14:paraId="26F54196">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60" w:lineRule="exact"/>
              <w:ind w:leftChars="0" w:right="0" w:rightChars="0"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根据《河北省生态环境厅办公室关于进一步做好沙区建设项目环境影响评价工作的通知》（冀环办字函[2023]326号），沙区建设项目需做好环境影响评价制度执行工作。</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由</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《河北省防沙治沙规划</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2021-2030年</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》可知，唐山市涉及沙区范围为：路南区、路北区、古冶区、开平区、丰南区、丰润区、曹妃甸区、迁安市、滦州市、滦南县、乐亭县。本项目位于河北省唐山市滦州市</w:t>
            </w:r>
            <w:r>
              <w:rPr>
                <w:rFonts w:hint="eastAsia" w:cs="Times New Roman"/>
                <w:color w:val="000000" w:themeColor="text1"/>
                <w:sz w:val="24"/>
                <w:szCs w:val="24"/>
                <w:highlight w:val="none"/>
                <w:lang w:val="en-US" w:eastAsia="zh-CN"/>
                <w14:textFill>
                  <w14:solidFill>
                    <w14:schemeClr w14:val="tx1"/>
                  </w14:solidFill>
                </w14:textFill>
              </w:rPr>
              <w:t>雷庄镇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占地区域暂无沙化现象，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不在沙区范围内，</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详见附图</w:t>
            </w:r>
            <w:r>
              <w:rPr>
                <w:rFonts w:hint="eastAsia"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3447F71">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60" w:lineRule="exact"/>
              <w:ind w:leftChars="0" w:right="0" w:rightChars="0" w:firstLine="480" w:firstLineChars="200"/>
              <w:textAlignment w:val="auto"/>
              <w:rPr>
                <w:rFonts w:hint="default" w:ascii="Times New Roman" w:hAnsi="Times New Roman" w:eastAsia="宋体" w:cs="Times New Roman"/>
                <w:color w:val="000000" w:themeColor="text1"/>
                <w:kern w:val="24"/>
                <w:sz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项目不在河北省生态保护红线区范围内，</w:t>
            </w:r>
            <w:r>
              <w:rPr>
                <w:rFonts w:hint="eastAsia" w:cs="Times New Roman"/>
                <w:color w:val="000000" w:themeColor="text1"/>
                <w:sz w:val="24"/>
                <w:szCs w:val="24"/>
                <w:highlight w:val="none"/>
                <w:lang w:val="en-US" w:eastAsia="zh-CN"/>
                <w14:textFill>
                  <w14:solidFill>
                    <w14:schemeClr w14:val="tx1"/>
                  </w14:solidFill>
                </w14:textFill>
              </w:rPr>
              <w:t>本</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项目评价范围内无自然保护区、重点文物、风景名胜等需特殊保护区域；</w:t>
            </w:r>
            <w:r>
              <w:rPr>
                <w:rFonts w:hint="eastAsia" w:cs="Times New Roman"/>
                <w:color w:val="000000" w:themeColor="text1"/>
                <w:sz w:val="24"/>
                <w:szCs w:val="24"/>
                <w:highlight w:val="none"/>
                <w:lang w:val="en-US" w:eastAsia="zh-CN"/>
                <w14:textFill>
                  <w14:solidFill>
                    <w14:schemeClr w14:val="tx1"/>
                  </w14:solidFill>
                </w14:textFill>
              </w:rPr>
              <w:t>本项目</w:t>
            </w:r>
            <w:r>
              <w:rPr>
                <w:rFonts w:hint="default" w:cs="Times New Roman"/>
                <w:color w:val="000000" w:themeColor="text1"/>
                <w:sz w:val="24"/>
                <w:szCs w:val="24"/>
                <w:highlight w:val="none"/>
                <w:lang w:val="en-US" w:eastAsia="zh-CN"/>
                <w14:textFill>
                  <w14:solidFill>
                    <w14:schemeClr w14:val="tx1"/>
                  </w14:solidFill>
                </w14:textFill>
              </w:rPr>
              <w:t>位于</w:t>
            </w:r>
            <w:r>
              <w:rPr>
                <w:rFonts w:hint="eastAsia" w:cs="Times New Roman"/>
                <w:color w:val="000000" w:themeColor="text1"/>
                <w:sz w:val="24"/>
                <w:szCs w:val="24"/>
                <w:highlight w:val="none"/>
                <w:lang w:val="en-US" w:eastAsia="zh-CN"/>
                <w14:textFill>
                  <w14:solidFill>
                    <w14:schemeClr w14:val="tx1"/>
                  </w14:solidFill>
                </w14:textFill>
              </w:rPr>
              <w:t>巍峰山</w:t>
            </w:r>
            <w:r>
              <w:rPr>
                <w:rFonts w:hint="default" w:cs="Times New Roman"/>
                <w:color w:val="000000" w:themeColor="text1"/>
                <w:sz w:val="24"/>
                <w:szCs w:val="24"/>
                <w:highlight w:val="none"/>
                <w:lang w:val="en-US" w:eastAsia="zh-CN"/>
                <w14:textFill>
                  <w14:solidFill>
                    <w14:schemeClr w14:val="tx1"/>
                  </w14:solidFill>
                </w14:textFill>
              </w:rPr>
              <w:t>水源地东侧，距离</w:t>
            </w:r>
            <w:r>
              <w:rPr>
                <w:rFonts w:hint="eastAsia" w:cs="Times New Roman"/>
                <w:color w:val="000000" w:themeColor="text1"/>
                <w:sz w:val="24"/>
                <w:szCs w:val="24"/>
                <w:highlight w:val="none"/>
                <w:lang w:val="en-US" w:eastAsia="zh-CN"/>
                <w14:textFill>
                  <w14:solidFill>
                    <w14:schemeClr w14:val="tx1"/>
                  </w14:solidFill>
                </w14:textFill>
              </w:rPr>
              <w:t>巍峰山</w:t>
            </w:r>
            <w:r>
              <w:rPr>
                <w:rFonts w:hint="default" w:cs="Times New Roman"/>
                <w:color w:val="000000" w:themeColor="text1"/>
                <w:sz w:val="24"/>
                <w:szCs w:val="24"/>
                <w:highlight w:val="none"/>
                <w:lang w:val="en-US" w:eastAsia="zh-CN"/>
                <w14:textFill>
                  <w14:solidFill>
                    <w14:schemeClr w14:val="tx1"/>
                  </w14:solidFill>
                </w14:textFill>
              </w:rPr>
              <w:t>水源地保护区1300m</w:t>
            </w:r>
            <w:r>
              <w:rPr>
                <w:rFonts w:hint="eastAsia" w:cs="Times New Roman"/>
                <w:color w:val="000000" w:themeColor="text1"/>
                <w:sz w:val="24"/>
                <w:szCs w:val="24"/>
                <w:highlight w:val="none"/>
                <w:lang w:val="en-US" w:eastAsia="zh-CN"/>
                <w14:textFill>
                  <w14:solidFill>
                    <w14:schemeClr w14:val="tx1"/>
                  </w14:solidFill>
                </w14:textFill>
              </w:rPr>
              <w:t>左右。</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kern w:val="24"/>
                <w:sz w:val="24"/>
                <w:highlight w:val="none"/>
                <w:lang w:val="zh-CN"/>
                <w14:textFill>
                  <w14:solidFill>
                    <w14:schemeClr w14:val="tx1"/>
                  </w14:solidFill>
                </w14:textFill>
              </w:rPr>
              <w:t>采取环评提出的各项环保治理措施后，项目的实施</w:t>
            </w:r>
            <w:r>
              <w:rPr>
                <w:rFonts w:hint="default" w:ascii="Times New Roman" w:hAnsi="Times New Roman" w:cs="Times New Roman"/>
                <w:color w:val="000000" w:themeColor="text1"/>
                <w:kern w:val="24"/>
                <w:sz w:val="24"/>
                <w:highlight w:val="none"/>
                <w:lang w:val="en-US" w:eastAsia="zh-CN"/>
                <w14:textFill>
                  <w14:solidFill>
                    <w14:schemeClr w14:val="tx1"/>
                  </w14:solidFill>
                </w14:textFill>
              </w:rPr>
              <w:t>对周边环境影响较小</w:t>
            </w:r>
            <w:r>
              <w:rPr>
                <w:rFonts w:hint="default" w:ascii="Times New Roman" w:hAnsi="Times New Roman" w:eastAsia="宋体" w:cs="Times New Roman"/>
                <w:color w:val="000000" w:themeColor="text1"/>
                <w:kern w:val="24"/>
                <w:sz w:val="24"/>
                <w:highlight w:val="none"/>
                <w14:textFill>
                  <w14:solidFill>
                    <w14:schemeClr w14:val="tx1"/>
                  </w14:solidFill>
                </w14:textFill>
              </w:rPr>
              <w:t>。</w:t>
            </w:r>
          </w:p>
          <w:p w14:paraId="65E430D1">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60" w:lineRule="exact"/>
              <w:ind w:leftChars="0" w:right="0" w:rightChars="0" w:firstLine="480" w:firstLineChars="200"/>
              <w:textAlignment w:val="auto"/>
              <w:rPr>
                <w:rFonts w:hint="default" w:cs="Times New Roman"/>
                <w:color w:val="000000" w:themeColor="text1"/>
                <w:sz w:val="24"/>
                <w:szCs w:val="24"/>
                <w:highlight w:val="none"/>
                <w:lang w:val="en-US" w:eastAsia="zh-CN"/>
                <w14:textFill>
                  <w14:solidFill>
                    <w14:schemeClr w14:val="tx1"/>
                  </w14:solidFill>
                </w14:textFill>
              </w:rPr>
            </w:pPr>
            <w:r>
              <w:rPr>
                <w:rFonts w:hint="default" w:cs="Times New Roman"/>
                <w:color w:val="000000" w:themeColor="text1"/>
                <w:sz w:val="24"/>
                <w:szCs w:val="24"/>
                <w:highlight w:val="none"/>
                <w:lang w:val="en-US" w:eastAsia="zh-CN"/>
                <w14:textFill>
                  <w14:solidFill>
                    <w14:schemeClr w14:val="tx1"/>
                  </w14:solidFill>
                </w14:textFill>
              </w:rPr>
              <w:t>综上所述，本项目选址合理</w:t>
            </w:r>
            <w:r>
              <w:rPr>
                <w:rFonts w:hint="eastAsia" w:cs="Times New Roman"/>
                <w:color w:val="000000" w:themeColor="text1"/>
                <w:sz w:val="24"/>
                <w:szCs w:val="24"/>
                <w:highlight w:val="none"/>
                <w:lang w:val="en-US" w:eastAsia="zh-CN"/>
                <w14:textFill>
                  <w14:solidFill>
                    <w14:schemeClr w14:val="tx1"/>
                  </w14:solidFill>
                </w14:textFill>
              </w:rPr>
              <w:t>。</w:t>
            </w:r>
          </w:p>
          <w:p w14:paraId="0C38A93D">
            <w:pPr>
              <w:pStyle w:val="29"/>
              <w:keepNext w:val="0"/>
              <w:keepLines w:val="0"/>
              <w:pageBreakBefore w:val="0"/>
              <w:widowControl w:val="0"/>
              <w:numPr>
                <w:ilvl w:val="0"/>
                <w:numId w:val="2"/>
              </w:numPr>
              <w:suppressLineNumbers w:val="0"/>
              <w:shd w:val="clear"/>
              <w:kinsoku/>
              <w:wordWrap/>
              <w:overflowPunct/>
              <w:topLinePunct w:val="0"/>
              <w:autoSpaceDE/>
              <w:autoSpaceDN/>
              <w:bidi w:val="0"/>
              <w:adjustRightInd/>
              <w:snapToGrid/>
              <w:spacing w:before="0" w:beforeAutospacing="0" w:after="0" w:afterAutospacing="0" w:line="480" w:lineRule="exact"/>
              <w:ind w:left="0" w:leftChars="0" w:right="0" w:firstLine="482" w:firstLineChars="200"/>
              <w:jc w:val="both"/>
              <w:textAlignment w:val="auto"/>
              <w:rPr>
                <w:rFonts w:hint="default" w:ascii="Times New Roman" w:hAnsi="Times New Roman" w:cs="Times New Roman"/>
                <w:b/>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cs="Times New Roman"/>
                <w:b/>
                <w:bCs w:val="0"/>
                <w:color w:val="000000" w:themeColor="text1"/>
                <w:kern w:val="2"/>
                <w:sz w:val="24"/>
                <w:szCs w:val="24"/>
                <w:highlight w:val="none"/>
                <w:lang w:val="en-US" w:eastAsia="zh-CN" w:bidi="ar"/>
                <w14:textFill>
                  <w14:solidFill>
                    <w14:schemeClr w14:val="tx1"/>
                  </w14:solidFill>
                </w14:textFill>
              </w:rPr>
              <w:t>项目三线一单符合性分析</w:t>
            </w:r>
          </w:p>
          <w:p w14:paraId="428AC557">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80" w:lineRule="exact"/>
              <w:ind w:left="0" w:leftChars="0" w:right="0" w:rightChars="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原</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环境保护部发布的环环评[2016]50号《关于以改善环境质量为核心加强环境影响评价管理的通知》</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以下简称《通知》</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，《通知》要求</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切实加强环境影响评价（以下简称环评）管理，落实“生态保护红线、环境质量底线、资源利用上线和环境准入负面清单”约束，建立项目环评审批与规划环评、现有项目环境管理、区域环境质量联动机制，更好地发挥环评制度从源头防范环境污染和生态破坏的作用，加快推进改善环境质量。</w:t>
            </w:r>
          </w:p>
          <w:p w14:paraId="1B1EC822">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80" w:lineRule="exact"/>
              <w:ind w:left="0" w:leftChars="0" w:right="0" w:rightChars="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生态保护红线符合性分析</w:t>
            </w:r>
          </w:p>
          <w:p w14:paraId="1B57A5F9">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80" w:lineRule="exact"/>
              <w:ind w:left="0" w:leftChars="0" w:right="0" w:rightChars="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根据《河北省人民政府关于加快实施“三线一单”生态环境分区管控的意见》</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冀政字[2020]71号</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、《河北省人民政府关于印发&lt;河北省生态保护红线&gt;的</w:t>
            </w:r>
            <w:r>
              <w:rPr>
                <w:rFonts w:hint="eastAsia" w:cs="Times New Roman"/>
                <w:color w:val="000000" w:themeColor="text1"/>
                <w:sz w:val="24"/>
                <w:szCs w:val="24"/>
                <w:highlight w:val="none"/>
                <w:lang w:val="en-US" w:eastAsia="zh-CN"/>
                <w14:textFill>
                  <w14:solidFill>
                    <w14:schemeClr w14:val="tx1"/>
                  </w14:solidFill>
                </w14:textFill>
              </w:rPr>
              <w:t>通知（</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冀政字[2018]23号</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、《唐山市人民政府关于实施“三线一单”生态环境分区管控的意见》</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唐政字[2021]48号</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，唐山市生态保护红线分布在开平区、古冶区、丰南区、丰润区、滦县、滦南县、乐亭县、玉田县、遵化市、迁西县、迁安市、曹妃甸区，包括重点生态功能区</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主要为水源涵养、土壤保持、洪水调蓄和生物多样性保护区</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、生态敏感脆弱区</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主要为河湖滨岸带</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和禁止开发区</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自然保护区、饮用水水源保护区、森林公园、湿地公园、地质公园、水产种质资源保护区、风景名胜区</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。本项目位于</w:t>
            </w:r>
            <w:r>
              <w:rPr>
                <w:rFonts w:hint="eastAsia" w:cs="Times New Roman"/>
                <w:color w:val="000000" w:themeColor="text1"/>
                <w:sz w:val="24"/>
                <w:szCs w:val="24"/>
                <w:highlight w:val="none"/>
                <w:u w:val="none"/>
                <w:lang w:val="en-US" w:eastAsia="zh-CN"/>
                <w14:textFill>
                  <w14:solidFill>
                    <w14:schemeClr w14:val="tx1"/>
                  </w14:solidFill>
                </w14:textFill>
              </w:rPr>
              <w:t>河北省唐山市滦州市雷庄镇耀隆宝峰矿业有限公司院内</w:t>
            </w:r>
            <w:r>
              <w:rPr>
                <w:rFonts w:hint="default" w:ascii="Times New Roman" w:hAnsi="Times New Roman" w:cs="Times New Roman"/>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根据唐山市生态保护红线图可知，本项目不在生态保护红线划定的范围内，因此</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项目建设符合生态保护红线要求，保证了生态功能的系统性和完整性。</w:t>
            </w:r>
          </w:p>
          <w:p w14:paraId="5E136BE6">
            <w:pPr>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⑵</w:t>
            </w:r>
            <w:r>
              <w:rPr>
                <w:rFonts w:hint="default"/>
                <w:color w:val="000000" w:themeColor="text1"/>
                <w:highlight w:val="none"/>
                <w:lang w:val="en-US" w:eastAsia="zh-CN"/>
                <w14:textFill>
                  <w14:solidFill>
                    <w14:schemeClr w14:val="tx1"/>
                  </w14:solidFill>
                </w14:textFill>
              </w:rPr>
              <w:t>环境质量底线</w:t>
            </w:r>
          </w:p>
          <w:p w14:paraId="679FD9E4">
            <w:pPr>
              <w:shd w:val="clear"/>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p w14:paraId="7E08BA23">
            <w:pPr>
              <w:shd w:val="clear"/>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本项目选址区域为</w:t>
            </w:r>
            <w:r>
              <w:rPr>
                <w:rFonts w:hint="eastAsia"/>
                <w:color w:val="000000" w:themeColor="text1"/>
                <w:highlight w:val="none"/>
                <w:lang w:val="en-US" w:eastAsia="zh-CN"/>
                <w14:textFill>
                  <w14:solidFill>
                    <w14:schemeClr w14:val="tx1"/>
                  </w14:solidFill>
                </w14:textFill>
              </w:rPr>
              <w:t>《环境空气质量标准》（GB3095-2026）</w:t>
            </w:r>
            <w:r>
              <w:rPr>
                <w:rFonts w:hint="default"/>
                <w:color w:val="000000" w:themeColor="text1"/>
                <w:highlight w:val="none"/>
                <w:lang w:val="en-US" w:eastAsia="zh-CN"/>
                <w14:textFill>
                  <w14:solidFill>
                    <w14:schemeClr w14:val="tx1"/>
                  </w14:solidFill>
                </w14:textFill>
              </w:rPr>
              <w:t>中的二类区，执行二级标准。所在区域为2类声环境功能区。所在区域为Ⅲ类地下水功能区，地下水质量目标为《地下水质量标准》</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GB/T14848-2017</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Ⅲ类标准。</w:t>
            </w:r>
          </w:p>
          <w:p w14:paraId="02FF3F22">
            <w:pPr>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本项目废气达标排放；本项目无废水外排；本</w:t>
            </w:r>
            <w:r>
              <w:rPr>
                <w:rFonts w:hint="default"/>
                <w:color w:val="000000" w:themeColor="text1"/>
                <w:highlight w:val="none"/>
                <w:lang w:val="en-US" w:eastAsia="zh-CN"/>
                <w14:textFill>
                  <w14:solidFill>
                    <w14:schemeClr w14:val="tx1"/>
                  </w14:solidFill>
                </w14:textFill>
              </w:rPr>
              <w:t>项目主要噪声源优先选用低噪声设备</w:t>
            </w:r>
            <w:r>
              <w:rPr>
                <w:rFonts w:hint="eastAsia"/>
                <w:color w:val="000000" w:themeColor="text1"/>
                <w:highlight w:val="none"/>
                <w:lang w:val="en-US" w:eastAsia="zh-CN"/>
                <w14:textFill>
                  <w14:solidFill>
                    <w14:schemeClr w14:val="tx1"/>
                  </w14:solidFill>
                </w14:textFill>
              </w:rPr>
              <w:t>，采取隔声减振等措施；本项目</w:t>
            </w:r>
            <w:r>
              <w:rPr>
                <w:rFonts w:hint="default"/>
                <w:color w:val="000000" w:themeColor="text1"/>
                <w:highlight w:val="none"/>
                <w:lang w:val="en-US" w:eastAsia="zh-CN"/>
                <w14:textFill>
                  <w14:solidFill>
                    <w14:schemeClr w14:val="tx1"/>
                  </w14:solidFill>
                </w14:textFill>
              </w:rPr>
              <w:t>固废采取严格的治理、处理和处置措施</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采取本环评提出的相关防治措施后，</w:t>
            </w:r>
            <w:r>
              <w:rPr>
                <w:rFonts w:hint="eastAsia"/>
                <w:color w:val="000000" w:themeColor="text1"/>
                <w:highlight w:val="none"/>
                <w:lang w:val="en-US" w:eastAsia="zh-CN"/>
                <w14:textFill>
                  <w14:solidFill>
                    <w14:schemeClr w14:val="tx1"/>
                  </w14:solidFill>
                </w14:textFill>
              </w:rPr>
              <w:t>本项目</w:t>
            </w:r>
            <w:r>
              <w:rPr>
                <w:rFonts w:hint="default"/>
                <w:color w:val="000000" w:themeColor="text1"/>
                <w:highlight w:val="none"/>
                <w:lang w:val="en-US" w:eastAsia="zh-CN"/>
                <w14:textFill>
                  <w14:solidFill>
                    <w14:schemeClr w14:val="tx1"/>
                  </w14:solidFill>
                </w14:textFill>
              </w:rPr>
              <w:t>对周围环境影响</w:t>
            </w:r>
            <w:r>
              <w:rPr>
                <w:rFonts w:hint="eastAsia"/>
                <w:color w:val="000000" w:themeColor="text1"/>
                <w:highlight w:val="none"/>
                <w:lang w:val="en-US" w:eastAsia="zh-CN"/>
                <w14:textFill>
                  <w14:solidFill>
                    <w14:schemeClr w14:val="tx1"/>
                  </w14:solidFill>
                </w14:textFill>
              </w:rPr>
              <w:t>较小，不会对环境质量产生明显影响</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因此，本项目</w:t>
            </w:r>
            <w:r>
              <w:rPr>
                <w:rFonts w:hint="default"/>
                <w:color w:val="000000" w:themeColor="text1"/>
                <w:highlight w:val="none"/>
                <w:lang w:val="en-US" w:eastAsia="zh-CN"/>
                <w14:textFill>
                  <w14:solidFill>
                    <w14:schemeClr w14:val="tx1"/>
                  </w14:solidFill>
                </w14:textFill>
              </w:rPr>
              <w:t>符合环境质量底线要求。</w:t>
            </w:r>
          </w:p>
          <w:p w14:paraId="335D430D">
            <w:pPr>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⑶</w:t>
            </w:r>
            <w:r>
              <w:rPr>
                <w:rFonts w:hint="default"/>
                <w:color w:val="000000" w:themeColor="text1"/>
                <w:highlight w:val="none"/>
                <w:lang w:val="en-US" w:eastAsia="zh-CN"/>
                <w14:textFill>
                  <w14:solidFill>
                    <w14:schemeClr w14:val="tx1"/>
                  </w14:solidFill>
                </w14:textFill>
              </w:rPr>
              <w:t>资源利用上线</w:t>
            </w:r>
          </w:p>
          <w:p w14:paraId="63885DFE">
            <w:pPr>
              <w:shd w:val="clear"/>
              <w:rPr>
                <w:rFonts w:hint="default" w:ascii="Times New Roman" w:hAnsi="Times New Roman" w:cs="Times New Roman"/>
                <w:color w:val="000000" w:themeColor="text1"/>
                <w:highlight w:val="none"/>
                <w:lang w:val="en-US" w:eastAsia="zh-CN"/>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本项目生产运行主要消耗水资源与电力能源，其中用水取自企业自备水井，用电由当地公共电网统一供应。项目整体能源及水资源消耗量较低，与区域资源供给总量相比占比较小，不会对区域水资源、能源保障及资源合理利用产生明显影响。</w:t>
            </w:r>
          </w:p>
          <w:p w14:paraId="354C0CF8">
            <w:pPr>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⑷</w:t>
            </w:r>
            <w:r>
              <w:rPr>
                <w:rFonts w:hint="default"/>
                <w:color w:val="000000" w:themeColor="text1"/>
                <w:highlight w:val="none"/>
                <w:lang w:val="en-US" w:eastAsia="zh-CN"/>
                <w14:textFill>
                  <w14:solidFill>
                    <w14:schemeClr w14:val="tx1"/>
                  </w14:solidFill>
                </w14:textFill>
              </w:rPr>
              <w:t>环境准入负面清单</w:t>
            </w:r>
          </w:p>
          <w:p w14:paraId="5B46A488">
            <w:pPr>
              <w:shd w:val="clea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14:paraId="2BA3A2E8">
            <w:pPr>
              <w:shd w:val="clear"/>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经与《市场准入负面清单</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5</w:t>
            </w:r>
            <w:r>
              <w:rPr>
                <w:rFonts w:hint="default"/>
                <w:color w:val="000000" w:themeColor="text1"/>
                <w:highlight w:val="none"/>
                <w:lang w:val="en-US" w:eastAsia="zh-CN"/>
                <w14:textFill>
                  <w14:solidFill>
                    <w14:schemeClr w14:val="tx1"/>
                  </w14:solidFill>
                </w14:textFill>
              </w:rPr>
              <w:t>年版</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》、《产业结构调整指导目录</w:t>
            </w:r>
            <w:r>
              <w:rPr>
                <w:rFonts w:hint="eastAsia"/>
                <w:color w:val="000000" w:themeColor="text1"/>
                <w:highlight w:val="none"/>
                <w:lang w:val="en-US" w:eastAsia="zh-CN"/>
                <w14:textFill>
                  <w14:solidFill>
                    <w14:schemeClr w14:val="tx1"/>
                  </w14:solidFill>
                </w14:textFill>
              </w:rPr>
              <w:t>（2024年本）</w:t>
            </w:r>
            <w:r>
              <w:rPr>
                <w:rFonts w:hint="default"/>
                <w:color w:val="000000" w:themeColor="text1"/>
                <w:highlight w:val="none"/>
                <w:lang w:val="en-US" w:eastAsia="zh-CN"/>
                <w14:textFill>
                  <w14:solidFill>
                    <w14:schemeClr w14:val="tx1"/>
                  </w14:solidFill>
                </w14:textFill>
              </w:rPr>
              <w:t>》对照，本项目不属于国家淘汰类、限制类项目。因此，本项目满足环境准入负面清单要求。</w:t>
            </w:r>
          </w:p>
          <w:p w14:paraId="7ABA7103">
            <w:pPr>
              <w:pStyle w:val="31"/>
              <w:shd w:val="clear"/>
              <w:rPr>
                <w:rFonts w:hint="default"/>
                <w:color w:val="000000" w:themeColor="text1"/>
                <w:highlight w:val="none"/>
                <w:lang w:val="en-US" w:eastAsia="zh-CN"/>
                <w14:textFill>
                  <w14:solidFill>
                    <w14:schemeClr w14:val="tx1"/>
                  </w14:solidFill>
                </w14:textFill>
              </w:rPr>
            </w:pPr>
          </w:p>
          <w:p w14:paraId="7A492F5C">
            <w:pPr>
              <w:pStyle w:val="31"/>
              <w:shd w:val="clear"/>
              <w:rPr>
                <w:rFonts w:hint="default"/>
                <w:color w:val="000000" w:themeColor="text1"/>
                <w:highlight w:val="none"/>
                <w:lang w:val="en-US" w:eastAsia="zh-CN"/>
                <w14:textFill>
                  <w14:solidFill>
                    <w14:schemeClr w14:val="tx1"/>
                  </w14:solidFill>
                </w14:textFill>
              </w:rPr>
            </w:pPr>
          </w:p>
          <w:p w14:paraId="4A649864">
            <w:pPr>
              <w:pStyle w:val="31"/>
              <w:shd w:val="clear"/>
              <w:rPr>
                <w:rFonts w:hint="default"/>
                <w:color w:val="000000" w:themeColor="text1"/>
                <w:highlight w:val="none"/>
                <w:lang w:val="en-US" w:eastAsia="zh-CN"/>
                <w14:textFill>
                  <w14:solidFill>
                    <w14:schemeClr w14:val="tx1"/>
                  </w14:solidFill>
                </w14:textFill>
              </w:rPr>
            </w:pPr>
          </w:p>
          <w:p w14:paraId="051A4452">
            <w:pPr>
              <w:pStyle w:val="31"/>
              <w:shd w:val="clear"/>
              <w:rPr>
                <w:rFonts w:hint="default"/>
                <w:color w:val="000000" w:themeColor="text1"/>
                <w:highlight w:val="none"/>
                <w:lang w:val="en-US" w:eastAsia="zh-CN"/>
                <w14:textFill>
                  <w14:solidFill>
                    <w14:schemeClr w14:val="tx1"/>
                  </w14:solidFill>
                </w14:textFill>
              </w:rPr>
            </w:pPr>
          </w:p>
          <w:p w14:paraId="154F040F">
            <w:pPr>
              <w:pStyle w:val="31"/>
              <w:shd w:val="clear"/>
              <w:rPr>
                <w:rFonts w:hint="default"/>
                <w:color w:val="000000" w:themeColor="text1"/>
                <w:highlight w:val="none"/>
                <w:lang w:val="en-US" w:eastAsia="zh-CN"/>
                <w14:textFill>
                  <w14:solidFill>
                    <w14:schemeClr w14:val="tx1"/>
                  </w14:solidFill>
                </w14:textFill>
              </w:rPr>
            </w:pPr>
          </w:p>
          <w:p w14:paraId="389D29C5">
            <w:pPr>
              <w:pStyle w:val="31"/>
              <w:shd w:val="clear"/>
              <w:rPr>
                <w:rFonts w:hint="default"/>
                <w:color w:val="000000" w:themeColor="text1"/>
                <w:highlight w:val="none"/>
                <w:lang w:val="en-US" w:eastAsia="zh-CN"/>
                <w14:textFill>
                  <w14:solidFill>
                    <w14:schemeClr w14:val="tx1"/>
                  </w14:solidFill>
                </w14:textFill>
              </w:rPr>
            </w:pPr>
          </w:p>
          <w:p w14:paraId="51EEAD3C">
            <w:pPr>
              <w:pStyle w:val="31"/>
              <w:shd w:val="clear"/>
              <w:rPr>
                <w:rFonts w:hint="default"/>
                <w:color w:val="000000" w:themeColor="text1"/>
                <w:highlight w:val="none"/>
                <w:lang w:val="en-US" w:eastAsia="zh-CN"/>
                <w14:textFill>
                  <w14:solidFill>
                    <w14:schemeClr w14:val="tx1"/>
                  </w14:solidFill>
                </w14:textFill>
              </w:rPr>
            </w:pPr>
          </w:p>
          <w:p w14:paraId="68623FF2">
            <w:pPr>
              <w:pStyle w:val="31"/>
              <w:shd w:val="clear"/>
              <w:rPr>
                <w:rFonts w:hint="default"/>
                <w:color w:val="000000" w:themeColor="text1"/>
                <w:highlight w:val="none"/>
                <w:lang w:val="en-US" w:eastAsia="zh-CN"/>
                <w14:textFill>
                  <w14:solidFill>
                    <w14:schemeClr w14:val="tx1"/>
                  </w14:solidFill>
                </w14:textFill>
              </w:rPr>
            </w:pPr>
          </w:p>
          <w:p w14:paraId="0B6B3F83">
            <w:pPr>
              <w:pStyle w:val="31"/>
              <w:shd w:val="clear"/>
              <w:rPr>
                <w:rFonts w:hint="default"/>
                <w:color w:val="000000" w:themeColor="text1"/>
                <w:highlight w:val="none"/>
                <w:lang w:val="en-US" w:eastAsia="zh-CN"/>
                <w14:textFill>
                  <w14:solidFill>
                    <w14:schemeClr w14:val="tx1"/>
                  </w14:solidFill>
                </w14:textFill>
              </w:rPr>
            </w:pPr>
          </w:p>
          <w:p w14:paraId="6CFFD0EE">
            <w:pPr>
              <w:pStyle w:val="31"/>
              <w:shd w:val="clear"/>
              <w:rPr>
                <w:rFonts w:hint="default"/>
                <w:color w:val="000000" w:themeColor="text1"/>
                <w:highlight w:val="none"/>
                <w:lang w:val="en-US" w:eastAsia="zh-CN"/>
                <w14:textFill>
                  <w14:solidFill>
                    <w14:schemeClr w14:val="tx1"/>
                  </w14:solidFill>
                </w14:textFill>
              </w:rPr>
            </w:pPr>
          </w:p>
          <w:p w14:paraId="39C33366">
            <w:pPr>
              <w:pStyle w:val="31"/>
              <w:shd w:val="clear"/>
              <w:rPr>
                <w:rFonts w:hint="default"/>
                <w:color w:val="000000" w:themeColor="text1"/>
                <w:highlight w:val="none"/>
                <w:lang w:val="en-US" w:eastAsia="zh-CN"/>
                <w14:textFill>
                  <w14:solidFill>
                    <w14:schemeClr w14:val="tx1"/>
                  </w14:solidFill>
                </w14:textFill>
              </w:rPr>
            </w:pPr>
          </w:p>
          <w:p w14:paraId="35C06E5F">
            <w:pPr>
              <w:pStyle w:val="31"/>
              <w:shd w:val="clear"/>
              <w:rPr>
                <w:rFonts w:hint="default"/>
                <w:color w:val="000000" w:themeColor="text1"/>
                <w:highlight w:val="none"/>
                <w:lang w:val="en-US" w:eastAsia="zh-CN"/>
                <w14:textFill>
                  <w14:solidFill>
                    <w14:schemeClr w14:val="tx1"/>
                  </w14:solidFill>
                </w14:textFill>
              </w:rPr>
            </w:pPr>
          </w:p>
          <w:p w14:paraId="6EB58DFC">
            <w:pPr>
              <w:pStyle w:val="31"/>
              <w:shd w:val="clear"/>
              <w:rPr>
                <w:rFonts w:hint="default"/>
                <w:color w:val="000000" w:themeColor="text1"/>
                <w:highlight w:val="none"/>
                <w:lang w:val="en-US" w:eastAsia="zh-CN"/>
                <w14:textFill>
                  <w14:solidFill>
                    <w14:schemeClr w14:val="tx1"/>
                  </w14:solidFill>
                </w14:textFill>
              </w:rPr>
            </w:pPr>
          </w:p>
          <w:p w14:paraId="62333362">
            <w:pPr>
              <w:pStyle w:val="31"/>
              <w:shd w:val="clear"/>
              <w:rPr>
                <w:rFonts w:hint="default"/>
                <w:color w:val="000000" w:themeColor="text1"/>
                <w:highlight w:val="none"/>
                <w:lang w:val="en-US" w:eastAsia="zh-CN"/>
                <w14:textFill>
                  <w14:solidFill>
                    <w14:schemeClr w14:val="tx1"/>
                  </w14:solidFill>
                </w14:textFill>
              </w:rPr>
            </w:pPr>
          </w:p>
          <w:p w14:paraId="341BE144">
            <w:pPr>
              <w:pStyle w:val="31"/>
              <w:shd w:val="clear"/>
              <w:rPr>
                <w:rFonts w:hint="default"/>
                <w:color w:val="000000" w:themeColor="text1"/>
                <w:highlight w:val="none"/>
                <w:lang w:val="en-US" w:eastAsia="zh-CN"/>
                <w14:textFill>
                  <w14:solidFill>
                    <w14:schemeClr w14:val="tx1"/>
                  </w14:solidFill>
                </w14:textFill>
              </w:rPr>
            </w:pPr>
          </w:p>
          <w:p w14:paraId="7D67AE0A">
            <w:pPr>
              <w:pStyle w:val="31"/>
              <w:shd w:val="clear"/>
              <w:rPr>
                <w:rFonts w:hint="default"/>
                <w:color w:val="000000" w:themeColor="text1"/>
                <w:highlight w:val="none"/>
                <w:lang w:val="en-US" w:eastAsia="zh-CN"/>
                <w14:textFill>
                  <w14:solidFill>
                    <w14:schemeClr w14:val="tx1"/>
                  </w14:solidFill>
                </w14:textFill>
              </w:rPr>
            </w:pPr>
          </w:p>
          <w:p w14:paraId="7F19DC25">
            <w:pPr>
              <w:pStyle w:val="31"/>
              <w:shd w:val="clear"/>
              <w:rPr>
                <w:rFonts w:hint="default"/>
                <w:color w:val="000000" w:themeColor="text1"/>
                <w:highlight w:val="none"/>
                <w:lang w:val="en-US" w:eastAsia="zh-CN"/>
                <w14:textFill>
                  <w14:solidFill>
                    <w14:schemeClr w14:val="tx1"/>
                  </w14:solidFill>
                </w14:textFill>
              </w:rPr>
            </w:pPr>
          </w:p>
          <w:p w14:paraId="24A9D78E">
            <w:pPr>
              <w:pStyle w:val="31"/>
              <w:shd w:val="clear"/>
              <w:rPr>
                <w:rFonts w:hint="default"/>
                <w:color w:val="000000" w:themeColor="text1"/>
                <w:highlight w:val="none"/>
                <w:lang w:val="en-US" w:eastAsia="zh-CN"/>
                <w14:textFill>
                  <w14:solidFill>
                    <w14:schemeClr w14:val="tx1"/>
                  </w14:solidFill>
                </w14:textFill>
              </w:rPr>
            </w:pPr>
          </w:p>
          <w:p w14:paraId="31BC36E4">
            <w:pPr>
              <w:pStyle w:val="31"/>
              <w:shd w:val="clear"/>
              <w:rPr>
                <w:rFonts w:hint="default"/>
                <w:color w:val="000000" w:themeColor="text1"/>
                <w:highlight w:val="none"/>
                <w:lang w:val="en-US" w:eastAsia="zh-CN"/>
                <w14:textFill>
                  <w14:solidFill>
                    <w14:schemeClr w14:val="tx1"/>
                  </w14:solidFill>
                </w14:textFill>
              </w:rPr>
            </w:pPr>
          </w:p>
          <w:p w14:paraId="55C92B3A">
            <w:pPr>
              <w:pStyle w:val="31"/>
              <w:shd w:val="clear"/>
              <w:rPr>
                <w:rFonts w:hint="default"/>
                <w:color w:val="000000" w:themeColor="text1"/>
                <w:highlight w:val="none"/>
                <w:lang w:val="en-US" w:eastAsia="zh-CN"/>
                <w14:textFill>
                  <w14:solidFill>
                    <w14:schemeClr w14:val="tx1"/>
                  </w14:solidFill>
                </w14:textFill>
              </w:rPr>
            </w:pPr>
          </w:p>
        </w:tc>
      </w:tr>
    </w:tbl>
    <w:p w14:paraId="0771700F">
      <w:pPr>
        <w:shd w:val="clea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1BDC8CB6">
      <w:pPr>
        <w:pStyle w:val="7"/>
        <w:shd w:val="clear"/>
        <w:rPr>
          <w:color w:val="000000" w:themeColor="text1"/>
          <w:highlight w:val="none"/>
          <w14:textFill>
            <w14:solidFill>
              <w14:schemeClr w14:val="tx1"/>
            </w14:solidFill>
          </w14:textFill>
        </w:rPr>
        <w:sectPr>
          <w:footerReference r:id="rId7"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900"/>
        <w:gridCol w:w="13274"/>
      </w:tblGrid>
      <w:tr w14:paraId="0BCCDDB9">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9190" w:hRule="atLeast"/>
        </w:trPr>
        <w:tc>
          <w:tcPr>
            <w:tcW w:w="900" w:type="dxa"/>
            <w:tcBorders>
              <w:tl2br w:val="nil"/>
              <w:tr2bl w:val="nil"/>
            </w:tcBorders>
            <w:vAlign w:val="center"/>
          </w:tcPr>
          <w:p w14:paraId="072F873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color w:val="000000" w:themeColor="text1"/>
                <w:highlight w:val="none"/>
                <w:vertAlign w:val="baseline"/>
                <w14:textFill>
                  <w14:solidFill>
                    <w14:schemeClr w14:val="tx1"/>
                  </w14:solidFill>
                </w14:textFill>
              </w:rPr>
            </w:pPr>
          </w:p>
        </w:tc>
        <w:tc>
          <w:tcPr>
            <w:tcW w:w="13274" w:type="dxa"/>
            <w:tcBorders>
              <w:tl2br w:val="nil"/>
              <w:tr2bl w:val="nil"/>
            </w:tcBorders>
          </w:tcPr>
          <w:p w14:paraId="4EFDA4F0">
            <w:pPr>
              <w:keepNext w:val="0"/>
              <w:keepLines w:val="0"/>
              <w:pageBreakBefore w:val="0"/>
              <w:widowControl w:val="0"/>
              <w:shd w:val="clear"/>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4、本项目</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与唐山市“三线一单”相符性分析</w:t>
            </w:r>
          </w:p>
          <w:p w14:paraId="414520E5">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auto"/>
                <w:lang w:val="en-US" w:eastAsia="zh-CN"/>
                <w14:textFill>
                  <w14:solidFill>
                    <w14:schemeClr w14:val="tx1"/>
                  </w14:solidFill>
                </w14:textFill>
              </w:rPr>
              <w:t>本项目</w:t>
            </w:r>
            <w:r>
              <w:rPr>
                <w:rFonts w:hint="eastAsia" w:cs="Times New Roman"/>
                <w:color w:val="000000" w:themeColor="text1"/>
                <w:sz w:val="24"/>
                <w:szCs w:val="24"/>
                <w:highlight w:val="none"/>
                <w:shd w:val="clear" w:color="auto" w:fill="auto"/>
                <w:lang w:val="en-US" w:eastAsia="zh-CN"/>
                <w14:textFill>
                  <w14:solidFill>
                    <w14:schemeClr w14:val="tx1"/>
                  </w14:solidFill>
                </w14:textFill>
              </w:rPr>
              <w:t>位于</w:t>
            </w:r>
            <w:r>
              <w:rPr>
                <w:rFonts w:hint="eastAsia" w:cs="Times New Roman"/>
                <w:color w:val="000000" w:themeColor="text1"/>
                <w:sz w:val="24"/>
                <w:szCs w:val="24"/>
                <w:highlight w:val="none"/>
                <w:lang w:val="en-US" w:eastAsia="zh-CN"/>
                <w14:textFill>
                  <w14:solidFill>
                    <w14:schemeClr w14:val="tx1"/>
                  </w14:solidFill>
                </w14:textFill>
              </w:rPr>
              <w:t>河北省唐山市滦州市雷庄镇耀隆宝峰矿业有限公司院内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w:t>
            </w:r>
            <w:r>
              <w:rPr>
                <w:rFonts w:hint="eastAsia" w:cs="Times New Roman"/>
                <w:color w:val="000000" w:themeColor="text1"/>
                <w:sz w:val="24"/>
                <w:szCs w:val="24"/>
                <w:highlight w:val="none"/>
                <w:lang w:val="en-US" w:eastAsia="zh-CN"/>
                <w14:textFill>
                  <w14:solidFill>
                    <w14:schemeClr w14:val="tx1"/>
                  </w14:solidFill>
                </w14:textFill>
              </w:rPr>
              <w:t>《唐山市生态环境准入清单（2023年版）》</w:t>
            </w:r>
            <w:r>
              <w:rPr>
                <w:rFonts w:hint="eastAsia"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t>二〇二</w:t>
            </w:r>
            <w:r>
              <w:rPr>
                <w:rFonts w:hint="eastAsia" w:cs="Times New Roman"/>
                <w:color w:val="000000" w:themeColor="text1"/>
                <w:sz w:val="24"/>
                <w:szCs w:val="24"/>
                <w:highlight w:val="none"/>
                <w:shd w:val="clear" w:color="auto" w:fill="auto"/>
                <w:lang w:val="en-US" w:eastAsia="zh-CN"/>
                <w14:textFill>
                  <w14:solidFill>
                    <w14:schemeClr w14:val="tx1"/>
                  </w14:solidFill>
                </w14:textFill>
              </w:rPr>
              <w:t>四</w:t>
            </w:r>
            <w:r>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t>年</w:t>
            </w:r>
            <w:r>
              <w:rPr>
                <w:rFonts w:hint="eastAsia" w:cs="Times New Roman"/>
                <w:color w:val="000000" w:themeColor="text1"/>
                <w:sz w:val="24"/>
                <w:szCs w:val="24"/>
                <w:highlight w:val="none"/>
                <w:shd w:val="clear" w:color="auto" w:fill="auto"/>
                <w:lang w:val="en-US" w:eastAsia="zh-CN"/>
                <w14:textFill>
                  <w14:solidFill>
                    <w14:schemeClr w14:val="tx1"/>
                  </w14:solidFill>
                </w14:textFill>
              </w:rPr>
              <w:t>四</w:t>
            </w:r>
            <w:r>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t>月</w:t>
            </w:r>
            <w:r>
              <w:rPr>
                <w:rFonts w:hint="eastAsia"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shd w:val="clear" w:color="auto" w:fill="auto"/>
                <w:lang w:val="en-US" w:eastAsia="zh-CN"/>
                <w14:textFill>
                  <w14:solidFill>
                    <w14:schemeClr w14:val="tx1"/>
                  </w14:solidFill>
                </w14:textFill>
              </w:rPr>
              <w:t>本项目不在生态保护红线区、自然保护区、风景名胜区、森林公园、湿地公园、地质公园、水产种质资源保护区、自然文化遗产、湿地空间、</w:t>
            </w:r>
            <w:r>
              <w:rPr>
                <w:rFonts w:ascii="宋体" w:hAnsi="宋体" w:eastAsia="宋体" w:cs="宋体"/>
                <w:b w:val="0"/>
                <w:bCs w:val="0"/>
                <w:i w:val="0"/>
                <w:iCs w:val="0"/>
                <w:color w:val="000000" w:themeColor="text1"/>
                <w:kern w:val="0"/>
                <w:sz w:val="24"/>
                <w:szCs w:val="24"/>
                <w:highlight w:val="none"/>
                <w:lang w:val="en-US" w:eastAsia="zh-CN" w:bidi="ar"/>
                <w14:textFill>
                  <w14:solidFill>
                    <w14:schemeClr w14:val="tx1"/>
                  </w14:solidFill>
                </w14:textFill>
              </w:rPr>
              <w:t>饮用水地表水源保护区</w:t>
            </w:r>
            <w:r>
              <w:rPr>
                <w:rFonts w:hint="default" w:ascii="Times New Roman" w:hAnsi="Times New Roman" w:eastAsia="宋体" w:cs="Times New Roman"/>
                <w:color w:val="000000" w:themeColor="text1"/>
                <w:sz w:val="24"/>
                <w:szCs w:val="24"/>
                <w:highlight w:val="none"/>
                <w:shd w:val="clear" w:color="auto" w:fill="auto"/>
                <w:lang w:val="en-US" w:eastAsia="zh-CN"/>
                <w14:textFill>
                  <w14:solidFill>
                    <w14:schemeClr w14:val="tx1"/>
                  </w14:solidFill>
                </w14:textFill>
              </w:rPr>
              <w:t>、饮用水地下水源保护区、一般生态空间范围内</w:t>
            </w:r>
            <w:r>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t>，本项目所在区域属于</w:t>
            </w:r>
            <w:r>
              <w:rPr>
                <w:rFonts w:hint="eastAsia" w:cs="Times New Roman"/>
                <w:color w:val="000000" w:themeColor="text1"/>
                <w:sz w:val="24"/>
                <w:szCs w:val="24"/>
                <w:highlight w:val="none"/>
                <w:shd w:val="clear" w:color="auto" w:fill="auto"/>
                <w:lang w:val="en-US" w:eastAsia="zh-CN"/>
                <w14:textFill>
                  <w14:solidFill>
                    <w14:schemeClr w14:val="tx1"/>
                  </w14:solidFill>
                </w14:textFill>
              </w:rPr>
              <w:t>一般</w:t>
            </w:r>
            <w:r>
              <w:rPr>
                <w:rFonts w:hint="default" w:ascii="Times New Roman" w:hAnsi="Times New Roman" w:cs="Times New Roman"/>
                <w:color w:val="000000" w:themeColor="text1"/>
                <w:sz w:val="24"/>
                <w:szCs w:val="24"/>
                <w:highlight w:val="none"/>
                <w:shd w:val="clear" w:color="auto" w:fill="auto"/>
                <w:lang w:val="en-US" w:eastAsia="zh-CN"/>
                <w14:textFill>
                  <w14:solidFill>
                    <w14:schemeClr w14:val="tx1"/>
                  </w14:solidFill>
                </w14:textFill>
              </w:rPr>
              <w:t>管控单元。项目与唐山市生态环境准入清单符合性分析见下表</w:t>
            </w:r>
            <w:r>
              <w:rPr>
                <w:rFonts w:hint="default" w:ascii="Times New Roman" w:hAnsi="Times New Roman" w:eastAsia="宋体" w:cs="Times New Roman"/>
                <w:color w:val="000000" w:themeColor="text1"/>
                <w:sz w:val="24"/>
                <w:szCs w:val="24"/>
                <w:highlight w:val="none"/>
                <w:shd w:val="clear" w:color="auto" w:fill="auto"/>
                <w14:textFill>
                  <w14:solidFill>
                    <w14:schemeClr w14:val="tx1"/>
                  </w14:solidFill>
                </w14:textFill>
              </w:rPr>
              <w:t>：</w:t>
            </w:r>
          </w:p>
          <w:p w14:paraId="76FE639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本项目与总体管控要求符合性分析一览表</w:t>
            </w:r>
          </w:p>
          <w:tbl>
            <w:tblPr>
              <w:tblStyle w:val="32"/>
              <w:tblW w:w="12659"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545"/>
              <w:gridCol w:w="403"/>
              <w:gridCol w:w="195"/>
              <w:gridCol w:w="396"/>
              <w:gridCol w:w="1"/>
              <w:gridCol w:w="8617"/>
              <w:gridCol w:w="1"/>
              <w:gridCol w:w="1843"/>
              <w:gridCol w:w="1"/>
              <w:gridCol w:w="656"/>
              <w:gridCol w:w="1"/>
            </w:tblGrid>
            <w:tr w14:paraId="6C82387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88" w:hRule="atLeast"/>
                <w:jc w:val="center"/>
              </w:trPr>
              <w:tc>
                <w:tcPr>
                  <w:tcW w:w="545" w:type="dxa"/>
                  <w:tcBorders>
                    <w:tl2br w:val="nil"/>
                    <w:tr2bl w:val="nil"/>
                  </w:tcBorders>
                  <w:noWrap w:val="0"/>
                  <w:vAlign w:val="center"/>
                </w:tcPr>
                <w:p w14:paraId="5F66C3D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要素属性</w:t>
                  </w:r>
                </w:p>
              </w:tc>
              <w:tc>
                <w:tcPr>
                  <w:tcW w:w="994" w:type="dxa"/>
                  <w:gridSpan w:val="3"/>
                  <w:tcBorders>
                    <w:tl2br w:val="nil"/>
                    <w:tr2bl w:val="nil"/>
                  </w:tcBorders>
                  <w:noWrap w:val="0"/>
                  <w:vAlign w:val="center"/>
                </w:tcPr>
                <w:p w14:paraId="7CAE822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管控类别</w:t>
                  </w:r>
                </w:p>
              </w:tc>
              <w:tc>
                <w:tcPr>
                  <w:tcW w:w="8618" w:type="dxa"/>
                  <w:gridSpan w:val="2"/>
                  <w:tcBorders>
                    <w:tl2br w:val="nil"/>
                    <w:tr2bl w:val="nil"/>
                  </w:tcBorders>
                  <w:noWrap w:val="0"/>
                  <w:vAlign w:val="center"/>
                </w:tcPr>
                <w:p w14:paraId="071D2FB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管控要求</w:t>
                  </w:r>
                </w:p>
              </w:tc>
              <w:tc>
                <w:tcPr>
                  <w:tcW w:w="1844" w:type="dxa"/>
                  <w:gridSpan w:val="2"/>
                  <w:tcBorders>
                    <w:tl2br w:val="nil"/>
                    <w:tr2bl w:val="nil"/>
                  </w:tcBorders>
                  <w:noWrap w:val="0"/>
                  <w:vAlign w:val="center"/>
                </w:tcPr>
                <w:p w14:paraId="663B3E1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p>
              </w:tc>
              <w:tc>
                <w:tcPr>
                  <w:tcW w:w="657" w:type="dxa"/>
                  <w:gridSpan w:val="2"/>
                  <w:tcBorders>
                    <w:tl2br w:val="nil"/>
                    <w:tr2bl w:val="nil"/>
                  </w:tcBorders>
                  <w:noWrap w:val="0"/>
                  <w:vAlign w:val="center"/>
                </w:tcPr>
                <w:p w14:paraId="07582FA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结论</w:t>
                  </w:r>
                </w:p>
              </w:tc>
            </w:tr>
            <w:tr w14:paraId="285C32F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662" w:hRule="atLeast"/>
                <w:jc w:val="center"/>
              </w:trPr>
              <w:tc>
                <w:tcPr>
                  <w:tcW w:w="545" w:type="dxa"/>
                  <w:vMerge w:val="restart"/>
                  <w:tcBorders>
                    <w:tl2br w:val="nil"/>
                    <w:tr2bl w:val="nil"/>
                  </w:tcBorders>
                  <w:noWrap w:val="0"/>
                  <w:vAlign w:val="center"/>
                </w:tcPr>
                <w:p w14:paraId="2051027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生态保护红线区</w:t>
                  </w:r>
                </w:p>
              </w:tc>
              <w:tc>
                <w:tcPr>
                  <w:tcW w:w="598" w:type="dxa"/>
                  <w:gridSpan w:val="2"/>
                  <w:vMerge w:val="restart"/>
                  <w:tcBorders>
                    <w:tl2br w:val="nil"/>
                    <w:tr2bl w:val="nil"/>
                  </w:tcBorders>
                  <w:noWrap w:val="0"/>
                  <w:vAlign w:val="center"/>
                </w:tcPr>
                <w:p w14:paraId="2644412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空间布局约束</w:t>
                  </w:r>
                </w:p>
              </w:tc>
              <w:tc>
                <w:tcPr>
                  <w:tcW w:w="397" w:type="dxa"/>
                  <w:gridSpan w:val="2"/>
                  <w:tcBorders>
                    <w:tl2br w:val="nil"/>
                    <w:tr2bl w:val="nil"/>
                  </w:tcBorders>
                  <w:noWrap w:val="0"/>
                  <w:vAlign w:val="center"/>
                </w:tcPr>
                <w:p w14:paraId="033515F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禁止类管控要求</w:t>
                  </w:r>
                </w:p>
              </w:tc>
              <w:tc>
                <w:tcPr>
                  <w:tcW w:w="8618" w:type="dxa"/>
                  <w:gridSpan w:val="2"/>
                  <w:tcBorders>
                    <w:tl2br w:val="nil"/>
                    <w:tr2bl w:val="nil"/>
                  </w:tcBorders>
                  <w:noWrap w:val="0"/>
                  <w:vAlign w:val="center"/>
                </w:tcPr>
                <w:p w14:paraId="2CA47D5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生态保护红线原则上按禁止开发区域的要求进行管理。严禁不符合主体功能定位的各类开发活动，严禁任意改变用途。生态保护红线一经划定，未经批准，严禁擅自调整。根据资源环境承载能力监测、生态保护重要性评价和国土空间规划实施“五年一评估”情况，可由省级人民政府编制生态保护红线局部调整方案，纳入国土空间规划修改方案报国务院批准，并抄送生态环境部。自然保护地边界发生调整的，省级自然资源主管部门依据批准文件，对生态保护红线作相应调整，更新国土空间规划“一张图”。已依法设立的油气探矿权拟转采矿权的，按有关规定由省级自然资源主管部门会同相关部门明确开采拟占用地表或海域范围，并对生态保护红线</w:t>
                  </w:r>
                  <w:r>
                    <w:rPr>
                      <w:rFonts w:hint="eastAsia"/>
                      <w:color w:val="000000" w:themeColor="text1"/>
                      <w:sz w:val="21"/>
                      <w:szCs w:val="21"/>
                      <w:highlight w:val="none"/>
                      <w:lang w:eastAsia="zh-CN"/>
                      <w14:textFill>
                        <w14:solidFill>
                          <w14:schemeClr w14:val="tx1"/>
                        </w14:solidFill>
                      </w14:textFill>
                    </w:rPr>
                    <w:t>做</w:t>
                  </w:r>
                  <w:r>
                    <w:rPr>
                      <w:rFonts w:hint="eastAsia"/>
                      <w:color w:val="000000" w:themeColor="text1"/>
                      <w:sz w:val="21"/>
                      <w:szCs w:val="21"/>
                      <w:highlight w:val="none"/>
                      <w14:textFill>
                        <w14:solidFill>
                          <w14:schemeClr w14:val="tx1"/>
                        </w14:solidFill>
                      </w14:textFill>
                    </w:rPr>
                    <w:t>相应调整，更新国土空间规划“一张图”。更新后的国土空间规划“一张图”，与省级生态环境部门信息共享。</w:t>
                  </w:r>
                </w:p>
              </w:tc>
              <w:tc>
                <w:tcPr>
                  <w:tcW w:w="1844" w:type="dxa"/>
                  <w:gridSpan w:val="2"/>
                  <w:tcBorders>
                    <w:tl2br w:val="nil"/>
                    <w:tr2bl w:val="nil"/>
                  </w:tcBorders>
                  <w:noWrap w:val="0"/>
                  <w:vAlign w:val="center"/>
                </w:tcPr>
                <w:p w14:paraId="566AD56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本项目选址不涉及生态保护红线。</w:t>
                  </w:r>
                </w:p>
              </w:tc>
              <w:tc>
                <w:tcPr>
                  <w:tcW w:w="657" w:type="dxa"/>
                  <w:gridSpan w:val="2"/>
                  <w:tcBorders>
                    <w:tl2br w:val="nil"/>
                    <w:tr2bl w:val="nil"/>
                  </w:tcBorders>
                  <w:noWrap w:val="0"/>
                  <w:vAlign w:val="center"/>
                </w:tcPr>
                <w:p w14:paraId="163068A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0FFE6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29" w:hRule="atLeast"/>
                <w:jc w:val="center"/>
              </w:trPr>
              <w:tc>
                <w:tcPr>
                  <w:tcW w:w="545" w:type="dxa"/>
                  <w:vMerge w:val="continue"/>
                  <w:tcBorders>
                    <w:tl2br w:val="nil"/>
                    <w:tr2bl w:val="nil"/>
                  </w:tcBorders>
                  <w:noWrap w:val="0"/>
                  <w:vAlign w:val="center"/>
                </w:tcPr>
                <w:p w14:paraId="188A277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8" w:type="dxa"/>
                  <w:gridSpan w:val="2"/>
                  <w:vMerge w:val="continue"/>
                  <w:tcBorders>
                    <w:tl2br w:val="nil"/>
                    <w:tr2bl w:val="nil"/>
                  </w:tcBorders>
                  <w:noWrap w:val="0"/>
                  <w:vAlign w:val="center"/>
                </w:tcPr>
                <w:p w14:paraId="41E0116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397" w:type="dxa"/>
                  <w:gridSpan w:val="2"/>
                  <w:tcBorders>
                    <w:tl2br w:val="nil"/>
                    <w:tr2bl w:val="nil"/>
                  </w:tcBorders>
                  <w:noWrap w:val="0"/>
                  <w:vAlign w:val="center"/>
                </w:tcPr>
                <w:p w14:paraId="0027EEB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限制类管控要求</w:t>
                  </w:r>
                </w:p>
              </w:tc>
              <w:tc>
                <w:tcPr>
                  <w:tcW w:w="8618" w:type="dxa"/>
                  <w:gridSpan w:val="2"/>
                  <w:tcBorders>
                    <w:tl2br w:val="nil"/>
                    <w:tr2bl w:val="nil"/>
                  </w:tcBorders>
                  <w:noWrap w:val="0"/>
                  <w:vAlign w:val="center"/>
                </w:tcPr>
                <w:p w14:paraId="7E324A7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生态保护红线内自然保护地核心保护区外，禁止开发性、生产性建设活动，在符合法律法规的前提下，仅允许以下</w:t>
                  </w:r>
                  <w:r>
                    <w:rPr>
                      <w:color w:val="000000" w:themeColor="text1"/>
                      <w:sz w:val="21"/>
                      <w:szCs w:val="21"/>
                      <w:highlight w:val="none"/>
                      <w14:textFill>
                        <w14:solidFill>
                          <w14:schemeClr w14:val="tx1"/>
                        </w14:solidFill>
                      </w14:textFill>
                    </w:rPr>
                    <w:t>10</w:t>
                  </w:r>
                  <w:r>
                    <w:rPr>
                      <w:rFonts w:hint="eastAsia"/>
                      <w:color w:val="000000" w:themeColor="text1"/>
                      <w:sz w:val="21"/>
                      <w:szCs w:val="21"/>
                      <w:highlight w:val="none"/>
                      <w14:textFill>
                        <w14:solidFill>
                          <w14:schemeClr w14:val="tx1"/>
                        </w14:solidFill>
                      </w14:textFill>
                    </w:rPr>
                    <w:t>类对生态功能不造成破坏的有限人为活动。生态保护红线内自然保护区、风景名胜区、饮用水水源保护区等区域，依照法律法规执行。</w:t>
                  </w:r>
                </w:p>
                <w:p w14:paraId="1BDAE90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）管护巡护、保护执法、科学研究、调查监测、测绘导航、防灾减灾救灾、军事国防、疫情防控等活动及相关的必要设施修筑。</w:t>
                  </w:r>
                </w:p>
                <w:p w14:paraId="31E4510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原住居民和其他合法权益主体，允许在不扩大现有建设用地、用海用岛、耕地、水产养殖规模和放牧强度（符合草畜平衡管理规定）的前提下，开展种植、放牧、捕捞、养殖（不包括投礁型海洋牧场、围海养殖）等活动，修筑</w:t>
                  </w:r>
                  <w:r>
                    <w:rPr>
                      <w:rFonts w:hint="eastAsia"/>
                      <w:color w:val="000000" w:themeColor="text1"/>
                      <w:sz w:val="21"/>
                      <w:szCs w:val="21"/>
                      <w:highlight w:val="none"/>
                      <w:lang w:eastAsia="zh-CN"/>
                      <w14:textFill>
                        <w14:solidFill>
                          <w14:schemeClr w14:val="tx1"/>
                        </w14:solidFill>
                      </w14:textFill>
                    </w:rPr>
                    <w:t>生产、生活</w:t>
                  </w:r>
                  <w:r>
                    <w:rPr>
                      <w:rFonts w:hint="eastAsia"/>
                      <w:color w:val="000000" w:themeColor="text1"/>
                      <w:sz w:val="21"/>
                      <w:szCs w:val="21"/>
                      <w:highlight w:val="none"/>
                      <w14:textFill>
                        <w14:solidFill>
                          <w14:schemeClr w14:val="tx1"/>
                        </w14:solidFill>
                      </w14:textFill>
                    </w:rPr>
                    <w:t>设施。</w:t>
                  </w:r>
                </w:p>
                <w:p w14:paraId="1DB5221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）经依法批准的考古调查发掘、古生物化石调查发掘、标本采集和文物保护活动。</w:t>
                  </w:r>
                </w:p>
                <w:p w14:paraId="6947EA7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）按规定对人工商品林进行抚育采伐，或以提升森林质量、优化栖息地、建设生物防火</w:t>
                  </w:r>
                </w:p>
                <w:p w14:paraId="0947CF6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隔离带等为目的的树种更新，依法开展的竹林采伐经营。</w:t>
                  </w:r>
                </w:p>
                <w:p w14:paraId="67B87AD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）不破坏生态功能的适度参观旅游、科普宣教及符合相关规划的配套性服务设施和相关</w:t>
                  </w:r>
                </w:p>
                <w:p w14:paraId="7A37445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的必要公共设施建设及维护。</w:t>
                  </w:r>
                </w:p>
                <w:p w14:paraId="2666F83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t>）必须且无法避让、符合县级以上国土空间规划的线性基础设施、通讯和防洪、供水设施建设和船舶航行、航道疏浚清淤等活动；已有的合法水利、交通运输等设施运行维护改造。</w:t>
                  </w:r>
                </w:p>
                <w:p w14:paraId="7DC8F42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7</w:t>
                  </w:r>
                  <w:r>
                    <w:rPr>
                      <w:rFonts w:hint="eastAsia"/>
                      <w:color w:val="000000" w:themeColor="text1"/>
                      <w:sz w:val="21"/>
                      <w:szCs w:val="21"/>
                      <w:highlight w:val="none"/>
                      <w14:textFill>
                        <w14:solidFill>
                          <w14:schemeClr w14:val="tx1"/>
                        </w14:solidFill>
                      </w14:textFill>
                    </w:rPr>
                    <w:t>）地质调查与矿产资源勘查开采。[具体开采活动，详见《自然资源部生态环境部国家林业和草原局关于加强生态保护红线管理的通知（试行）》（自然资发〔</w:t>
                  </w:r>
                  <w:r>
                    <w:rPr>
                      <w:color w:val="000000" w:themeColor="text1"/>
                      <w:sz w:val="21"/>
                      <w:szCs w:val="21"/>
                      <w:highlight w:val="none"/>
                      <w14:textFill>
                        <w14:solidFill>
                          <w14:schemeClr w14:val="tx1"/>
                        </w14:solidFill>
                      </w14:textFill>
                    </w:rPr>
                    <w:t>2022</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142</w:t>
                  </w:r>
                  <w:r>
                    <w:rPr>
                      <w:rFonts w:hint="eastAsia"/>
                      <w:color w:val="000000" w:themeColor="text1"/>
                      <w:sz w:val="21"/>
                      <w:szCs w:val="21"/>
                      <w:highlight w:val="none"/>
                      <w14:textFill>
                        <w14:solidFill>
                          <w14:schemeClr w14:val="tx1"/>
                        </w14:solidFill>
                      </w14:textFill>
                    </w:rPr>
                    <w:t>号）</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。上述勘查开采活动，应落实减缓生态环境影响措施，严格执行绿色勘查、开采及矿山环境生态修复相关要求。</w:t>
                  </w:r>
                </w:p>
                <w:p w14:paraId="025BA9F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8</w:t>
                  </w:r>
                  <w:r>
                    <w:rPr>
                      <w:rFonts w:hint="eastAsia"/>
                      <w:color w:val="000000" w:themeColor="text1"/>
                      <w:sz w:val="21"/>
                      <w:szCs w:val="21"/>
                      <w:highlight w:val="none"/>
                      <w14:textFill>
                        <w14:solidFill>
                          <w14:schemeClr w14:val="tx1"/>
                        </w14:solidFill>
                      </w14:textFill>
                    </w:rPr>
                    <w:t>）依据县级以上国土空间规划和生态保护修复专项规划开展的生态修复。</w:t>
                  </w:r>
                </w:p>
                <w:p w14:paraId="62E578E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9</w:t>
                  </w:r>
                  <w:r>
                    <w:rPr>
                      <w:rFonts w:hint="eastAsia"/>
                      <w:color w:val="000000" w:themeColor="text1"/>
                      <w:sz w:val="21"/>
                      <w:szCs w:val="21"/>
                      <w:highlight w:val="none"/>
                      <w14:textFill>
                        <w14:solidFill>
                          <w14:schemeClr w14:val="tx1"/>
                        </w14:solidFill>
                      </w14:textFill>
                    </w:rPr>
                    <w:t>）根据我国相关法律法规和与邻国签署的国界管理制度协定（条约）开展的边界边境通视道清理以及界务工程的修建、维护和拆除工作。</w:t>
                  </w:r>
                </w:p>
                <w:p w14:paraId="7326848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10</w:t>
                  </w:r>
                  <w:r>
                    <w:rPr>
                      <w:rFonts w:hint="eastAsia"/>
                      <w:color w:val="000000" w:themeColor="text1"/>
                      <w:sz w:val="21"/>
                      <w:szCs w:val="21"/>
                      <w:highlight w:val="none"/>
                      <w14:textFill>
                        <w14:solidFill>
                          <w14:schemeClr w14:val="tx1"/>
                        </w14:solidFill>
                      </w14:textFill>
                    </w:rPr>
                    <w:t>）法律法规规定允许的其他人为活动。</w:t>
                  </w:r>
                </w:p>
                <w:p w14:paraId="6C6349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开展上述活动时禁止新增填海造地和新增围海。上述活动涉及利用无居民海岛的，原则上仅允许按照相关规定对海岛自然岸线、表面积、岛体、植被改变轻微的低影响利用方式。上述允许的有限人为活动之外，确需占用生态保护红线的国家重大项目，按照《自然资源部生态环境部国家林业和草原局关于加强生态保护红线管理的通知（试行）》（自然资发〔</w:t>
                  </w:r>
                  <w:r>
                    <w:rPr>
                      <w:color w:val="000000" w:themeColor="text1"/>
                      <w:sz w:val="21"/>
                      <w:szCs w:val="21"/>
                      <w:highlight w:val="none"/>
                      <w14:textFill>
                        <w14:solidFill>
                          <w14:schemeClr w14:val="tx1"/>
                        </w14:solidFill>
                      </w14:textFill>
                    </w:rPr>
                    <w:t>2022</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142</w:t>
                  </w:r>
                  <w:r>
                    <w:rPr>
                      <w:rFonts w:hint="eastAsia"/>
                      <w:color w:val="000000" w:themeColor="text1"/>
                      <w:sz w:val="21"/>
                      <w:szCs w:val="21"/>
                      <w:highlight w:val="none"/>
                      <w14:textFill>
                        <w14:solidFill>
                          <w14:schemeClr w14:val="tx1"/>
                        </w14:solidFill>
                      </w14:textFill>
                    </w:rPr>
                    <w:t>号）规定办理用地用海用岛审批。</w:t>
                  </w:r>
                </w:p>
              </w:tc>
              <w:tc>
                <w:tcPr>
                  <w:tcW w:w="1844" w:type="dxa"/>
                  <w:gridSpan w:val="2"/>
                  <w:tcBorders>
                    <w:tl2br w:val="nil"/>
                    <w:tr2bl w:val="nil"/>
                  </w:tcBorders>
                  <w:noWrap w:val="0"/>
                  <w:vAlign w:val="center"/>
                </w:tcPr>
                <w:p w14:paraId="6E393E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本项目选址不涉及生态保护红线。</w:t>
                  </w:r>
                </w:p>
              </w:tc>
              <w:tc>
                <w:tcPr>
                  <w:tcW w:w="657" w:type="dxa"/>
                  <w:gridSpan w:val="2"/>
                  <w:tcBorders>
                    <w:tl2br w:val="nil"/>
                    <w:tr2bl w:val="nil"/>
                  </w:tcBorders>
                  <w:noWrap w:val="0"/>
                  <w:vAlign w:val="center"/>
                </w:tcPr>
                <w:p w14:paraId="2E14472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ADB568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restart"/>
                  <w:tcBorders>
                    <w:tl2br w:val="nil"/>
                    <w:tr2bl w:val="nil"/>
                  </w:tcBorders>
                  <w:noWrap w:val="0"/>
                  <w:vAlign w:val="center"/>
                </w:tcPr>
                <w:p w14:paraId="1C964B9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大气环境</w:t>
                  </w:r>
                </w:p>
              </w:tc>
              <w:tc>
                <w:tcPr>
                  <w:tcW w:w="994" w:type="dxa"/>
                  <w:gridSpan w:val="3"/>
                  <w:vMerge w:val="restart"/>
                  <w:tcBorders>
                    <w:tl2br w:val="nil"/>
                    <w:tr2bl w:val="nil"/>
                  </w:tcBorders>
                  <w:noWrap w:val="0"/>
                  <w:vAlign w:val="center"/>
                </w:tcPr>
                <w:p w14:paraId="1F115B2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空间布局约束</w:t>
                  </w:r>
                </w:p>
              </w:tc>
              <w:tc>
                <w:tcPr>
                  <w:tcW w:w="8618" w:type="dxa"/>
                  <w:gridSpan w:val="2"/>
                  <w:tcBorders>
                    <w:tl2br w:val="nil"/>
                    <w:tr2bl w:val="nil"/>
                  </w:tcBorders>
                  <w:noWrap w:val="0"/>
                  <w:vAlign w:val="center"/>
                </w:tcPr>
                <w:p w14:paraId="55E4664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、全面推进沿海、迁安、滦州、迁西（遵化）</w:t>
                  </w: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大片区规划建设，加快推进钢铁企业整合搬迁项目建设，推进“公转铁”、“公转水”和物料集中输送管廊项目建设，形成“沿海临港、铁路沿线”产业新布局。</w:t>
                  </w:r>
                </w:p>
              </w:tc>
              <w:tc>
                <w:tcPr>
                  <w:tcW w:w="1844" w:type="dxa"/>
                  <w:gridSpan w:val="2"/>
                  <w:vMerge w:val="restart"/>
                  <w:tcBorders>
                    <w:tl2br w:val="nil"/>
                    <w:tr2bl w:val="nil"/>
                  </w:tcBorders>
                  <w:noWrap w:val="0"/>
                  <w:vAlign w:val="center"/>
                </w:tcPr>
                <w:p w14:paraId="600FF66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不涉及。</w:t>
                  </w:r>
                </w:p>
              </w:tc>
              <w:tc>
                <w:tcPr>
                  <w:tcW w:w="657" w:type="dxa"/>
                  <w:gridSpan w:val="2"/>
                  <w:vMerge w:val="restart"/>
                  <w:tcBorders>
                    <w:tl2br w:val="nil"/>
                    <w:tr2bl w:val="nil"/>
                  </w:tcBorders>
                  <w:noWrap w:val="0"/>
                  <w:vAlign w:val="center"/>
                </w:tcPr>
                <w:p w14:paraId="643C55A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AC8286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2F623AF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8093D6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85B345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、严禁违规新增钢铁、焦化、水泥、平板玻璃等产能，依法推动独立焦化、独立石灰、独立球团逐步退出。</w:t>
                  </w:r>
                </w:p>
              </w:tc>
              <w:tc>
                <w:tcPr>
                  <w:tcW w:w="1844" w:type="dxa"/>
                  <w:gridSpan w:val="2"/>
                  <w:vMerge w:val="continue"/>
                  <w:tcBorders>
                    <w:tl2br w:val="nil"/>
                    <w:tr2bl w:val="nil"/>
                  </w:tcBorders>
                  <w:noWrap w:val="0"/>
                  <w:vAlign w:val="center"/>
                </w:tcPr>
                <w:p w14:paraId="1C10E98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657" w:type="dxa"/>
                  <w:gridSpan w:val="2"/>
                  <w:vMerge w:val="continue"/>
                  <w:tcBorders>
                    <w:tl2br w:val="nil"/>
                    <w:tr2bl w:val="nil"/>
                  </w:tcBorders>
                  <w:noWrap w:val="0"/>
                  <w:vAlign w:val="center"/>
                </w:tcPr>
                <w:p w14:paraId="4EBBD64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r>
            <w:tr w14:paraId="233D6B8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081A2AA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40124E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4A3C85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、新（改、扩）建项目严格执行产能置换、煤炭替代和污染物倍量削减替代制度，当地有相关园区规划的，原则上要进入园区并配套建设高效环保治理设施，符合园区规划环评、建设项目环评要求。</w:t>
                  </w:r>
                </w:p>
              </w:tc>
              <w:tc>
                <w:tcPr>
                  <w:tcW w:w="1844" w:type="dxa"/>
                  <w:gridSpan w:val="2"/>
                  <w:tcBorders>
                    <w:tl2br w:val="nil"/>
                    <w:tr2bl w:val="nil"/>
                  </w:tcBorders>
                  <w:noWrap w:val="0"/>
                  <w:vAlign w:val="center"/>
                </w:tcPr>
                <w:p w14:paraId="7D92CF9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不涉及产能置换</w:t>
                  </w:r>
                  <w:r>
                    <w:rPr>
                      <w:rFonts w:hint="eastAsia"/>
                      <w:color w:val="000000" w:themeColor="text1"/>
                      <w:sz w:val="21"/>
                      <w:szCs w:val="21"/>
                      <w:highlight w:val="none"/>
                      <w14:textFill>
                        <w14:solidFill>
                          <w14:schemeClr w14:val="tx1"/>
                        </w14:solidFill>
                      </w14:textFill>
                    </w:rPr>
                    <w:t>。</w:t>
                  </w:r>
                </w:p>
              </w:tc>
              <w:tc>
                <w:tcPr>
                  <w:tcW w:w="657" w:type="dxa"/>
                  <w:gridSpan w:val="2"/>
                  <w:tcBorders>
                    <w:tl2br w:val="nil"/>
                    <w:tr2bl w:val="nil"/>
                  </w:tcBorders>
                  <w:noWrap w:val="0"/>
                  <w:vAlign w:val="center"/>
                </w:tcPr>
                <w:p w14:paraId="374A7E3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F8AFAE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14328D4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54DBB95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A6960A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、基本取缔燃煤热风炉和钢铁行业燃煤供热锅炉，基本淘汰热电联产供热管网覆盖范围内的燃煤加热、烘干炉（窑）。</w:t>
                  </w:r>
                </w:p>
              </w:tc>
              <w:tc>
                <w:tcPr>
                  <w:tcW w:w="1844" w:type="dxa"/>
                  <w:gridSpan w:val="2"/>
                  <w:tcBorders>
                    <w:tl2br w:val="nil"/>
                    <w:tr2bl w:val="nil"/>
                  </w:tcBorders>
                  <w:noWrap w:val="0"/>
                  <w:vAlign w:val="center"/>
                </w:tcPr>
                <w:p w14:paraId="011F3F4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本项目不新增工业炉窑。</w:t>
                  </w:r>
                </w:p>
              </w:tc>
              <w:tc>
                <w:tcPr>
                  <w:tcW w:w="657" w:type="dxa"/>
                  <w:gridSpan w:val="2"/>
                  <w:tcBorders>
                    <w:tl2br w:val="nil"/>
                    <w:tr2bl w:val="nil"/>
                  </w:tcBorders>
                  <w:noWrap w:val="0"/>
                  <w:vAlign w:val="center"/>
                </w:tcPr>
                <w:p w14:paraId="7E71DD9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4976D05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07" w:hRule="atLeast"/>
                <w:jc w:val="center"/>
              </w:trPr>
              <w:tc>
                <w:tcPr>
                  <w:tcW w:w="545" w:type="dxa"/>
                  <w:vMerge w:val="continue"/>
                  <w:tcBorders>
                    <w:tl2br w:val="nil"/>
                    <w:tr2bl w:val="nil"/>
                  </w:tcBorders>
                  <w:noWrap w:val="0"/>
                  <w:vAlign w:val="center"/>
                </w:tcPr>
                <w:p w14:paraId="7D7A6E6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0DCC64C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77B1BCF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、企业事业单位和其他生产经营者应当在规定期限内，淘汰列入河北省淘汰落后生产工艺、设备和产品名录的生产工艺、设备和产品。</w:t>
                  </w:r>
                </w:p>
              </w:tc>
              <w:tc>
                <w:tcPr>
                  <w:tcW w:w="1844" w:type="dxa"/>
                  <w:gridSpan w:val="2"/>
                  <w:tcBorders>
                    <w:tl2br w:val="nil"/>
                    <w:tr2bl w:val="nil"/>
                  </w:tcBorders>
                  <w:noWrap w:val="0"/>
                  <w:vAlign w:val="center"/>
                </w:tcPr>
                <w:p w14:paraId="00ABDC3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本项目生产工艺、设备和产品不涉及名录中的淘汰类。</w:t>
                  </w:r>
                </w:p>
              </w:tc>
              <w:tc>
                <w:tcPr>
                  <w:tcW w:w="657" w:type="dxa"/>
                  <w:gridSpan w:val="2"/>
                  <w:tcBorders>
                    <w:tl2br w:val="nil"/>
                    <w:tr2bl w:val="nil"/>
                  </w:tcBorders>
                  <w:noWrap w:val="0"/>
                  <w:vAlign w:val="center"/>
                </w:tcPr>
                <w:p w14:paraId="3F9EFC8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2687AC4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39" w:hRule="atLeast"/>
                <w:jc w:val="center"/>
              </w:trPr>
              <w:tc>
                <w:tcPr>
                  <w:tcW w:w="545" w:type="dxa"/>
                  <w:vMerge w:val="continue"/>
                  <w:tcBorders>
                    <w:tl2br w:val="nil"/>
                    <w:tr2bl w:val="nil"/>
                  </w:tcBorders>
                  <w:noWrap w:val="0"/>
                  <w:vAlign w:val="center"/>
                </w:tcPr>
                <w:p w14:paraId="02F6ED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D9CEF5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391C82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t>、全面取缔</w:t>
                  </w:r>
                  <w:r>
                    <w:rPr>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t>蒸吨及以下燃煤锅炉，发现一台，拆除一台，确保实现动态“清零”；严禁新增</w:t>
                  </w:r>
                  <w:r>
                    <w:rPr>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t>蒸吨及以下燃煤锅炉。路南区、路北区、高新区、开平区、古冶区、丰润区、丰南区、曹妃甸区全面取缔燃生物质燃料、燃油（醇基燃料）锅炉，建成区范围内改为电锅炉，其他区域改为燃气锅炉或电锅炉。其他县（市）、开发区（管理区）全面取缔燃用生物质燃料非专用锅炉，改为燃气锅炉或电锅炉。</w:t>
                  </w:r>
                </w:p>
              </w:tc>
              <w:tc>
                <w:tcPr>
                  <w:tcW w:w="1844" w:type="dxa"/>
                  <w:gridSpan w:val="2"/>
                  <w:tcBorders>
                    <w:tl2br w:val="nil"/>
                    <w:tr2bl w:val="nil"/>
                  </w:tcBorders>
                  <w:noWrap w:val="0"/>
                  <w:vAlign w:val="center"/>
                </w:tcPr>
                <w:p w14:paraId="113AEFC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本项目不新增锅炉。</w:t>
                  </w:r>
                </w:p>
              </w:tc>
              <w:tc>
                <w:tcPr>
                  <w:tcW w:w="657" w:type="dxa"/>
                  <w:gridSpan w:val="2"/>
                  <w:tcBorders>
                    <w:tl2br w:val="nil"/>
                    <w:tr2bl w:val="nil"/>
                  </w:tcBorders>
                  <w:noWrap w:val="0"/>
                  <w:vAlign w:val="center"/>
                </w:tcPr>
                <w:p w14:paraId="51B2C1C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15841DD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4E5288F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restart"/>
                  <w:tcBorders>
                    <w:tl2br w:val="nil"/>
                    <w:tr2bl w:val="nil"/>
                  </w:tcBorders>
                  <w:noWrap w:val="0"/>
                  <w:vAlign w:val="center"/>
                </w:tcPr>
                <w:p w14:paraId="58017AF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污染物排放管控</w:t>
                  </w:r>
                </w:p>
              </w:tc>
              <w:tc>
                <w:tcPr>
                  <w:tcW w:w="8618" w:type="dxa"/>
                  <w:gridSpan w:val="2"/>
                  <w:tcBorders>
                    <w:tl2br w:val="nil"/>
                    <w:tr2bl w:val="nil"/>
                  </w:tcBorders>
                  <w:noWrap w:val="0"/>
                  <w:vAlign w:val="center"/>
                </w:tcPr>
                <w:p w14:paraId="6CF8054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、细颗粒物（</w:t>
                  </w:r>
                  <w:r>
                    <w:rPr>
                      <w:color w:val="000000" w:themeColor="text1"/>
                      <w:sz w:val="21"/>
                      <w:szCs w:val="21"/>
                      <w:highlight w:val="none"/>
                      <w14:textFill>
                        <w14:solidFill>
                          <w14:schemeClr w14:val="tx1"/>
                        </w14:solidFill>
                      </w14:textFill>
                    </w:rPr>
                    <w:t>PM</w:t>
                  </w:r>
                  <w:r>
                    <w:rPr>
                      <w:color w:val="000000" w:themeColor="text1"/>
                      <w:sz w:val="21"/>
                      <w:szCs w:val="21"/>
                      <w:highlight w:val="none"/>
                      <w:vertAlign w:val="subscript"/>
                      <w14:textFill>
                        <w14:solidFill>
                          <w14:schemeClr w14:val="tx1"/>
                        </w14:solidFill>
                      </w14:textFill>
                    </w:rPr>
                    <w:t>2.5</w:t>
                  </w:r>
                  <w:r>
                    <w:rPr>
                      <w:rFonts w:hint="eastAsia"/>
                      <w:color w:val="000000" w:themeColor="text1"/>
                      <w:sz w:val="21"/>
                      <w:szCs w:val="21"/>
                      <w:highlight w:val="none"/>
                      <w14:textFill>
                        <w14:solidFill>
                          <w14:schemeClr w14:val="tx1"/>
                        </w14:solidFill>
                      </w14:textFill>
                    </w:rPr>
                    <w:t>）年平均浓度不达标的城市，二氧化硫、氮氧化物、烟粉尘、挥发性有机物四项污染物均需进行</w:t>
                  </w: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倍削减替代（燃煤发电机组大气污染物排放浓度基本达到燃气轮机组排放限值的除外）。</w:t>
                  </w:r>
                </w:p>
              </w:tc>
              <w:tc>
                <w:tcPr>
                  <w:tcW w:w="1844" w:type="dxa"/>
                  <w:gridSpan w:val="2"/>
                  <w:tcBorders>
                    <w:tl2br w:val="nil"/>
                    <w:tr2bl w:val="nil"/>
                  </w:tcBorders>
                  <w:noWrap w:val="0"/>
                  <w:vAlign w:val="center"/>
                </w:tcPr>
                <w:p w14:paraId="42EA091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根据唐山市生态环境局《关于石化、煤化工、燃煤发电(含热电)、钢铁、有色金属冶炼、投资造纸行业以外其他行业是否需要削减替代意见的复函》，本项目无需区域削减方案。</w:t>
                  </w:r>
                </w:p>
              </w:tc>
              <w:tc>
                <w:tcPr>
                  <w:tcW w:w="657" w:type="dxa"/>
                  <w:gridSpan w:val="2"/>
                  <w:tcBorders>
                    <w:tl2br w:val="nil"/>
                    <w:tr2bl w:val="nil"/>
                  </w:tcBorders>
                  <w:noWrap w:val="0"/>
                  <w:vAlign w:val="center"/>
                </w:tcPr>
                <w:p w14:paraId="581DDB8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27F89E7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29AAF9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63A9C7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D5AE48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t>蒸吨以上燃煤锅炉、燃油（醇基燃料）锅炉、燃用生物质专用锅炉各污染物排放浓度达到《河北省锅炉大气污染物排放标准（</w:t>
                  </w:r>
                  <w:r>
                    <w:rPr>
                      <w:color w:val="000000" w:themeColor="text1"/>
                      <w:sz w:val="21"/>
                      <w:szCs w:val="21"/>
                      <w:highlight w:val="none"/>
                      <w14:textFill>
                        <w14:solidFill>
                          <w14:schemeClr w14:val="tx1"/>
                        </w14:solidFill>
                      </w14:textFill>
                    </w:rPr>
                    <w:t>DB13/5161</w:t>
                  </w:r>
                  <w:r>
                    <w:rPr>
                      <w:rFonts w:hint="eastAsia"/>
                      <w:color w:val="000000" w:themeColor="text1"/>
                      <w:sz w:val="21"/>
                      <w:szCs w:val="21"/>
                      <w:highlight w:val="none"/>
                      <w14:textFill>
                        <w14:solidFill>
                          <w14:schemeClr w14:val="tx1"/>
                        </w14:solidFill>
                      </w14:textFill>
                    </w:rPr>
                    <w:t>）》要求；燃煤气、天然气锅炉各污染物排放浓度达到《唐山市锅炉治理专项实施方案》（唐气领办〔</w:t>
                  </w:r>
                  <w:r>
                    <w:rPr>
                      <w:color w:val="000000" w:themeColor="text1"/>
                      <w:sz w:val="21"/>
                      <w:szCs w:val="21"/>
                      <w:highlight w:val="none"/>
                      <w14:textFill>
                        <w14:solidFill>
                          <w14:schemeClr w14:val="tx1"/>
                        </w14:solidFill>
                      </w14:textFill>
                    </w:rPr>
                    <w:t>2019</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10</w:t>
                  </w:r>
                  <w:r>
                    <w:rPr>
                      <w:rFonts w:hint="eastAsia"/>
                      <w:color w:val="000000" w:themeColor="text1"/>
                      <w:sz w:val="21"/>
                      <w:szCs w:val="21"/>
                      <w:highlight w:val="none"/>
                      <w14:textFill>
                        <w14:solidFill>
                          <w14:schemeClr w14:val="tx1"/>
                        </w14:solidFill>
                      </w14:textFill>
                    </w:rPr>
                    <w:t>号）要求。</w:t>
                  </w:r>
                </w:p>
              </w:tc>
              <w:tc>
                <w:tcPr>
                  <w:tcW w:w="1844" w:type="dxa"/>
                  <w:gridSpan w:val="2"/>
                  <w:tcBorders>
                    <w:tl2br w:val="nil"/>
                    <w:tr2bl w:val="nil"/>
                  </w:tcBorders>
                  <w:noWrap w:val="0"/>
                  <w:vAlign w:val="center"/>
                </w:tcPr>
                <w:p w14:paraId="694FAA5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本项目不新建锅炉。</w:t>
                  </w:r>
                </w:p>
              </w:tc>
              <w:tc>
                <w:tcPr>
                  <w:tcW w:w="657" w:type="dxa"/>
                  <w:gridSpan w:val="2"/>
                  <w:tcBorders>
                    <w:tl2br w:val="nil"/>
                    <w:tr2bl w:val="nil"/>
                  </w:tcBorders>
                  <w:noWrap w:val="0"/>
                  <w:vAlign w:val="center"/>
                </w:tcPr>
                <w:p w14:paraId="7DB87FB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4AFC2EA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14DA36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954331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70600B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加强农村燃煤污染治理：（一）推广使用民用清洁燃烧炉具，加快淘汰低效直燃式高污染炉具，严禁生产、销售、使用不符合环保要求的炉具；（二）加强洁净型煤、优质煤炭的推广使用，实现农村地区洁净型煤配送网点建设全覆盖，严禁使用高硫分和劣质煤炭；（三）推广太阳能、电能、燃气、沼气、地热等使用，加强农作物秸秆能源化，推进农村清洁能源的替代和开发利用。</w:t>
                  </w:r>
                </w:p>
              </w:tc>
              <w:tc>
                <w:tcPr>
                  <w:tcW w:w="1844" w:type="dxa"/>
                  <w:gridSpan w:val="2"/>
                  <w:tcBorders>
                    <w:tl2br w:val="nil"/>
                    <w:tr2bl w:val="nil"/>
                  </w:tcBorders>
                  <w:noWrap w:val="0"/>
                  <w:vAlign w:val="center"/>
                </w:tcPr>
                <w:p w14:paraId="1A5EB3D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024803A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279B109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110" w:hRule="atLeast"/>
                <w:jc w:val="center"/>
              </w:trPr>
              <w:tc>
                <w:tcPr>
                  <w:tcW w:w="545" w:type="dxa"/>
                  <w:vMerge w:val="continue"/>
                  <w:tcBorders>
                    <w:tl2br w:val="nil"/>
                    <w:tr2bl w:val="nil"/>
                  </w:tcBorders>
                  <w:noWrap w:val="0"/>
                  <w:vAlign w:val="center"/>
                </w:tcPr>
                <w:p w14:paraId="61C4F7E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ED8941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32CF95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对保留的工业炉窑开展环保提标改造，配套建设高效脱硫脱硝除尘设施，确保稳定达标排放。加快推进钢铁行业超低排放改造，积极推进平板玻璃行业和水泥行业污染治理升级改造。鼓励具备条件的陶瓷企业陶瓷窑、喷雾干燥塔开展超低排放改造。平板玻璃、建筑陶瓷企业逐步取消脱硫脱硝烟气旁路或设置备用脱硫脱硝等设施，鼓励水泥企业实施全流程污染深度治理。推进具备条件的焦化企业实施干熄焦改造。在保证生产安全前提下，钢铁烧结（球团）、高炉、转炉、轧钢工序实施车间封闭生产。对标行业先进，持续推动污染物排放总量降低。</w:t>
                  </w:r>
                </w:p>
              </w:tc>
              <w:tc>
                <w:tcPr>
                  <w:tcW w:w="1844" w:type="dxa"/>
                  <w:gridSpan w:val="2"/>
                  <w:tcBorders>
                    <w:tl2br w:val="nil"/>
                    <w:tr2bl w:val="nil"/>
                  </w:tcBorders>
                  <w:noWrap w:val="0"/>
                  <w:vAlign w:val="center"/>
                </w:tcPr>
                <w:p w14:paraId="3180C1A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119FE43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A35056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F638EF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DE23E6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164805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推广新能源机动车，建设相应的充电站（桩）、加气站等基础设施，新建居民住宅小区停车位应当建设相应的充电设施；鼓励和支持公共交通、出租车、环境卫生、邮政、快递等行业用车和公务用车率先使用新能源机动车。加强城市步行和自行车交通系统建设，引导公众绿色、低碳出行。船舶靠港后应当优先使用岸电。新建码头应当规划、设计和建设岸基供电设施；已建成的码头应当逐步实施岸基供电设施改造。</w:t>
                  </w:r>
                </w:p>
              </w:tc>
              <w:tc>
                <w:tcPr>
                  <w:tcW w:w="1844" w:type="dxa"/>
                  <w:gridSpan w:val="2"/>
                  <w:tcBorders>
                    <w:tl2br w:val="nil"/>
                    <w:tr2bl w:val="nil"/>
                  </w:tcBorders>
                  <w:noWrap w:val="0"/>
                  <w:vAlign w:val="center"/>
                </w:tcPr>
                <w:p w14:paraId="628EED6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BF93F8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4B70841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76BC419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2B072BE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8A82E1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t>、加快油品质量升级。停止销售低于国Ⅵ标准的汽柴油，实现车用柴油、普通柴油、部分船舶用油“三油并轨”。</w:t>
                  </w:r>
                </w:p>
              </w:tc>
              <w:tc>
                <w:tcPr>
                  <w:tcW w:w="1844" w:type="dxa"/>
                  <w:gridSpan w:val="2"/>
                  <w:tcBorders>
                    <w:tl2br w:val="nil"/>
                    <w:tr2bl w:val="nil"/>
                  </w:tcBorders>
                  <w:noWrap w:val="0"/>
                  <w:vAlign w:val="center"/>
                </w:tcPr>
                <w:p w14:paraId="1CC8DEC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79A37F4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89563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400" w:hRule="atLeast"/>
                <w:jc w:val="center"/>
              </w:trPr>
              <w:tc>
                <w:tcPr>
                  <w:tcW w:w="545" w:type="dxa"/>
                  <w:vMerge w:val="continue"/>
                  <w:tcBorders>
                    <w:tl2br w:val="nil"/>
                    <w:tr2bl w:val="nil"/>
                  </w:tcBorders>
                  <w:noWrap w:val="0"/>
                  <w:vAlign w:val="center"/>
                </w:tcPr>
                <w:p w14:paraId="068DA0A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DF48DE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390E86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7</w:t>
                  </w:r>
                  <w:r>
                    <w:rPr>
                      <w:rFonts w:hint="eastAsia"/>
                      <w:color w:val="000000" w:themeColor="text1"/>
                      <w:sz w:val="21"/>
                      <w:szCs w:val="21"/>
                      <w:highlight w:val="none"/>
                      <w14:textFill>
                        <w14:solidFill>
                          <w14:schemeClr w14:val="tx1"/>
                        </w14:solidFill>
                      </w14:textFill>
                    </w:rPr>
                    <w:t>、推进矿山综合整治。按照“能关则关、应合尽合、能转则转”的原则，对违反法律法规、列入关闭计划、整改不达标、乱采滥挖的矿山，依法依规坚决关闭取缔。</w:t>
                  </w:r>
                </w:p>
              </w:tc>
              <w:tc>
                <w:tcPr>
                  <w:tcW w:w="1844" w:type="dxa"/>
                  <w:gridSpan w:val="2"/>
                  <w:tcBorders>
                    <w:tl2br w:val="nil"/>
                    <w:tr2bl w:val="nil"/>
                  </w:tcBorders>
                  <w:noWrap w:val="0"/>
                  <w:vAlign w:val="center"/>
                </w:tcPr>
                <w:p w14:paraId="22EE031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0D034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1B8875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56" w:hRule="atLeast"/>
                <w:jc w:val="center"/>
              </w:trPr>
              <w:tc>
                <w:tcPr>
                  <w:tcW w:w="545" w:type="dxa"/>
                  <w:vMerge w:val="continue"/>
                  <w:tcBorders>
                    <w:tl2br w:val="nil"/>
                    <w:tr2bl w:val="nil"/>
                  </w:tcBorders>
                  <w:noWrap w:val="0"/>
                  <w:vAlign w:val="center"/>
                </w:tcPr>
                <w:p w14:paraId="3598029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5FE1587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76AF134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8</w:t>
                  </w:r>
                  <w:r>
                    <w:rPr>
                      <w:rFonts w:hint="eastAsia"/>
                      <w:color w:val="000000" w:themeColor="text1"/>
                      <w:sz w:val="21"/>
                      <w:szCs w:val="21"/>
                      <w:highlight w:val="none"/>
                      <w14:textFill>
                        <w14:solidFill>
                          <w14:schemeClr w14:val="tx1"/>
                        </w14:solidFill>
                      </w14:textFill>
                    </w:rPr>
                    <w:t>、强化建筑施工扬尘污染防治，严格落实《河北省扬尘污染防治办法》，对城市建成区、县城建筑施工工地实施全面监管。强化道路扬尘综合治理，按照《河北省城市精细化管理标准》有关要求，全面巩固洁净城市创建成果。</w:t>
                  </w:r>
                </w:p>
              </w:tc>
              <w:tc>
                <w:tcPr>
                  <w:tcW w:w="1844" w:type="dxa"/>
                  <w:gridSpan w:val="2"/>
                  <w:tcBorders>
                    <w:tl2br w:val="nil"/>
                    <w:tr2bl w:val="nil"/>
                  </w:tcBorders>
                  <w:noWrap w:val="0"/>
                  <w:vAlign w:val="center"/>
                </w:tcPr>
                <w:p w14:paraId="7A718D3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施工期采用有效的防治措施</w:t>
                  </w:r>
                  <w:r>
                    <w:rPr>
                      <w:rFonts w:hint="eastAsia"/>
                      <w:color w:val="000000" w:themeColor="text1"/>
                      <w:sz w:val="21"/>
                      <w:szCs w:val="21"/>
                      <w:highlight w:val="none"/>
                      <w14:textFill>
                        <w14:solidFill>
                          <w14:schemeClr w14:val="tx1"/>
                        </w14:solidFill>
                      </w14:textFill>
                    </w:rPr>
                    <w:t>。</w:t>
                  </w:r>
                </w:p>
              </w:tc>
              <w:tc>
                <w:tcPr>
                  <w:tcW w:w="657" w:type="dxa"/>
                  <w:gridSpan w:val="2"/>
                  <w:tcBorders>
                    <w:tl2br w:val="nil"/>
                    <w:tr2bl w:val="nil"/>
                  </w:tcBorders>
                  <w:noWrap w:val="0"/>
                  <w:vAlign w:val="center"/>
                </w:tcPr>
                <w:p w14:paraId="02D8FC1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345823B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211AD11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46E5FF1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565F7F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9</w:t>
                  </w:r>
                  <w:r>
                    <w:rPr>
                      <w:rFonts w:hint="eastAsia"/>
                      <w:color w:val="000000" w:themeColor="text1"/>
                      <w:sz w:val="21"/>
                      <w:szCs w:val="21"/>
                      <w:highlight w:val="none"/>
                      <w14:textFill>
                        <w14:solidFill>
                          <w14:schemeClr w14:val="tx1"/>
                        </w14:solidFill>
                      </w14:textFill>
                    </w:rPr>
                    <w:t>、深化重点行业深度治理。巩固钢铁、焦化、煤电、水泥、平板玻璃等重点行业超低排放改造成效，实施工艺全流程深度治理，推进全过程无组织排放管控。</w:t>
                  </w:r>
                </w:p>
              </w:tc>
              <w:tc>
                <w:tcPr>
                  <w:tcW w:w="1844" w:type="dxa"/>
                  <w:gridSpan w:val="2"/>
                  <w:tcBorders>
                    <w:tl2br w:val="nil"/>
                    <w:tr2bl w:val="nil"/>
                  </w:tcBorders>
                  <w:noWrap w:val="0"/>
                  <w:vAlign w:val="center"/>
                </w:tcPr>
                <w:p w14:paraId="53DFA45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本项目不属于重点行业。</w:t>
                  </w:r>
                </w:p>
              </w:tc>
              <w:tc>
                <w:tcPr>
                  <w:tcW w:w="657" w:type="dxa"/>
                  <w:gridSpan w:val="2"/>
                  <w:tcBorders>
                    <w:tl2br w:val="nil"/>
                    <w:tr2bl w:val="nil"/>
                  </w:tcBorders>
                  <w:noWrap w:val="0"/>
                  <w:vAlign w:val="center"/>
                </w:tcPr>
                <w:p w14:paraId="143699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41D9FE9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69F24F7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03F0D6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E9BE59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10</w:t>
                  </w:r>
                  <w:r>
                    <w:rPr>
                      <w:rFonts w:hint="eastAsia"/>
                      <w:color w:val="000000" w:themeColor="text1"/>
                      <w:sz w:val="21"/>
                      <w:szCs w:val="21"/>
                      <w:highlight w:val="none"/>
                      <w14:textFill>
                        <w14:solidFill>
                          <w14:schemeClr w14:val="tx1"/>
                        </w14:solidFill>
                      </w14:textFill>
                    </w:rPr>
                    <w:t>、加强重污染天气应急联动。加强污染气象条件和空气污染监测、预报预警和评估能力建设，建成全市区域传输监控预警系统，提高重污染天气预报预警的准确度。加大秋冬季工业企业生产调控力度，按照基本抵消新增污染物排放量的原则，对钢铁、建材、焦化、铸造、化工等高排放行业实行强化管控。</w:t>
                  </w:r>
                </w:p>
              </w:tc>
              <w:tc>
                <w:tcPr>
                  <w:tcW w:w="1844" w:type="dxa"/>
                  <w:gridSpan w:val="2"/>
                  <w:tcBorders>
                    <w:tl2br w:val="nil"/>
                    <w:tr2bl w:val="nil"/>
                  </w:tcBorders>
                  <w:noWrap w:val="0"/>
                  <w:vAlign w:val="center"/>
                </w:tcPr>
                <w:p w14:paraId="17098A1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57BA9E9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1FA7F1A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982440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43DDC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0FFFAB6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11</w:t>
                  </w:r>
                  <w:r>
                    <w:rPr>
                      <w:rFonts w:hint="eastAsia"/>
                      <w:color w:val="000000" w:themeColor="text1"/>
                      <w:sz w:val="21"/>
                      <w:szCs w:val="21"/>
                      <w:highlight w:val="none"/>
                      <w14:textFill>
                        <w14:solidFill>
                          <w14:schemeClr w14:val="tx1"/>
                        </w14:solidFill>
                      </w14:textFill>
                    </w:rPr>
                    <w:t>、强化柴油货车污染防治。加快柴油货车治理，推动货运经营整合升级、提质增效，加快规模化发展、连锁化经营。实施清洁柴油车、清洁运输和清洁油品行动，降低污染排放总量。</w:t>
                  </w:r>
                </w:p>
              </w:tc>
              <w:tc>
                <w:tcPr>
                  <w:tcW w:w="1844" w:type="dxa"/>
                  <w:gridSpan w:val="2"/>
                  <w:tcBorders>
                    <w:tl2br w:val="nil"/>
                    <w:tr2bl w:val="nil"/>
                  </w:tcBorders>
                  <w:noWrap w:val="0"/>
                  <w:vAlign w:val="center"/>
                </w:tcPr>
                <w:p w14:paraId="7D0EBF5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4FEE79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410402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CBEEE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E60C69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7CA2FC1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12</w:t>
                  </w:r>
                  <w:r>
                    <w:rPr>
                      <w:rFonts w:hint="eastAsia"/>
                      <w:color w:val="000000" w:themeColor="text1"/>
                      <w:sz w:val="21"/>
                      <w:szCs w:val="21"/>
                      <w:highlight w:val="none"/>
                      <w14:textFill>
                        <w14:solidFill>
                          <w14:schemeClr w14:val="tx1"/>
                        </w14:solidFill>
                      </w14:textFill>
                    </w:rPr>
                    <w:t>、禁止露天焚烧秸秆、落叶、枯草等产生烟尘污染的物质，以及电子废弃物、油毡、橡胶、塑料、皮革、沥青、垃圾等产生有毒有害、恶臭或者强烈异味气体的物质。</w:t>
                  </w:r>
                </w:p>
              </w:tc>
              <w:tc>
                <w:tcPr>
                  <w:tcW w:w="1844" w:type="dxa"/>
                  <w:gridSpan w:val="2"/>
                  <w:tcBorders>
                    <w:tl2br w:val="nil"/>
                    <w:tr2bl w:val="nil"/>
                  </w:tcBorders>
                  <w:noWrap w:val="0"/>
                  <w:vAlign w:val="center"/>
                </w:tcPr>
                <w:p w14:paraId="4AB87FF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1EF48F2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0471F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1CA7ED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77FB80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7A9B550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13</w:t>
                  </w:r>
                  <w:r>
                    <w:rPr>
                      <w:rFonts w:hint="eastAsia"/>
                      <w:color w:val="000000" w:themeColor="text1"/>
                      <w:sz w:val="21"/>
                      <w:szCs w:val="21"/>
                      <w:highlight w:val="none"/>
                      <w14:textFill>
                        <w14:solidFill>
                          <w14:schemeClr w14:val="tx1"/>
                        </w14:solidFill>
                      </w14:textFill>
                    </w:rPr>
                    <w:t>、以化工、工业涂装、包装印刷、油品储运销等行业领域为重点，安全高效推进挥发性有机物综合治理，无组织排放和末端深度治理等提升改造工程。</w:t>
                  </w:r>
                </w:p>
              </w:tc>
              <w:tc>
                <w:tcPr>
                  <w:tcW w:w="1844" w:type="dxa"/>
                  <w:gridSpan w:val="2"/>
                  <w:tcBorders>
                    <w:tl2br w:val="nil"/>
                    <w:tr2bl w:val="nil"/>
                  </w:tcBorders>
                  <w:noWrap w:val="0"/>
                  <w:vAlign w:val="center"/>
                </w:tcPr>
                <w:p w14:paraId="3C6F998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DE8925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02AEAB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1AAC5B9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C56C3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75FE0C5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14</w:t>
                  </w:r>
                  <w:r>
                    <w:rPr>
                      <w:rFonts w:hint="eastAsia"/>
                      <w:color w:val="000000" w:themeColor="text1"/>
                      <w:sz w:val="21"/>
                      <w:szCs w:val="21"/>
                      <w:highlight w:val="none"/>
                      <w14:textFill>
                        <w14:solidFill>
                          <w14:schemeClr w14:val="tx1"/>
                        </w14:solidFill>
                      </w14:textFill>
                    </w:rPr>
                    <w:t>、推动大气氨排放控制。加强烟气脱硝和氨法脱硫氨逃逸控制。推进种植业、养殖业大气氨减排，加强源头防控，优化肥料、饲料结构。</w:t>
                  </w:r>
                </w:p>
              </w:tc>
              <w:tc>
                <w:tcPr>
                  <w:tcW w:w="1844" w:type="dxa"/>
                  <w:gridSpan w:val="2"/>
                  <w:tcBorders>
                    <w:tl2br w:val="nil"/>
                    <w:tr2bl w:val="nil"/>
                  </w:tcBorders>
                  <w:noWrap w:val="0"/>
                  <w:vAlign w:val="center"/>
                </w:tcPr>
                <w:p w14:paraId="302D80B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50FE5D8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09ADFF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2843E3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8256CE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10CC41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15</w:t>
                  </w:r>
                  <w:r>
                    <w:rPr>
                      <w:rFonts w:hint="eastAsia"/>
                      <w:color w:val="000000" w:themeColor="text1"/>
                      <w:sz w:val="21"/>
                      <w:szCs w:val="21"/>
                      <w:highlight w:val="none"/>
                      <w14:textFill>
                        <w14:solidFill>
                          <w14:schemeClr w14:val="tx1"/>
                        </w14:solidFill>
                      </w14:textFill>
                    </w:rPr>
                    <w:t>、严格控制二氧化碳排放强度。加强甲烷等非二氧化碳温室气体管控。</w:t>
                  </w:r>
                </w:p>
              </w:tc>
              <w:tc>
                <w:tcPr>
                  <w:tcW w:w="1844" w:type="dxa"/>
                  <w:gridSpan w:val="2"/>
                  <w:tcBorders>
                    <w:tl2br w:val="nil"/>
                    <w:tr2bl w:val="nil"/>
                  </w:tcBorders>
                  <w:noWrap w:val="0"/>
                  <w:vAlign w:val="center"/>
                </w:tcPr>
                <w:p w14:paraId="0B43C9E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366806E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D43125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725072C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tcBorders>
                    <w:tl2br w:val="nil"/>
                    <w:tr2bl w:val="nil"/>
                  </w:tcBorders>
                  <w:noWrap w:val="0"/>
                  <w:vAlign w:val="center"/>
                </w:tcPr>
                <w:p w14:paraId="783A4A3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环境风险防控</w:t>
                  </w:r>
                </w:p>
              </w:tc>
              <w:tc>
                <w:tcPr>
                  <w:tcW w:w="8618" w:type="dxa"/>
                  <w:gridSpan w:val="2"/>
                  <w:tcBorders>
                    <w:tl2br w:val="nil"/>
                    <w:tr2bl w:val="nil"/>
                  </w:tcBorders>
                  <w:noWrap w:val="0"/>
                  <w:vAlign w:val="center"/>
                </w:tcPr>
                <w:p w14:paraId="2FC72AD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完善市、县、乡、村网格化环境监管体系，建立信息全面、要素齐全、处置高效、决策科学的市级大气环境监管大数据平台，实现对各级网格和各类污染源的集中在线监测、全程监控和监管指挥。</w:t>
                  </w:r>
                </w:p>
              </w:tc>
              <w:tc>
                <w:tcPr>
                  <w:tcW w:w="1844" w:type="dxa"/>
                  <w:gridSpan w:val="2"/>
                  <w:tcBorders>
                    <w:tl2br w:val="nil"/>
                    <w:tr2bl w:val="nil"/>
                  </w:tcBorders>
                  <w:noWrap w:val="0"/>
                  <w:vAlign w:val="center"/>
                </w:tcPr>
                <w:p w14:paraId="69F051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C2D79C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EE46CD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61A41B8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restart"/>
                  <w:tcBorders>
                    <w:tl2br w:val="nil"/>
                    <w:tr2bl w:val="nil"/>
                  </w:tcBorders>
                  <w:noWrap w:val="0"/>
                  <w:vAlign w:val="center"/>
                </w:tcPr>
                <w:p w14:paraId="6C3B764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资源开发利用</w:t>
                  </w:r>
                </w:p>
              </w:tc>
              <w:tc>
                <w:tcPr>
                  <w:tcW w:w="8618" w:type="dxa"/>
                  <w:gridSpan w:val="2"/>
                  <w:tcBorders>
                    <w:tl2br w:val="nil"/>
                    <w:tr2bl w:val="nil"/>
                  </w:tcBorders>
                  <w:noWrap w:val="0"/>
                  <w:vAlign w:val="center"/>
                </w:tcPr>
                <w:p w14:paraId="65AC59D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、国家大气污染防治重点区域内新建、改建、扩建用煤项目的，应当实行煤炭的等量或者减量替代。</w:t>
                  </w:r>
                </w:p>
              </w:tc>
              <w:tc>
                <w:tcPr>
                  <w:tcW w:w="1844" w:type="dxa"/>
                  <w:gridSpan w:val="2"/>
                  <w:tcBorders>
                    <w:tl2br w:val="nil"/>
                    <w:tr2bl w:val="nil"/>
                  </w:tcBorders>
                  <w:noWrap w:val="0"/>
                  <w:vAlign w:val="center"/>
                </w:tcPr>
                <w:p w14:paraId="55EB969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6AA7DF1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C3A837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89" w:hRule="atLeast"/>
                <w:jc w:val="center"/>
              </w:trPr>
              <w:tc>
                <w:tcPr>
                  <w:tcW w:w="545" w:type="dxa"/>
                  <w:vMerge w:val="continue"/>
                  <w:tcBorders>
                    <w:tl2br w:val="nil"/>
                    <w:tr2bl w:val="nil"/>
                  </w:tcBorders>
                  <w:noWrap w:val="0"/>
                  <w:vAlign w:val="center"/>
                </w:tcPr>
                <w:p w14:paraId="762D55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61F427A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59F314F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、实施能源消耗总量和强度双控行动。健全节能标准体系，大力开发、推广节能高效技术和产品，实现重点用能行业、设备节能标准全覆盖。</w:t>
                  </w:r>
                </w:p>
              </w:tc>
              <w:tc>
                <w:tcPr>
                  <w:tcW w:w="1844" w:type="dxa"/>
                  <w:gridSpan w:val="2"/>
                  <w:tcBorders>
                    <w:tl2br w:val="nil"/>
                    <w:tr2bl w:val="nil"/>
                  </w:tcBorders>
                  <w:noWrap w:val="0"/>
                  <w:vAlign w:val="center"/>
                </w:tcPr>
                <w:p w14:paraId="203097B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本项目能源消耗量较少。</w:t>
                  </w:r>
                </w:p>
              </w:tc>
              <w:tc>
                <w:tcPr>
                  <w:tcW w:w="657" w:type="dxa"/>
                  <w:gridSpan w:val="2"/>
                  <w:tcBorders>
                    <w:tl2br w:val="nil"/>
                    <w:tr2bl w:val="nil"/>
                  </w:tcBorders>
                  <w:noWrap w:val="0"/>
                  <w:vAlign w:val="center"/>
                </w:tcPr>
                <w:p w14:paraId="37BFF0F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0CCDEF4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1C9DD8A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0B5153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C770E2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新（改、扩）建项目能耗达到《河北省主要产品能耗限额和设备能效限定值》准入值要求，鼓励达到先进值。对能效不达标的企业限期进行节能提升改造，现有企业单位产品能耗达到《河北省主要产品能耗限额和设备能效限定值》限定值要求，鼓励已达标企业通过节能改造达到先进值。国家或省对重点行业单位产品能源消耗限额进行修订的，行业限定值、准入值、先进值按新标准执行。</w:t>
                  </w:r>
                </w:p>
              </w:tc>
              <w:tc>
                <w:tcPr>
                  <w:tcW w:w="1844" w:type="dxa"/>
                  <w:gridSpan w:val="2"/>
                  <w:tcBorders>
                    <w:tl2br w:val="nil"/>
                    <w:tr2bl w:val="nil"/>
                  </w:tcBorders>
                  <w:noWrap w:val="0"/>
                  <w:vAlign w:val="center"/>
                </w:tcPr>
                <w:p w14:paraId="232360B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本项目不属于重点能耗行业。</w:t>
                  </w:r>
                </w:p>
              </w:tc>
              <w:tc>
                <w:tcPr>
                  <w:tcW w:w="657" w:type="dxa"/>
                  <w:gridSpan w:val="2"/>
                  <w:tcBorders>
                    <w:tl2br w:val="nil"/>
                    <w:tr2bl w:val="nil"/>
                  </w:tcBorders>
                  <w:noWrap w:val="0"/>
                  <w:vAlign w:val="center"/>
                </w:tcPr>
                <w:p w14:paraId="0F742E6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4426A2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88" w:hRule="atLeast"/>
                <w:jc w:val="center"/>
              </w:trPr>
              <w:tc>
                <w:tcPr>
                  <w:tcW w:w="545" w:type="dxa"/>
                  <w:vMerge w:val="restart"/>
                  <w:tcBorders>
                    <w:tl2br w:val="nil"/>
                    <w:tr2bl w:val="nil"/>
                  </w:tcBorders>
                  <w:noWrap w:val="0"/>
                  <w:vAlign w:val="center"/>
                </w:tcPr>
                <w:p w14:paraId="3B49B1D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地表水环境</w:t>
                  </w:r>
                </w:p>
              </w:tc>
              <w:tc>
                <w:tcPr>
                  <w:tcW w:w="994" w:type="dxa"/>
                  <w:gridSpan w:val="3"/>
                  <w:vMerge w:val="restart"/>
                  <w:tcBorders>
                    <w:tl2br w:val="nil"/>
                    <w:tr2bl w:val="nil"/>
                  </w:tcBorders>
                  <w:noWrap w:val="0"/>
                  <w:vAlign w:val="center"/>
                </w:tcPr>
                <w:p w14:paraId="47ADB18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空间布局约束</w:t>
                  </w:r>
                </w:p>
              </w:tc>
              <w:tc>
                <w:tcPr>
                  <w:tcW w:w="8618" w:type="dxa"/>
                  <w:gridSpan w:val="2"/>
                  <w:tcBorders>
                    <w:tl2br w:val="nil"/>
                    <w:tr2bl w:val="nil"/>
                  </w:tcBorders>
                  <w:noWrap w:val="0"/>
                  <w:vAlign w:val="center"/>
                </w:tcPr>
                <w:p w14:paraId="684917A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、涉地表水自然保护区、湿地公园、饮用水水源保护区管控参照生态环境空间总体管控要求中各类保护地总体管控要求。</w:t>
                  </w:r>
                </w:p>
              </w:tc>
              <w:tc>
                <w:tcPr>
                  <w:tcW w:w="1844" w:type="dxa"/>
                  <w:gridSpan w:val="2"/>
                  <w:tcBorders>
                    <w:tl2br w:val="nil"/>
                    <w:tr2bl w:val="nil"/>
                  </w:tcBorders>
                  <w:noWrap w:val="0"/>
                  <w:vAlign w:val="center"/>
                </w:tcPr>
                <w:p w14:paraId="12F1292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73C630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C0315F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5A5CA94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4F3F41E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5FF7478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、鼓励发展节水高效现代农业、低耗水高新技术产业以及生态保护型旅游业，严格控制缺水地区、水污染严重地区和敏感区域高耗水、高污染行业发展。</w:t>
                  </w:r>
                </w:p>
              </w:tc>
              <w:tc>
                <w:tcPr>
                  <w:tcW w:w="1844" w:type="dxa"/>
                  <w:gridSpan w:val="2"/>
                  <w:tcBorders>
                    <w:tl2br w:val="nil"/>
                    <w:tr2bl w:val="nil"/>
                  </w:tcBorders>
                  <w:noWrap w:val="0"/>
                  <w:vAlign w:val="center"/>
                </w:tcPr>
                <w:p w14:paraId="20E3327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5490563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FFDAC2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3E488A2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BCAC3D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F422BC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全市重点河流沿岸、重要饮用水水源地补给区，严格控制化学原料和化学制品制造、医药制造、制革、造纸、焦化、化学纤维制造、石油加工、纺织印染等项目环境风险，合理布局生产装置及危险化学品仓储等设施。重大项目原则上布局在优化开发区和重点开发区，并符合城乡规划和土地利用总体规划。</w:t>
                  </w:r>
                </w:p>
              </w:tc>
              <w:tc>
                <w:tcPr>
                  <w:tcW w:w="1844" w:type="dxa"/>
                  <w:gridSpan w:val="2"/>
                  <w:tcBorders>
                    <w:tl2br w:val="nil"/>
                    <w:tr2bl w:val="nil"/>
                  </w:tcBorders>
                  <w:noWrap w:val="0"/>
                  <w:vAlign w:val="center"/>
                </w:tcPr>
                <w:p w14:paraId="1AC1A5B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B8F40A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5CDF31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0A7016A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60D09CF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324553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未按照规定完成污水集中处理设施以及管网建设的工业园区（工业集聚区），暂停审批和核准其增加水污染物排放的建设项目。向污水集中处理设施排放工业废水的，应当按照国家有关规定进行预处理，达到集中处理设施处理工艺要求后方可排放。</w:t>
                  </w:r>
                </w:p>
              </w:tc>
              <w:tc>
                <w:tcPr>
                  <w:tcW w:w="1844" w:type="dxa"/>
                  <w:gridSpan w:val="2"/>
                  <w:tcBorders>
                    <w:tl2br w:val="nil"/>
                    <w:tr2bl w:val="nil"/>
                  </w:tcBorders>
                  <w:noWrap w:val="0"/>
                  <w:vAlign w:val="center"/>
                </w:tcPr>
                <w:p w14:paraId="786222C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本项目不新增</w:t>
                  </w:r>
                  <w:r>
                    <w:rPr>
                      <w:rFonts w:hint="eastAsia"/>
                      <w:color w:val="000000" w:themeColor="text1"/>
                      <w:sz w:val="21"/>
                      <w:szCs w:val="21"/>
                      <w:highlight w:val="none"/>
                      <w:lang w:eastAsia="zh-CN"/>
                      <w14:textFill>
                        <w14:solidFill>
                          <w14:schemeClr w14:val="tx1"/>
                        </w14:solidFill>
                      </w14:textFill>
                    </w:rPr>
                    <w:t>生产、生活</w:t>
                  </w:r>
                  <w:r>
                    <w:rPr>
                      <w:rFonts w:hint="eastAsia"/>
                      <w:color w:val="000000" w:themeColor="text1"/>
                      <w:sz w:val="21"/>
                      <w:szCs w:val="21"/>
                      <w:highlight w:val="none"/>
                      <w14:textFill>
                        <w14:solidFill>
                          <w14:schemeClr w14:val="tx1"/>
                        </w14:solidFill>
                      </w14:textFill>
                    </w:rPr>
                    <w:t>废水排放。</w:t>
                  </w:r>
                </w:p>
              </w:tc>
              <w:tc>
                <w:tcPr>
                  <w:tcW w:w="657" w:type="dxa"/>
                  <w:gridSpan w:val="2"/>
                  <w:tcBorders>
                    <w:tl2br w:val="nil"/>
                    <w:tr2bl w:val="nil"/>
                  </w:tcBorders>
                  <w:noWrap w:val="0"/>
                  <w:vAlign w:val="center"/>
                </w:tcPr>
                <w:p w14:paraId="2866C5B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441617A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75B917D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6AA82B7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761F842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推进现有企业向依法合规设立、环保设施齐全、符合规划环评要求、满足水法律法规规定的工业集聚区集中，明确涉水工业企业入园时间表；确因不具备入园条件需原地保留的涉水工业企业，明确保留条件，其中直排环境企业应达到排入水体功能区标准。</w:t>
                  </w:r>
                </w:p>
              </w:tc>
              <w:tc>
                <w:tcPr>
                  <w:tcW w:w="1844" w:type="dxa"/>
                  <w:gridSpan w:val="2"/>
                  <w:tcBorders>
                    <w:tl2br w:val="nil"/>
                    <w:tr2bl w:val="nil"/>
                  </w:tcBorders>
                  <w:noWrap w:val="0"/>
                  <w:vAlign w:val="center"/>
                </w:tcPr>
                <w:p w14:paraId="5049B51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本项目不新增</w:t>
                  </w:r>
                  <w:r>
                    <w:rPr>
                      <w:rFonts w:hint="eastAsia"/>
                      <w:color w:val="000000" w:themeColor="text1"/>
                      <w:sz w:val="21"/>
                      <w:szCs w:val="21"/>
                      <w:highlight w:val="none"/>
                      <w:lang w:eastAsia="zh-CN"/>
                      <w14:textFill>
                        <w14:solidFill>
                          <w14:schemeClr w14:val="tx1"/>
                        </w14:solidFill>
                      </w14:textFill>
                    </w:rPr>
                    <w:t>生产、生活</w:t>
                  </w:r>
                  <w:r>
                    <w:rPr>
                      <w:rFonts w:hint="eastAsia"/>
                      <w:color w:val="000000" w:themeColor="text1"/>
                      <w:sz w:val="21"/>
                      <w:szCs w:val="21"/>
                      <w:highlight w:val="none"/>
                      <w14:textFill>
                        <w14:solidFill>
                          <w14:schemeClr w14:val="tx1"/>
                        </w14:solidFill>
                      </w14:textFill>
                    </w:rPr>
                    <w:t>废水排放。</w:t>
                  </w:r>
                </w:p>
              </w:tc>
              <w:tc>
                <w:tcPr>
                  <w:tcW w:w="657" w:type="dxa"/>
                  <w:gridSpan w:val="2"/>
                  <w:tcBorders>
                    <w:tl2br w:val="nil"/>
                    <w:tr2bl w:val="nil"/>
                  </w:tcBorders>
                  <w:noWrap w:val="0"/>
                  <w:vAlign w:val="center"/>
                </w:tcPr>
                <w:p w14:paraId="234B8EC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48DEF61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40A0188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restart"/>
                  <w:tcBorders>
                    <w:tl2br w:val="nil"/>
                    <w:tr2bl w:val="nil"/>
                  </w:tcBorders>
                  <w:noWrap w:val="0"/>
                  <w:vAlign w:val="center"/>
                </w:tcPr>
                <w:p w14:paraId="2AB316F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污染物排放管控</w:t>
                  </w:r>
                </w:p>
              </w:tc>
              <w:tc>
                <w:tcPr>
                  <w:tcW w:w="8618" w:type="dxa"/>
                  <w:gridSpan w:val="2"/>
                  <w:tcBorders>
                    <w:tl2br w:val="nil"/>
                    <w:tr2bl w:val="nil"/>
                  </w:tcBorders>
                  <w:noWrap w:val="0"/>
                  <w:vAlign w:val="center"/>
                </w:tcPr>
                <w:p w14:paraId="18EA7E1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严格控制高污染、高耗水行业新增产能。产能过剩产业实行新增产能等量替代、涉水主要污染物排放同行业倍量替代。对造纸、焦化、氮肥、石油化工、印染、农副食品加工、原料药制造、制革、农药、电镀等“十大”重点行业，新建、改建、扩建项目实行新增主要污染物排放倍量替代。</w:t>
                  </w:r>
                </w:p>
              </w:tc>
              <w:tc>
                <w:tcPr>
                  <w:tcW w:w="1844" w:type="dxa"/>
                  <w:gridSpan w:val="2"/>
                  <w:tcBorders>
                    <w:tl2br w:val="nil"/>
                    <w:tr2bl w:val="nil"/>
                  </w:tcBorders>
                  <w:noWrap w:val="0"/>
                  <w:vAlign w:val="center"/>
                </w:tcPr>
                <w:p w14:paraId="447E86F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本项目不属于高污染、高耗水行业，不属于“十大重点”行业。</w:t>
                  </w:r>
                </w:p>
              </w:tc>
              <w:tc>
                <w:tcPr>
                  <w:tcW w:w="657" w:type="dxa"/>
                  <w:gridSpan w:val="2"/>
                  <w:tcBorders>
                    <w:tl2br w:val="nil"/>
                    <w:tr2bl w:val="nil"/>
                  </w:tcBorders>
                  <w:noWrap w:val="0"/>
                  <w:vAlign w:val="center"/>
                </w:tcPr>
                <w:p w14:paraId="646122C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74F8A7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0" w:hRule="atLeast"/>
                <w:jc w:val="center"/>
              </w:trPr>
              <w:tc>
                <w:tcPr>
                  <w:tcW w:w="545" w:type="dxa"/>
                  <w:vMerge w:val="continue"/>
                  <w:tcBorders>
                    <w:tl2br w:val="nil"/>
                    <w:tr2bl w:val="nil"/>
                  </w:tcBorders>
                  <w:noWrap w:val="0"/>
                  <w:vAlign w:val="center"/>
                </w:tcPr>
                <w:p w14:paraId="13234C5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08304C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4A1C81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全面加强城镇污水管网建设，提升污水收集能力。扩大城镇污水管网覆盖范围，推进新建城区、扩建新区以及城乡结合部等污水截留、收集纳管；进一步加强城区支管、毛细管等管网建设，提高污水收集率。推进城镇排水系统雨污分流建设，新建城区、扩建新区、新开发区建设排水管网一律实行雨污分流；强化各县（市、区）城区和重点城镇污水管网建设，新建污水处理设施应与配套管网同步设计、同步建设、同步投运。推进初期雨水收集、处理与资源化利用。</w:t>
                  </w:r>
                </w:p>
              </w:tc>
              <w:tc>
                <w:tcPr>
                  <w:tcW w:w="1844" w:type="dxa"/>
                  <w:gridSpan w:val="2"/>
                  <w:tcBorders>
                    <w:tl2br w:val="nil"/>
                    <w:tr2bl w:val="nil"/>
                  </w:tcBorders>
                  <w:noWrap w:val="0"/>
                  <w:vAlign w:val="center"/>
                </w:tcPr>
                <w:p w14:paraId="2258A4F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本项目无新增</w:t>
                  </w:r>
                  <w:r>
                    <w:rPr>
                      <w:rFonts w:hint="eastAsia"/>
                      <w:color w:val="000000" w:themeColor="text1"/>
                      <w:sz w:val="21"/>
                      <w:szCs w:val="21"/>
                      <w:highlight w:val="none"/>
                      <w:lang w:eastAsia="zh-CN"/>
                      <w14:textFill>
                        <w14:solidFill>
                          <w14:schemeClr w14:val="tx1"/>
                        </w14:solidFill>
                      </w14:textFill>
                    </w:rPr>
                    <w:t>生产、生活</w:t>
                  </w:r>
                  <w:r>
                    <w:rPr>
                      <w:rFonts w:hint="eastAsia"/>
                      <w:color w:val="000000" w:themeColor="text1"/>
                      <w:sz w:val="21"/>
                      <w:szCs w:val="21"/>
                      <w:highlight w:val="none"/>
                      <w14:textFill>
                        <w14:solidFill>
                          <w14:schemeClr w14:val="tx1"/>
                        </w14:solidFill>
                      </w14:textFill>
                    </w:rPr>
                    <w:t>废水排放。不涉及</w:t>
                  </w:r>
                  <w:r>
                    <w:rPr>
                      <w:rFonts w:hint="eastAsia"/>
                      <w:color w:val="000000" w:themeColor="text1"/>
                      <w:sz w:val="21"/>
                      <w:szCs w:val="21"/>
                      <w:highlight w:val="none"/>
                      <w:lang w:val="zh-TW"/>
                      <w14:textFill>
                        <w14:solidFill>
                          <w14:schemeClr w14:val="tx1"/>
                        </w14:solidFill>
                      </w14:textFill>
                    </w:rPr>
                    <w:t>初期雨水收集。</w:t>
                  </w:r>
                </w:p>
              </w:tc>
              <w:tc>
                <w:tcPr>
                  <w:tcW w:w="657" w:type="dxa"/>
                  <w:gridSpan w:val="2"/>
                  <w:tcBorders>
                    <w:tl2br w:val="nil"/>
                    <w:tr2bl w:val="nil"/>
                  </w:tcBorders>
                  <w:noWrap w:val="0"/>
                  <w:vAlign w:val="center"/>
                </w:tcPr>
                <w:p w14:paraId="5C1EA3D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53361D5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9AB803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690F494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16050F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强化工业污水限期达标整治。推进废水直排外环境的工业企业全面达标排放。强化入河排污口监督管理，推动入河排污口规范化建设，取缔非法入河排污口。加大超标排放整治力度，对超标和超总量的企业依法查处，对企业超标现象普遍、超标企业集中地区政府采取挂牌督办、公开约谈等措施。对整治仍不能达到要求且情节严重的企业，由所在地政府依法责令限期关闭。</w:t>
                  </w:r>
                </w:p>
              </w:tc>
              <w:tc>
                <w:tcPr>
                  <w:tcW w:w="1844" w:type="dxa"/>
                  <w:gridSpan w:val="2"/>
                  <w:tcBorders>
                    <w:tl2br w:val="nil"/>
                    <w:tr2bl w:val="nil"/>
                  </w:tcBorders>
                  <w:noWrap w:val="0"/>
                  <w:vAlign w:val="center"/>
                </w:tcPr>
                <w:p w14:paraId="3E5C86E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本项目无新增</w:t>
                  </w:r>
                  <w:r>
                    <w:rPr>
                      <w:rFonts w:hint="eastAsia"/>
                      <w:color w:val="000000" w:themeColor="text1"/>
                      <w:sz w:val="21"/>
                      <w:szCs w:val="21"/>
                      <w:highlight w:val="none"/>
                      <w:lang w:eastAsia="zh-CN"/>
                      <w14:textFill>
                        <w14:solidFill>
                          <w14:schemeClr w14:val="tx1"/>
                        </w14:solidFill>
                      </w14:textFill>
                    </w:rPr>
                    <w:t>生产、生活</w:t>
                  </w:r>
                  <w:r>
                    <w:rPr>
                      <w:rFonts w:hint="eastAsia"/>
                      <w:color w:val="000000" w:themeColor="text1"/>
                      <w:sz w:val="21"/>
                      <w:szCs w:val="21"/>
                      <w:highlight w:val="none"/>
                      <w14:textFill>
                        <w14:solidFill>
                          <w14:schemeClr w14:val="tx1"/>
                        </w14:solidFill>
                      </w14:textFill>
                    </w:rPr>
                    <w:t>废水排放。</w:t>
                  </w:r>
                </w:p>
              </w:tc>
              <w:tc>
                <w:tcPr>
                  <w:tcW w:w="657" w:type="dxa"/>
                  <w:gridSpan w:val="2"/>
                  <w:tcBorders>
                    <w:tl2br w:val="nil"/>
                    <w:tr2bl w:val="nil"/>
                  </w:tcBorders>
                  <w:noWrap w:val="0"/>
                  <w:vAlign w:val="center"/>
                </w:tcPr>
                <w:p w14:paraId="16CF699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205D49C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521B05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50F7100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042B5B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、推进农业面源污染治理。减少化肥农药使用量，严格控制高毒高风险农药使用，推进有机肥替代化肥、病虫害绿色防控替代化学防治，积极推进废旧农膜回收，完善废旧地膜和包装废弃物等回收处理制度。</w:t>
                  </w:r>
                </w:p>
              </w:tc>
              <w:tc>
                <w:tcPr>
                  <w:tcW w:w="1844" w:type="dxa"/>
                  <w:gridSpan w:val="2"/>
                  <w:tcBorders>
                    <w:tl2br w:val="nil"/>
                    <w:tr2bl w:val="nil"/>
                  </w:tcBorders>
                  <w:noWrap w:val="0"/>
                  <w:vAlign w:val="center"/>
                </w:tcPr>
                <w:p w14:paraId="2160442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102C4F8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501AEC1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72" w:hRule="atLeast"/>
                <w:jc w:val="center"/>
              </w:trPr>
              <w:tc>
                <w:tcPr>
                  <w:tcW w:w="545" w:type="dxa"/>
                  <w:vMerge w:val="continue"/>
                  <w:tcBorders>
                    <w:tl2br w:val="nil"/>
                    <w:tr2bl w:val="nil"/>
                  </w:tcBorders>
                  <w:noWrap w:val="0"/>
                  <w:vAlign w:val="center"/>
                </w:tcPr>
                <w:p w14:paraId="4495BB1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555DCA8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5191988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、推进养殖废弃物资源化利用。坚持种植和养殖相结合，就地就近消纳利用畜禽养殖废弃物。合理布局水产养殖空间，深入推进生态健康养殖，开展重点河流湖库及近岸海域破坏生态环境的养殖方式综合整治。</w:t>
                  </w:r>
                </w:p>
              </w:tc>
              <w:tc>
                <w:tcPr>
                  <w:tcW w:w="1844" w:type="dxa"/>
                  <w:gridSpan w:val="2"/>
                  <w:tcBorders>
                    <w:tl2br w:val="nil"/>
                    <w:tr2bl w:val="nil"/>
                  </w:tcBorders>
                  <w:noWrap w:val="0"/>
                  <w:vAlign w:val="center"/>
                </w:tcPr>
                <w:p w14:paraId="00E5ED7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0FD5826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556CF4F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0B3858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5DBC64F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26285A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t>、实施总氮排放总量控制，新建、改建、扩建涉及总氮排放的建设项目，实施总氮排放总量指标减量替代，并在相关单位排污许可证中予以明确、严格落实，严控新增总氮排放量。</w:t>
                  </w:r>
                </w:p>
              </w:tc>
              <w:tc>
                <w:tcPr>
                  <w:tcW w:w="1844" w:type="dxa"/>
                  <w:gridSpan w:val="2"/>
                  <w:tcBorders>
                    <w:tl2br w:val="nil"/>
                    <w:tr2bl w:val="nil"/>
                  </w:tcBorders>
                  <w:noWrap w:val="0"/>
                  <w:vAlign w:val="center"/>
                </w:tcPr>
                <w:p w14:paraId="075497B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本项目无新增</w:t>
                  </w:r>
                  <w:r>
                    <w:rPr>
                      <w:rFonts w:hint="eastAsia"/>
                      <w:color w:val="000000" w:themeColor="text1"/>
                      <w:sz w:val="21"/>
                      <w:szCs w:val="21"/>
                      <w:highlight w:val="none"/>
                      <w:lang w:eastAsia="zh-CN"/>
                      <w14:textFill>
                        <w14:solidFill>
                          <w14:schemeClr w14:val="tx1"/>
                        </w14:solidFill>
                      </w14:textFill>
                    </w:rPr>
                    <w:t>生产、生活</w:t>
                  </w:r>
                  <w:r>
                    <w:rPr>
                      <w:rFonts w:hint="eastAsia"/>
                      <w:color w:val="000000" w:themeColor="text1"/>
                      <w:sz w:val="21"/>
                      <w:szCs w:val="21"/>
                      <w:highlight w:val="none"/>
                      <w14:textFill>
                        <w14:solidFill>
                          <w14:schemeClr w14:val="tx1"/>
                        </w14:solidFill>
                      </w14:textFill>
                    </w:rPr>
                    <w:t>废水排放。</w:t>
                  </w:r>
                </w:p>
              </w:tc>
              <w:tc>
                <w:tcPr>
                  <w:tcW w:w="657" w:type="dxa"/>
                  <w:gridSpan w:val="2"/>
                  <w:tcBorders>
                    <w:tl2br w:val="nil"/>
                    <w:tr2bl w:val="nil"/>
                  </w:tcBorders>
                  <w:noWrap w:val="0"/>
                  <w:vAlign w:val="center"/>
                </w:tcPr>
                <w:p w14:paraId="74D5F1D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956CEB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51C3390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tcBorders>
                    <w:tl2br w:val="nil"/>
                    <w:tr2bl w:val="nil"/>
                  </w:tcBorders>
                  <w:noWrap w:val="0"/>
                  <w:vAlign w:val="center"/>
                </w:tcPr>
                <w:p w14:paraId="39D21C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环境风险防控</w:t>
                  </w:r>
                </w:p>
              </w:tc>
              <w:tc>
                <w:tcPr>
                  <w:tcW w:w="8618" w:type="dxa"/>
                  <w:gridSpan w:val="2"/>
                  <w:tcBorders>
                    <w:tl2br w:val="nil"/>
                    <w:tr2bl w:val="nil"/>
                  </w:tcBorders>
                  <w:noWrap w:val="0"/>
                  <w:vAlign w:val="center"/>
                </w:tcPr>
                <w:p w14:paraId="0339185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有效防控水源地环境风险。每年对集中式饮用水水源保护区开展基础调查与评估，将可能影响水源水质安全的风险源全部列入档案，加强风险应急防控，建立联防联控应急机制。推广供水水厂应急净化技术，储备应急供水专项物资，配置移动式应急净水设备，加强应急抢险专业队伍建设，及时有效处置饮用水水源突发环境事件。</w:t>
                  </w:r>
                </w:p>
              </w:tc>
              <w:tc>
                <w:tcPr>
                  <w:tcW w:w="1844" w:type="dxa"/>
                  <w:gridSpan w:val="2"/>
                  <w:tcBorders>
                    <w:tl2br w:val="nil"/>
                    <w:tr2bl w:val="nil"/>
                  </w:tcBorders>
                  <w:noWrap w:val="0"/>
                  <w:vAlign w:val="center"/>
                </w:tcPr>
                <w:p w14:paraId="43C6697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本项目评价范围内无集中式饮用水水源保护区。</w:t>
                  </w:r>
                </w:p>
              </w:tc>
              <w:tc>
                <w:tcPr>
                  <w:tcW w:w="657" w:type="dxa"/>
                  <w:gridSpan w:val="2"/>
                  <w:tcBorders>
                    <w:tl2br w:val="nil"/>
                    <w:tr2bl w:val="nil"/>
                  </w:tcBorders>
                  <w:noWrap w:val="0"/>
                  <w:vAlign w:val="center"/>
                </w:tcPr>
                <w:p w14:paraId="60F4CC7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B7B0EF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D7D19C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restart"/>
                  <w:tcBorders>
                    <w:tl2br w:val="nil"/>
                    <w:tr2bl w:val="nil"/>
                  </w:tcBorders>
                  <w:noWrap w:val="0"/>
                  <w:vAlign w:val="center"/>
                </w:tcPr>
                <w:p w14:paraId="25BD179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资源开发利用</w:t>
                  </w:r>
                </w:p>
              </w:tc>
              <w:tc>
                <w:tcPr>
                  <w:tcW w:w="8618" w:type="dxa"/>
                  <w:gridSpan w:val="2"/>
                  <w:tcBorders>
                    <w:tl2br w:val="nil"/>
                    <w:tr2bl w:val="nil"/>
                  </w:tcBorders>
                  <w:noWrap w:val="0"/>
                  <w:vAlign w:val="center"/>
                </w:tcPr>
                <w:p w14:paraId="25C0A75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、开展用水效率评估，建立万元工业增加值水耗指标等用水效率评估体系，把节水目标任务完成情况纳入地方政府政绩考核。将再生水、雨水和微咸水等非常规水源纳入水资源统一配置。</w:t>
                  </w:r>
                </w:p>
              </w:tc>
              <w:tc>
                <w:tcPr>
                  <w:tcW w:w="1844" w:type="dxa"/>
                  <w:gridSpan w:val="2"/>
                  <w:tcBorders>
                    <w:tl2br w:val="nil"/>
                    <w:tr2bl w:val="nil"/>
                  </w:tcBorders>
                  <w:noWrap w:val="0"/>
                  <w:vAlign w:val="center"/>
                </w:tcPr>
                <w:p w14:paraId="1811823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节约用水，洗车废水经沉淀后循环使用</w:t>
                  </w:r>
                  <w:r>
                    <w:rPr>
                      <w:rFonts w:hint="eastAsia"/>
                      <w:color w:val="000000" w:themeColor="text1"/>
                      <w:sz w:val="21"/>
                      <w:szCs w:val="21"/>
                      <w:highlight w:val="none"/>
                      <w14:textFill>
                        <w14:solidFill>
                          <w14:schemeClr w14:val="tx1"/>
                        </w14:solidFill>
                      </w14:textFill>
                    </w:rPr>
                    <w:t>。</w:t>
                  </w:r>
                </w:p>
              </w:tc>
              <w:tc>
                <w:tcPr>
                  <w:tcW w:w="657" w:type="dxa"/>
                  <w:gridSpan w:val="2"/>
                  <w:tcBorders>
                    <w:tl2br w:val="nil"/>
                    <w:tr2bl w:val="nil"/>
                  </w:tcBorders>
                  <w:noWrap w:val="0"/>
                  <w:vAlign w:val="center"/>
                </w:tcPr>
                <w:p w14:paraId="6966D42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4334991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110" w:hRule="atLeast"/>
                <w:jc w:val="center"/>
              </w:trPr>
              <w:tc>
                <w:tcPr>
                  <w:tcW w:w="545" w:type="dxa"/>
                  <w:vMerge w:val="continue"/>
                  <w:tcBorders>
                    <w:tl2br w:val="nil"/>
                    <w:tr2bl w:val="nil"/>
                  </w:tcBorders>
                  <w:noWrap w:val="0"/>
                  <w:vAlign w:val="center"/>
                </w:tcPr>
                <w:p w14:paraId="287A709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21F626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27E2A5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发展农业节水。调整农业种植结构，发展旱作节水农业，推进田间节水设施建设，大力推广耐旱节水品种、耕作保墒、地膜覆盖、秸秆还田、水肥一体化等农业综合节水技术。推广渠道防渗、管道输水、喷灌、微灌、农作物节水抗旱等技术，完善灌溉用水计量设施，推进规模化高效节水灌溉。加快高效节水灌溉示范项目建设，粮食主产区大力推广以高标准管灌为主的节水灌溉工程，蔬菜、果品和经济种植区大力推广微滴灌技术，规模化农场、承包大户积极推广喷灌技术。地上水灌区实施续建配套与节水改造。</w:t>
                  </w:r>
                </w:p>
              </w:tc>
              <w:tc>
                <w:tcPr>
                  <w:tcW w:w="1844" w:type="dxa"/>
                  <w:gridSpan w:val="2"/>
                  <w:tcBorders>
                    <w:tl2br w:val="nil"/>
                    <w:tr2bl w:val="nil"/>
                  </w:tcBorders>
                  <w:noWrap w:val="0"/>
                  <w:vAlign w:val="center"/>
                </w:tcPr>
                <w:p w14:paraId="4157495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7A2743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435DC37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restart"/>
                  <w:tcBorders>
                    <w:tl2br w:val="nil"/>
                    <w:tr2bl w:val="nil"/>
                  </w:tcBorders>
                  <w:noWrap w:val="0"/>
                  <w:vAlign w:val="center"/>
                </w:tcPr>
                <w:p w14:paraId="4FBC9FB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土壤及地下水环境</w:t>
                  </w:r>
                </w:p>
              </w:tc>
              <w:tc>
                <w:tcPr>
                  <w:tcW w:w="994" w:type="dxa"/>
                  <w:gridSpan w:val="3"/>
                  <w:vMerge w:val="restart"/>
                  <w:tcBorders>
                    <w:tl2br w:val="nil"/>
                    <w:tr2bl w:val="nil"/>
                  </w:tcBorders>
                  <w:noWrap w:val="0"/>
                  <w:vAlign w:val="center"/>
                </w:tcPr>
                <w:p w14:paraId="093BF14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空间布局约束</w:t>
                  </w:r>
                </w:p>
              </w:tc>
              <w:tc>
                <w:tcPr>
                  <w:tcW w:w="8618" w:type="dxa"/>
                  <w:gridSpan w:val="2"/>
                  <w:tcBorders>
                    <w:tl2br w:val="nil"/>
                    <w:tr2bl w:val="nil"/>
                  </w:tcBorders>
                  <w:noWrap w:val="0"/>
                  <w:vAlign w:val="center"/>
                </w:tcPr>
                <w:p w14:paraId="4E1666F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、严格执行相关行业企业布局选址要求，禁止在居民区和学校、医院、疗养院、养老院等单位周边新建、改建、扩建可能造成土壤污染的建设项目。</w:t>
                  </w:r>
                </w:p>
              </w:tc>
              <w:tc>
                <w:tcPr>
                  <w:tcW w:w="1844" w:type="dxa"/>
                  <w:gridSpan w:val="2"/>
                  <w:tcBorders>
                    <w:tl2br w:val="nil"/>
                    <w:tr2bl w:val="nil"/>
                  </w:tcBorders>
                  <w:noWrap w:val="0"/>
                  <w:vAlign w:val="center"/>
                </w:tcPr>
                <w:p w14:paraId="2569877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本项目不新增占地。</w:t>
                  </w:r>
                </w:p>
              </w:tc>
              <w:tc>
                <w:tcPr>
                  <w:tcW w:w="657" w:type="dxa"/>
                  <w:gridSpan w:val="2"/>
                  <w:tcBorders>
                    <w:tl2br w:val="nil"/>
                    <w:tr2bl w:val="nil"/>
                  </w:tcBorders>
                  <w:noWrap w:val="0"/>
                  <w:vAlign w:val="center"/>
                </w:tcPr>
                <w:p w14:paraId="1C05102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006471A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0C2CA91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0C01329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1ACD9B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、禁止在集中式地下水饮用水水源地建设需要取水的地热能开发利用项目。禁止抽取难以更新的地下水用于需要取水的地热能开发利用项目。</w:t>
                  </w:r>
                </w:p>
              </w:tc>
              <w:tc>
                <w:tcPr>
                  <w:tcW w:w="1844" w:type="dxa"/>
                  <w:gridSpan w:val="2"/>
                  <w:tcBorders>
                    <w:tl2br w:val="nil"/>
                    <w:tr2bl w:val="nil"/>
                  </w:tcBorders>
                  <w:noWrap w:val="0"/>
                  <w:vAlign w:val="center"/>
                </w:tcPr>
                <w:p w14:paraId="096FFA8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本项目评价范围内不涉及集中式地下水饮用水水源地。</w:t>
                  </w:r>
                </w:p>
              </w:tc>
              <w:tc>
                <w:tcPr>
                  <w:tcW w:w="657" w:type="dxa"/>
                  <w:gridSpan w:val="2"/>
                  <w:tcBorders>
                    <w:tl2br w:val="nil"/>
                    <w:tr2bl w:val="nil"/>
                  </w:tcBorders>
                  <w:noWrap w:val="0"/>
                  <w:vAlign w:val="center"/>
                </w:tcPr>
                <w:p w14:paraId="1460B3D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1FC4E68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5A9E41C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C39946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580EE10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、地下水饮用水水源地优先保护区管控参照生态环境空间总体管控要求中地下水饮用水水源地保护区总体管控要求。</w:t>
                  </w:r>
                </w:p>
              </w:tc>
              <w:tc>
                <w:tcPr>
                  <w:tcW w:w="1844" w:type="dxa"/>
                  <w:gridSpan w:val="2"/>
                  <w:tcBorders>
                    <w:tl2br w:val="nil"/>
                    <w:tr2bl w:val="nil"/>
                  </w:tcBorders>
                  <w:noWrap w:val="0"/>
                  <w:vAlign w:val="center"/>
                </w:tcPr>
                <w:p w14:paraId="057A0CA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B045AF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3C97B4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51254DC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restart"/>
                  <w:tcBorders>
                    <w:tl2br w:val="nil"/>
                    <w:tr2bl w:val="nil"/>
                  </w:tcBorders>
                  <w:noWrap w:val="0"/>
                  <w:vAlign w:val="center"/>
                </w:tcPr>
                <w:p w14:paraId="32110C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污染物排放管控</w:t>
                  </w:r>
                </w:p>
              </w:tc>
              <w:tc>
                <w:tcPr>
                  <w:tcW w:w="8618" w:type="dxa"/>
                  <w:gridSpan w:val="2"/>
                  <w:tcBorders>
                    <w:tl2br w:val="nil"/>
                    <w:tr2bl w:val="nil"/>
                  </w:tcBorders>
                  <w:noWrap w:val="0"/>
                  <w:vAlign w:val="center"/>
                </w:tcPr>
                <w:p w14:paraId="4A7D1A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、严禁将污泥直接用作肥料，禁止不达标污泥就地堆放，结合污泥处理设施升级改造，逐步取消原生污泥简易填埋等不符合环保要求的处置方式。鼓励利用水泥厂等工业窑炉，开展污泥协同焚烧处置。</w:t>
                  </w:r>
                </w:p>
              </w:tc>
              <w:tc>
                <w:tcPr>
                  <w:tcW w:w="1844" w:type="dxa"/>
                  <w:gridSpan w:val="2"/>
                  <w:tcBorders>
                    <w:tl2br w:val="nil"/>
                    <w:tr2bl w:val="nil"/>
                  </w:tcBorders>
                  <w:noWrap w:val="0"/>
                  <w:vAlign w:val="center"/>
                </w:tcPr>
                <w:p w14:paraId="44868B3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不涉及污泥</w:t>
                  </w:r>
                  <w:r>
                    <w:rPr>
                      <w:rFonts w:hint="eastAsia"/>
                      <w:color w:val="000000" w:themeColor="text1"/>
                      <w:sz w:val="21"/>
                      <w:szCs w:val="21"/>
                      <w:highlight w:val="none"/>
                      <w14:textFill>
                        <w14:solidFill>
                          <w14:schemeClr w14:val="tx1"/>
                        </w14:solidFill>
                      </w14:textFill>
                    </w:rPr>
                    <w:t>。</w:t>
                  </w:r>
                </w:p>
              </w:tc>
              <w:tc>
                <w:tcPr>
                  <w:tcW w:w="657" w:type="dxa"/>
                  <w:gridSpan w:val="2"/>
                  <w:tcBorders>
                    <w:tl2br w:val="nil"/>
                    <w:tr2bl w:val="nil"/>
                  </w:tcBorders>
                  <w:noWrap w:val="0"/>
                  <w:vAlign w:val="center"/>
                </w:tcPr>
                <w:p w14:paraId="17D9141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51A73E2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4EAB15C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21687EE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50AFCA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严格落实总量控制制度，减少重金属污染物排放。新、改、扩建涉重金属重点行业建设项目，污染物排放实施等量或倍量替换，对重金属排放量继续上升的地区，暂停审批新增重金属污染物排放的建设项目。加大减排项目督导力度，确保项目按期实施。</w:t>
                  </w:r>
                </w:p>
              </w:tc>
              <w:tc>
                <w:tcPr>
                  <w:tcW w:w="1844" w:type="dxa"/>
                  <w:gridSpan w:val="2"/>
                  <w:tcBorders>
                    <w:tl2br w:val="nil"/>
                    <w:tr2bl w:val="nil"/>
                  </w:tcBorders>
                  <w:noWrap w:val="0"/>
                  <w:vAlign w:val="center"/>
                </w:tcPr>
                <w:p w14:paraId="0F7B3FA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本项目不涉及重金属排放。</w:t>
                  </w:r>
                </w:p>
              </w:tc>
              <w:tc>
                <w:tcPr>
                  <w:tcW w:w="657" w:type="dxa"/>
                  <w:gridSpan w:val="2"/>
                  <w:tcBorders>
                    <w:tl2br w:val="nil"/>
                    <w:tr2bl w:val="nil"/>
                  </w:tcBorders>
                  <w:noWrap w:val="0"/>
                  <w:vAlign w:val="center"/>
                </w:tcPr>
                <w:p w14:paraId="1948869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27DE80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56" w:hRule="atLeast"/>
                <w:jc w:val="center"/>
              </w:trPr>
              <w:tc>
                <w:tcPr>
                  <w:tcW w:w="545" w:type="dxa"/>
                  <w:vMerge w:val="continue"/>
                  <w:tcBorders>
                    <w:tl2br w:val="nil"/>
                    <w:tr2bl w:val="nil"/>
                  </w:tcBorders>
                  <w:noWrap w:val="0"/>
                  <w:vAlign w:val="center"/>
                </w:tcPr>
                <w:p w14:paraId="154ABAB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61F80A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EEF77B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严格危险废物经营许可审批，加强危险废物处置单位规范化管理核查。统筹推进危险废物利用处置能力建设，加快补齐利用处置设施短板。积极推进重点监管源智能监控体系建设，加大危险废物产生、贮存、转运、利用、处置全流程监管力度。规范和完善医疗废物分类收集处置体系。</w:t>
                  </w:r>
                </w:p>
              </w:tc>
              <w:tc>
                <w:tcPr>
                  <w:tcW w:w="1844" w:type="dxa"/>
                  <w:gridSpan w:val="2"/>
                  <w:tcBorders>
                    <w:tl2br w:val="nil"/>
                    <w:tr2bl w:val="nil"/>
                  </w:tcBorders>
                  <w:noWrap w:val="0"/>
                  <w:vAlign w:val="center"/>
                </w:tcPr>
                <w:p w14:paraId="2DF90A0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本项目不属于危险废物处置单位。</w:t>
                  </w:r>
                </w:p>
              </w:tc>
              <w:tc>
                <w:tcPr>
                  <w:tcW w:w="657" w:type="dxa"/>
                  <w:gridSpan w:val="2"/>
                  <w:tcBorders>
                    <w:tl2br w:val="nil"/>
                    <w:tr2bl w:val="nil"/>
                  </w:tcBorders>
                  <w:noWrap w:val="0"/>
                  <w:vAlign w:val="center"/>
                </w:tcPr>
                <w:p w14:paraId="23884B8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1EE5C86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2DD9073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01C50E8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B2EF9E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建设和运行固体废物处置设施，应当采取防扬散、防流失、防渗漏等措施，依法贮存、利用、处置固体废物。处置生活垃圾，应当优先采用焚烧处理技术，有计划地实现垃圾零填埋，已有的垃圾填埋处置设施应当建设渗滤液收集和处理、处置设施，并采取相应措施防止土壤污染。</w:t>
                  </w:r>
                </w:p>
              </w:tc>
              <w:tc>
                <w:tcPr>
                  <w:tcW w:w="1844" w:type="dxa"/>
                  <w:gridSpan w:val="2"/>
                  <w:tcBorders>
                    <w:tl2br w:val="nil"/>
                    <w:tr2bl w:val="nil"/>
                  </w:tcBorders>
                  <w:noWrap w:val="0"/>
                  <w:vAlign w:val="center"/>
                </w:tcPr>
                <w:p w14:paraId="0011150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固体废物</w:t>
                  </w:r>
                  <w:r>
                    <w:rPr>
                      <w:rFonts w:hint="eastAsia"/>
                      <w:color w:val="000000" w:themeColor="text1"/>
                      <w:sz w:val="21"/>
                      <w:szCs w:val="21"/>
                      <w:highlight w:val="none"/>
                      <w14:textFill>
                        <w14:solidFill>
                          <w14:schemeClr w14:val="tx1"/>
                        </w14:solidFill>
                      </w14:textFill>
                    </w:rPr>
                    <w:t>采取防扬散、防流失、防渗漏等措施</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固体废物妥善处置。</w:t>
                  </w:r>
                </w:p>
              </w:tc>
              <w:tc>
                <w:tcPr>
                  <w:tcW w:w="657" w:type="dxa"/>
                  <w:gridSpan w:val="2"/>
                  <w:tcBorders>
                    <w:tl2br w:val="nil"/>
                    <w:tr2bl w:val="nil"/>
                  </w:tcBorders>
                  <w:noWrap w:val="0"/>
                  <w:vAlign w:val="center"/>
                </w:tcPr>
                <w:p w14:paraId="174D211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2AD5714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3225AA7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CFE28F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5E437AF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、严格危险废物源头管控，优化利用处置结构布局，提高应急保障能力。发展生态循环农业，提升农业废弃物综合利用率。健全完善制度、技术、市场、监管四大政策体系，实现固体废物和危险废物全链条监管。</w:t>
                  </w:r>
                </w:p>
              </w:tc>
              <w:tc>
                <w:tcPr>
                  <w:tcW w:w="1844" w:type="dxa"/>
                  <w:gridSpan w:val="2"/>
                  <w:tcBorders>
                    <w:tl2br w:val="nil"/>
                    <w:tr2bl w:val="nil"/>
                  </w:tcBorders>
                  <w:noWrap w:val="0"/>
                  <w:vAlign w:val="center"/>
                </w:tcPr>
                <w:p w14:paraId="797E1E1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本项目危险废物</w:t>
                  </w:r>
                  <w:r>
                    <w:rPr>
                      <w:rFonts w:hint="eastAsia"/>
                      <w:color w:val="000000" w:themeColor="text1"/>
                      <w:sz w:val="21"/>
                      <w:szCs w:val="21"/>
                      <w:highlight w:val="none"/>
                      <w:lang w:eastAsia="zh-CN"/>
                      <w14:textFill>
                        <w14:solidFill>
                          <w14:schemeClr w14:val="tx1"/>
                        </w14:solidFill>
                      </w14:textFill>
                    </w:rPr>
                    <w:t>按照要求进行储存和合理处置</w:t>
                  </w:r>
                  <w:r>
                    <w:rPr>
                      <w:rFonts w:hint="eastAsia"/>
                      <w:color w:val="000000" w:themeColor="text1"/>
                      <w:sz w:val="21"/>
                      <w:szCs w:val="21"/>
                      <w:highlight w:val="none"/>
                      <w14:textFill>
                        <w14:solidFill>
                          <w14:schemeClr w14:val="tx1"/>
                        </w14:solidFill>
                      </w14:textFill>
                    </w:rPr>
                    <w:t>。不涉及农业废弃物。</w:t>
                  </w:r>
                </w:p>
              </w:tc>
              <w:tc>
                <w:tcPr>
                  <w:tcW w:w="657" w:type="dxa"/>
                  <w:gridSpan w:val="2"/>
                  <w:tcBorders>
                    <w:tl2br w:val="nil"/>
                    <w:tr2bl w:val="nil"/>
                  </w:tcBorders>
                  <w:noWrap w:val="0"/>
                  <w:vAlign w:val="center"/>
                </w:tcPr>
                <w:p w14:paraId="205D20A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符合</w:t>
                  </w:r>
                </w:p>
              </w:tc>
            </w:tr>
            <w:tr w14:paraId="5724F2B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233D5FA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restart"/>
                  <w:tcBorders>
                    <w:tl2br w:val="nil"/>
                    <w:tr2bl w:val="nil"/>
                  </w:tcBorders>
                  <w:noWrap w:val="0"/>
                  <w:vAlign w:val="center"/>
                </w:tcPr>
                <w:p w14:paraId="680840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环境风险防控</w:t>
                  </w:r>
                </w:p>
              </w:tc>
              <w:tc>
                <w:tcPr>
                  <w:tcW w:w="8618" w:type="dxa"/>
                  <w:gridSpan w:val="2"/>
                  <w:tcBorders>
                    <w:tl2br w:val="nil"/>
                    <w:tr2bl w:val="nil"/>
                  </w:tcBorders>
                  <w:noWrap w:val="0"/>
                  <w:vAlign w:val="center"/>
                </w:tcPr>
                <w:p w14:paraId="37347B7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、每年对集中式饮用水水源保护区开展基础调查与评估，将可能影响水源水质安全的风险源全部列入档案，实行“一源一案”，对每个风险源开展隐患排查、整改，编制风险应急方案，建立联防联控应急机制。</w:t>
                  </w:r>
                </w:p>
              </w:tc>
              <w:tc>
                <w:tcPr>
                  <w:tcW w:w="1844" w:type="dxa"/>
                  <w:gridSpan w:val="2"/>
                  <w:tcBorders>
                    <w:tl2br w:val="nil"/>
                    <w:tr2bl w:val="nil"/>
                  </w:tcBorders>
                  <w:noWrap w:val="0"/>
                  <w:vAlign w:val="center"/>
                </w:tcPr>
                <w:p w14:paraId="7C030B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本项目评价范围内无集中式饮用水水源保护区。</w:t>
                  </w:r>
                </w:p>
              </w:tc>
              <w:tc>
                <w:tcPr>
                  <w:tcW w:w="657" w:type="dxa"/>
                  <w:gridSpan w:val="2"/>
                  <w:tcBorders>
                    <w:tl2br w:val="nil"/>
                    <w:tr2bl w:val="nil"/>
                  </w:tcBorders>
                  <w:noWrap w:val="0"/>
                  <w:vAlign w:val="center"/>
                </w:tcPr>
                <w:p w14:paraId="024A431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B66B64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4FA327E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5A19492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24236A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、尾矿库运营、管理单位应当按照规定加强尾矿库的安全管理，采取措施防止土壤污染。危库、险库、病库以及其他需要重点监管的尾矿库运营、管理单位应当按照规定进行土壤污染状况监测和定期评估。</w:t>
                  </w:r>
                </w:p>
              </w:tc>
              <w:tc>
                <w:tcPr>
                  <w:tcW w:w="1844" w:type="dxa"/>
                  <w:gridSpan w:val="2"/>
                  <w:tcBorders>
                    <w:tl2br w:val="nil"/>
                    <w:tr2bl w:val="nil"/>
                  </w:tcBorders>
                  <w:noWrap w:val="0"/>
                  <w:vAlign w:val="center"/>
                </w:tcPr>
                <w:p w14:paraId="6150A2A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50D4650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10773C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74E62BA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6F0DF59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5E69D34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、产生、收集、贮存、运输、利用、处置危险废物的单位，应当依法制定意外事故的防范措施和应急预案，并向所在地生态环境主管部门和其他负有固体废物污染环境防治监督管理职责的部门备案。</w:t>
                  </w:r>
                </w:p>
              </w:tc>
              <w:tc>
                <w:tcPr>
                  <w:tcW w:w="1844" w:type="dxa"/>
                  <w:gridSpan w:val="2"/>
                  <w:tcBorders>
                    <w:tl2br w:val="nil"/>
                    <w:tr2bl w:val="nil"/>
                  </w:tcBorders>
                  <w:noWrap w:val="0"/>
                  <w:vAlign w:val="center"/>
                </w:tcPr>
                <w:p w14:paraId="5EEE8CC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按要求制定突发环境事件应急预案</w:t>
                  </w:r>
                  <w:r>
                    <w:rPr>
                      <w:rFonts w:hint="eastAsia"/>
                      <w:color w:val="000000" w:themeColor="text1"/>
                      <w:sz w:val="21"/>
                      <w:szCs w:val="21"/>
                      <w:highlight w:val="none"/>
                      <w14:textFill>
                        <w14:solidFill>
                          <w14:schemeClr w14:val="tx1"/>
                        </w14:solidFill>
                      </w14:textFill>
                    </w:rPr>
                    <w:t>。</w:t>
                  </w:r>
                </w:p>
              </w:tc>
              <w:tc>
                <w:tcPr>
                  <w:tcW w:w="657" w:type="dxa"/>
                  <w:gridSpan w:val="2"/>
                  <w:tcBorders>
                    <w:tl2br w:val="nil"/>
                    <w:tr2bl w:val="nil"/>
                  </w:tcBorders>
                  <w:noWrap w:val="0"/>
                  <w:vAlign w:val="center"/>
                </w:tcPr>
                <w:p w14:paraId="639E370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2D2564C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334A37B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B833B7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8003C9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严格落实耕地风险防范措施。对安全利用类耕地，应结合当地主要作物品种和种植习惯，采取农艺调控、低积累品种替代、轮作间作等措施，降低农产品超标风险；对严格管控类耕地，依法划定特定农产品禁止生产区域，鼓励采取调整种植结构、退耕还林还草、退耕还湿、轮作休耕等风险管控措施。</w:t>
                  </w:r>
                </w:p>
              </w:tc>
              <w:tc>
                <w:tcPr>
                  <w:tcW w:w="1844" w:type="dxa"/>
                  <w:gridSpan w:val="2"/>
                  <w:tcBorders>
                    <w:tl2br w:val="nil"/>
                    <w:tr2bl w:val="nil"/>
                  </w:tcBorders>
                  <w:noWrap w:val="0"/>
                  <w:vAlign w:val="center"/>
                </w:tcPr>
                <w:p w14:paraId="1E692DA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595A460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2C2E6BF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64" w:hRule="atLeast"/>
                <w:jc w:val="center"/>
              </w:trPr>
              <w:tc>
                <w:tcPr>
                  <w:tcW w:w="545" w:type="dxa"/>
                  <w:vMerge w:val="continue"/>
                  <w:tcBorders>
                    <w:tl2br w:val="nil"/>
                    <w:tr2bl w:val="nil"/>
                  </w:tcBorders>
                  <w:noWrap w:val="0"/>
                  <w:vAlign w:val="center"/>
                </w:tcPr>
                <w:p w14:paraId="64B2E24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465A6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A39CAB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强化污染地块土壤环境联动监管。抓好退城搬迁工业企业工矿用地土壤环境监督管理，土壤污染重点监管单位拆除设施、设备或者建筑物、构筑物，要制定土壤污染防治工作方案并按要求备案，防范拆除活动造成土壤和地下水污染，切实保障生态环境安全。</w:t>
                  </w:r>
                </w:p>
              </w:tc>
              <w:tc>
                <w:tcPr>
                  <w:tcW w:w="1844" w:type="dxa"/>
                  <w:gridSpan w:val="2"/>
                  <w:tcBorders>
                    <w:tl2br w:val="nil"/>
                    <w:tr2bl w:val="nil"/>
                  </w:tcBorders>
                  <w:noWrap w:val="0"/>
                  <w:vAlign w:val="center"/>
                </w:tcPr>
                <w:p w14:paraId="461837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本项目</w:t>
                  </w:r>
                  <w:r>
                    <w:rPr>
                      <w:rFonts w:hint="eastAsia"/>
                      <w:color w:val="000000" w:themeColor="text1"/>
                      <w:sz w:val="21"/>
                      <w:szCs w:val="21"/>
                      <w:highlight w:val="none"/>
                      <w14:textFill>
                        <w14:solidFill>
                          <w14:schemeClr w14:val="tx1"/>
                        </w14:solidFill>
                      </w14:textFill>
                    </w:rPr>
                    <w:t>不属于土壤污染重点监管单位，不涉及土壤污染。</w:t>
                  </w:r>
                </w:p>
              </w:tc>
              <w:tc>
                <w:tcPr>
                  <w:tcW w:w="657" w:type="dxa"/>
                  <w:gridSpan w:val="2"/>
                  <w:tcBorders>
                    <w:tl2br w:val="nil"/>
                    <w:tr2bl w:val="nil"/>
                  </w:tcBorders>
                  <w:noWrap w:val="0"/>
                  <w:vAlign w:val="center"/>
                </w:tcPr>
                <w:p w14:paraId="1A1DEDD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5FC14F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307" w:hRule="atLeast"/>
                <w:jc w:val="center"/>
              </w:trPr>
              <w:tc>
                <w:tcPr>
                  <w:tcW w:w="545" w:type="dxa"/>
                  <w:vMerge w:val="continue"/>
                  <w:tcBorders>
                    <w:tl2br w:val="nil"/>
                    <w:tr2bl w:val="nil"/>
                  </w:tcBorders>
                  <w:noWrap w:val="0"/>
                  <w:vAlign w:val="center"/>
                </w:tcPr>
                <w:p w14:paraId="4687621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5AB6141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BFF117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t>、严格建设用地准入管理。加强对土地征收、收回、收购的监督管理，对应当开展土壤污染状况调查而未进行调查的地块，以及列入疑似污染地块名单、污染地块名录、建设用地土壤污染风险管控和修复名录且未达到规划用途土壤环境质量要求的地块，不得进入供地程序进行再开发利用，未达到土壤污染风险管控、修复目标的地块，禁止开工建设任何与风险管控、修复无关的项目，不得批准环境影响评价技术文件、建设工程规划许可证等事项。涉及成片污染地块分期分批开发或周边土地开发的，要科学设定开发时序，防止受污染土壤及其后续风险管控和修复措施对周边人群产生影响。</w:t>
                  </w:r>
                </w:p>
              </w:tc>
              <w:tc>
                <w:tcPr>
                  <w:tcW w:w="1844" w:type="dxa"/>
                  <w:gridSpan w:val="2"/>
                  <w:tcBorders>
                    <w:tl2br w:val="nil"/>
                    <w:tr2bl w:val="nil"/>
                  </w:tcBorders>
                  <w:noWrap w:val="0"/>
                  <w:vAlign w:val="center"/>
                </w:tcPr>
                <w:p w14:paraId="5834C73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本项目</w:t>
                  </w:r>
                  <w:r>
                    <w:rPr>
                      <w:rFonts w:hint="eastAsia"/>
                      <w:color w:val="000000" w:themeColor="text1"/>
                      <w:sz w:val="21"/>
                      <w:szCs w:val="21"/>
                      <w:highlight w:val="none"/>
                      <w14:textFill>
                        <w14:solidFill>
                          <w14:schemeClr w14:val="tx1"/>
                        </w14:solidFill>
                      </w14:textFill>
                    </w:rPr>
                    <w:t>不存在土壤污染迹象，不涉及污染地块修复。</w:t>
                  </w:r>
                </w:p>
              </w:tc>
              <w:tc>
                <w:tcPr>
                  <w:tcW w:w="657" w:type="dxa"/>
                  <w:gridSpan w:val="2"/>
                  <w:tcBorders>
                    <w:tl2br w:val="nil"/>
                    <w:tr2bl w:val="nil"/>
                  </w:tcBorders>
                  <w:noWrap w:val="0"/>
                  <w:vAlign w:val="center"/>
                </w:tcPr>
                <w:p w14:paraId="33B8128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2D4AF54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4C6B219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719539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0B0E2F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7</w:t>
                  </w:r>
                  <w:r>
                    <w:rPr>
                      <w:rFonts w:hint="eastAsia"/>
                      <w:color w:val="000000" w:themeColor="text1"/>
                      <w:sz w:val="21"/>
                      <w:szCs w:val="21"/>
                      <w:highlight w:val="none"/>
                      <w14:textFill>
                        <w14:solidFill>
                          <w14:schemeClr w14:val="tx1"/>
                        </w14:solidFill>
                      </w14:textFill>
                    </w:rPr>
                    <w:t>、加强污染地块风险管控及修复。对暂不开发利用的污染地块，实施以防止污染扩散为目的的风险管控，设立标识、发布公告，并组织开展土壤、地表水、地下水、空气环境监测。对需要实施治理与修复的污染地块，应结合土地利用总体规划和城乡规划编制修复方案并组织实施。加强治理与修复施工的环境监理，并严防治理与修复过程中产生废水、废气和固体废物二次污染。</w:t>
                  </w:r>
                </w:p>
              </w:tc>
              <w:tc>
                <w:tcPr>
                  <w:tcW w:w="1844" w:type="dxa"/>
                  <w:gridSpan w:val="2"/>
                  <w:tcBorders>
                    <w:tl2br w:val="nil"/>
                    <w:tr2bl w:val="nil"/>
                  </w:tcBorders>
                  <w:noWrap w:val="0"/>
                  <w:vAlign w:val="center"/>
                </w:tcPr>
                <w:p w14:paraId="424ABDD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本项目不新增占地，不存在土壤污染迹象，不涉及污染地块修复。</w:t>
                  </w:r>
                </w:p>
              </w:tc>
              <w:tc>
                <w:tcPr>
                  <w:tcW w:w="657" w:type="dxa"/>
                  <w:gridSpan w:val="2"/>
                  <w:tcBorders>
                    <w:tl2br w:val="nil"/>
                    <w:tr2bl w:val="nil"/>
                  </w:tcBorders>
                  <w:noWrap w:val="0"/>
                  <w:vAlign w:val="center"/>
                </w:tcPr>
                <w:p w14:paraId="6272FAC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98FFAE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7A6B49C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24B9C2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301552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8</w:t>
                  </w:r>
                  <w:r>
                    <w:rPr>
                      <w:rFonts w:hint="eastAsia"/>
                      <w:color w:val="000000" w:themeColor="text1"/>
                      <w:sz w:val="21"/>
                      <w:szCs w:val="21"/>
                      <w:highlight w:val="none"/>
                      <w14:textFill>
                        <w14:solidFill>
                          <w14:schemeClr w14:val="tx1"/>
                        </w14:solidFill>
                      </w14:textFill>
                    </w:rPr>
                    <w:t>、县级以上地方人民政府应当根据地下水水源条件和需要，建设应急备用饮用水水源，制定应急预案，确保需要时正常使用。应急备用地下水水源结束应急使用后，应当立即停止取水。</w:t>
                  </w:r>
                </w:p>
              </w:tc>
              <w:tc>
                <w:tcPr>
                  <w:tcW w:w="1844" w:type="dxa"/>
                  <w:gridSpan w:val="2"/>
                  <w:tcBorders>
                    <w:tl2br w:val="nil"/>
                    <w:tr2bl w:val="nil"/>
                  </w:tcBorders>
                  <w:noWrap w:val="0"/>
                  <w:vAlign w:val="center"/>
                </w:tcPr>
                <w:p w14:paraId="43249AF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6FD0A96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092A4E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0F35B62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29F1A1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4CEAF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9</w:t>
                  </w:r>
                  <w:r>
                    <w:rPr>
                      <w:rFonts w:hint="eastAsia"/>
                      <w:color w:val="000000" w:themeColor="text1"/>
                      <w:sz w:val="21"/>
                      <w:szCs w:val="21"/>
                      <w:highlight w:val="none"/>
                      <w14:textFill>
                        <w14:solidFill>
                          <w14:schemeClr w14:val="tx1"/>
                        </w14:solidFill>
                      </w14:textFill>
                    </w:rPr>
                    <w:t>、针对存在地下水污染的化工园区、危险废物处置场和生活垃圾填埋场等，实施地下水污染风险管控，因地制宜选择阻隔、制度控制、渗透反应格栅等技术，阻止污染扩散，加强风险管控后期地下水环境监管。</w:t>
                  </w:r>
                </w:p>
              </w:tc>
              <w:tc>
                <w:tcPr>
                  <w:tcW w:w="1844" w:type="dxa"/>
                  <w:gridSpan w:val="2"/>
                  <w:tcBorders>
                    <w:tl2br w:val="nil"/>
                    <w:tr2bl w:val="nil"/>
                  </w:tcBorders>
                  <w:noWrap w:val="0"/>
                  <w:vAlign w:val="center"/>
                </w:tcPr>
                <w:p w14:paraId="436C7AC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930CC9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6115EC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042" w:hRule="atLeast"/>
                <w:jc w:val="center"/>
              </w:trPr>
              <w:tc>
                <w:tcPr>
                  <w:tcW w:w="545" w:type="dxa"/>
                  <w:vMerge w:val="continue"/>
                  <w:tcBorders>
                    <w:tl2br w:val="nil"/>
                    <w:tr2bl w:val="nil"/>
                  </w:tcBorders>
                  <w:noWrap w:val="0"/>
                  <w:vAlign w:val="center"/>
                </w:tcPr>
                <w:p w14:paraId="5F9F5E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805F5F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093F8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10</w:t>
                  </w:r>
                  <w:r>
                    <w:rPr>
                      <w:rFonts w:hint="eastAsia"/>
                      <w:color w:val="000000" w:themeColor="text1"/>
                      <w:sz w:val="21"/>
                      <w:szCs w:val="21"/>
                      <w:highlight w:val="none"/>
                      <w14:textFill>
                        <w14:solidFill>
                          <w14:schemeClr w14:val="tx1"/>
                        </w14:solidFill>
                      </w14:textFill>
                    </w:rPr>
                    <w:t>、地下水污染风险重点管控区执行《唐山市地下水污染防治重点区划定方案（试行）》中管控类区域管理要求。</w:t>
                  </w:r>
                </w:p>
              </w:tc>
              <w:tc>
                <w:tcPr>
                  <w:tcW w:w="1844" w:type="dxa"/>
                  <w:gridSpan w:val="2"/>
                  <w:tcBorders>
                    <w:tl2br w:val="nil"/>
                    <w:tr2bl w:val="nil"/>
                  </w:tcBorders>
                  <w:noWrap w:val="0"/>
                  <w:vAlign w:val="center"/>
                </w:tcPr>
                <w:p w14:paraId="1774C13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本项目选址不涉及地下水污染风险重点管控区。</w:t>
                  </w:r>
                </w:p>
              </w:tc>
              <w:tc>
                <w:tcPr>
                  <w:tcW w:w="657" w:type="dxa"/>
                  <w:gridSpan w:val="2"/>
                  <w:tcBorders>
                    <w:tl2br w:val="nil"/>
                    <w:tr2bl w:val="nil"/>
                  </w:tcBorders>
                  <w:noWrap w:val="0"/>
                  <w:vAlign w:val="center"/>
                </w:tcPr>
                <w:p w14:paraId="0E188A0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5EA2C7E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0" w:hRule="atLeast"/>
                <w:jc w:val="center"/>
              </w:trPr>
              <w:tc>
                <w:tcPr>
                  <w:tcW w:w="545" w:type="dxa"/>
                  <w:vMerge w:val="restart"/>
                  <w:tcBorders>
                    <w:tl2br w:val="nil"/>
                    <w:tr2bl w:val="nil"/>
                  </w:tcBorders>
                  <w:noWrap w:val="0"/>
                  <w:vAlign w:val="center"/>
                </w:tcPr>
                <w:p w14:paraId="7425A40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资源</w:t>
                  </w:r>
                </w:p>
              </w:tc>
              <w:tc>
                <w:tcPr>
                  <w:tcW w:w="403" w:type="dxa"/>
                  <w:vMerge w:val="restart"/>
                  <w:tcBorders>
                    <w:tl2br w:val="nil"/>
                    <w:tr2bl w:val="nil"/>
                  </w:tcBorders>
                  <w:noWrap w:val="0"/>
                  <w:vAlign w:val="center"/>
                </w:tcPr>
                <w:p w14:paraId="53FC9CB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水资源</w:t>
                  </w:r>
                </w:p>
              </w:tc>
              <w:tc>
                <w:tcPr>
                  <w:tcW w:w="591" w:type="dxa"/>
                  <w:gridSpan w:val="2"/>
                  <w:vMerge w:val="restart"/>
                  <w:tcBorders>
                    <w:tl2br w:val="nil"/>
                    <w:tr2bl w:val="nil"/>
                  </w:tcBorders>
                  <w:noWrap w:val="0"/>
                  <w:vAlign w:val="center"/>
                </w:tcPr>
                <w:p w14:paraId="69DE8A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资源利用效率要求</w:t>
                  </w:r>
                </w:p>
              </w:tc>
              <w:tc>
                <w:tcPr>
                  <w:tcW w:w="8618" w:type="dxa"/>
                  <w:gridSpan w:val="2"/>
                  <w:tcBorders>
                    <w:tl2br w:val="nil"/>
                    <w:tr2bl w:val="nil"/>
                  </w:tcBorders>
                  <w:noWrap w:val="0"/>
                  <w:vAlign w:val="center"/>
                </w:tcPr>
                <w:p w14:paraId="52CA499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严格地下水管理。在地下水禁采区内，除为保障地下工程施工安全和生产安全必须进行临时应急取（排）水、为消除对公共安全或者公共利益的危害临时应急取水，以及为开展地下水监测、勘探、试验少量取水外，禁止取用地下水。在地下水限采区内，对当地社会发展和群众生活有重大影响的重点建设项目确需取用地下水的，应按照用</w:t>
                  </w: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减</w:t>
                  </w: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的比例以及先减后加的原则，同步削减其他取水单位的地下水开采量，且不得深层、浅层地下水相互替代。地下水开发利用应当以浅层地下水为主。深层地下水作为战略储备水源、应急供水水源、无替代水源地区的居民生活水源，应当严格限制开采。</w:t>
                  </w:r>
                </w:p>
              </w:tc>
              <w:tc>
                <w:tcPr>
                  <w:tcW w:w="1844" w:type="dxa"/>
                  <w:gridSpan w:val="2"/>
                  <w:tcBorders>
                    <w:tl2br w:val="nil"/>
                    <w:tr2bl w:val="nil"/>
                  </w:tcBorders>
                  <w:noWrap w:val="0"/>
                  <w:vAlign w:val="center"/>
                </w:tcPr>
                <w:p w14:paraId="56E2AD4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highlight w:val="none"/>
                      <w14:textFill>
                        <w14:solidFill>
                          <w14:schemeClr w14:val="tx1"/>
                        </w14:solidFill>
                      </w14:textFill>
                    </w:rPr>
                    <w:t>企业现有取水手续齐全，已取得合法有效的取水许可证（编号：B130284G2021-18116），许可年取水量为2.34万m³/a。本次技改完成后，全厂用水总量仍小于许可取水量，无需新增取水指标，符合取水许可及水资源管理相关规定。</w:t>
                  </w:r>
                </w:p>
              </w:tc>
              <w:tc>
                <w:tcPr>
                  <w:tcW w:w="657" w:type="dxa"/>
                  <w:gridSpan w:val="2"/>
                  <w:tcBorders>
                    <w:tl2br w:val="nil"/>
                    <w:tr2bl w:val="nil"/>
                  </w:tcBorders>
                  <w:noWrap w:val="0"/>
                  <w:vAlign w:val="center"/>
                </w:tcPr>
                <w:p w14:paraId="7E76B20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符合</w:t>
                  </w:r>
                </w:p>
              </w:tc>
            </w:tr>
            <w:tr w14:paraId="20B2964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6C4ACB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2BAEA5D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407BB34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5C8E9B1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在地下水严重超采地区，实施轮作休耕、旱作雨养，适度退减灌溉面积。严格限制开采深层地下水用于农业灌溉。科学利用水库调蓄功能，用足用好外调水，合理利用当地地表水，鼓励利用非常规水，严格控制开采地下水，确需开采地下水的，由县级人民政府逐级报省人民政府批准。县级以上人民政府水行政主管部门应当加强大中型灌区续建配套和现代化改造，改善灌溉条件，提高灌溉用水效率，建设节水型灌区。</w:t>
                  </w:r>
                </w:p>
              </w:tc>
              <w:tc>
                <w:tcPr>
                  <w:tcW w:w="1844" w:type="dxa"/>
                  <w:gridSpan w:val="2"/>
                  <w:tcBorders>
                    <w:tl2br w:val="nil"/>
                    <w:tr2bl w:val="nil"/>
                  </w:tcBorders>
                  <w:noWrap w:val="0"/>
                  <w:vAlign w:val="center"/>
                </w:tcPr>
                <w:p w14:paraId="27A4411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本项目不涉及</w:t>
                  </w:r>
                  <w:r>
                    <w:rPr>
                      <w:rFonts w:hint="eastAsia"/>
                      <w:color w:val="000000" w:themeColor="text1"/>
                      <w:sz w:val="21"/>
                      <w:szCs w:val="21"/>
                      <w:highlight w:val="none"/>
                      <w14:textFill>
                        <w14:solidFill>
                          <w14:schemeClr w14:val="tx1"/>
                        </w14:solidFill>
                      </w14:textFill>
                    </w:rPr>
                    <w:t>。</w:t>
                  </w:r>
                </w:p>
              </w:tc>
              <w:tc>
                <w:tcPr>
                  <w:tcW w:w="657" w:type="dxa"/>
                  <w:gridSpan w:val="2"/>
                  <w:tcBorders>
                    <w:tl2br w:val="nil"/>
                    <w:tr2bl w:val="nil"/>
                  </w:tcBorders>
                  <w:noWrap w:val="0"/>
                  <w:vAlign w:val="center"/>
                </w:tcPr>
                <w:p w14:paraId="61C98DA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2DCD10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88" w:hRule="atLeast"/>
                <w:jc w:val="center"/>
              </w:trPr>
              <w:tc>
                <w:tcPr>
                  <w:tcW w:w="545" w:type="dxa"/>
                  <w:vMerge w:val="continue"/>
                  <w:tcBorders>
                    <w:tl2br w:val="nil"/>
                    <w:tr2bl w:val="nil"/>
                  </w:tcBorders>
                  <w:noWrap w:val="0"/>
                  <w:vAlign w:val="center"/>
                </w:tcPr>
                <w:p w14:paraId="1A1AFB7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2F99EE1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38B7FFA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85AF2F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、把节水作为水资源开发、利用、保护、配置、调度的前提，加强水资源调度管理。开展城镇后备水源建设，大力开发利用非常规水源，提高水资源的利用效率和效益。</w:t>
                  </w:r>
                </w:p>
              </w:tc>
              <w:tc>
                <w:tcPr>
                  <w:tcW w:w="1844" w:type="dxa"/>
                  <w:gridSpan w:val="2"/>
                  <w:tcBorders>
                    <w:tl2br w:val="nil"/>
                    <w:tr2bl w:val="nil"/>
                  </w:tcBorders>
                  <w:noWrap w:val="0"/>
                  <w:vAlign w:val="center"/>
                </w:tcPr>
                <w:p w14:paraId="2DBE83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本项目节约用水。</w:t>
                  </w:r>
                </w:p>
              </w:tc>
              <w:tc>
                <w:tcPr>
                  <w:tcW w:w="657" w:type="dxa"/>
                  <w:gridSpan w:val="2"/>
                  <w:tcBorders>
                    <w:tl2br w:val="nil"/>
                    <w:tr2bl w:val="nil"/>
                  </w:tcBorders>
                  <w:noWrap w:val="0"/>
                  <w:vAlign w:val="center"/>
                </w:tcPr>
                <w:p w14:paraId="77493F5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符合</w:t>
                  </w:r>
                </w:p>
              </w:tc>
            </w:tr>
            <w:tr w14:paraId="7F55272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60C8DEF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restart"/>
                  <w:tcBorders>
                    <w:tl2br w:val="nil"/>
                    <w:tr2bl w:val="nil"/>
                  </w:tcBorders>
                  <w:noWrap w:val="0"/>
                  <w:vAlign w:val="center"/>
                </w:tcPr>
                <w:p w14:paraId="28286CC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能源</w:t>
                  </w:r>
                </w:p>
              </w:tc>
              <w:tc>
                <w:tcPr>
                  <w:tcW w:w="591" w:type="dxa"/>
                  <w:gridSpan w:val="2"/>
                  <w:vMerge w:val="restart"/>
                  <w:tcBorders>
                    <w:tl2br w:val="nil"/>
                    <w:tr2bl w:val="nil"/>
                  </w:tcBorders>
                  <w:noWrap w:val="0"/>
                  <w:vAlign w:val="center"/>
                </w:tcPr>
                <w:p w14:paraId="1D672C9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资源利用效率要求</w:t>
                  </w:r>
                </w:p>
              </w:tc>
              <w:tc>
                <w:tcPr>
                  <w:tcW w:w="8618" w:type="dxa"/>
                  <w:gridSpan w:val="2"/>
                  <w:tcBorders>
                    <w:tl2br w:val="nil"/>
                    <w:tr2bl w:val="nil"/>
                  </w:tcBorders>
                  <w:noWrap w:val="0"/>
                  <w:vAlign w:val="center"/>
                </w:tcPr>
                <w:p w14:paraId="5C3ACE0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禁燃区内不得新建燃烧煤炭、重油、渣油等高污染燃料的设施；现有燃烧高污染燃料的设施，应当限期改用清洁能源；未改用清洁能源替代的高污染燃料设施，应当配套建设先进工艺的脱硫、脱硝、除尘装置或者采取其他措施，控制二氧化硫、氮氧化物和烟尘等排放；仍未达到大气污染物排放标准的，应当停止使用。禁燃区内禁止原煤散烧。</w:t>
                  </w:r>
                </w:p>
              </w:tc>
              <w:tc>
                <w:tcPr>
                  <w:tcW w:w="1844" w:type="dxa"/>
                  <w:gridSpan w:val="2"/>
                  <w:tcBorders>
                    <w:tl2br w:val="nil"/>
                    <w:tr2bl w:val="nil"/>
                  </w:tcBorders>
                  <w:noWrap w:val="0"/>
                  <w:vAlign w:val="center"/>
                </w:tcPr>
                <w:p w14:paraId="1457D2A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本项目不新建高污染燃烧设施。</w:t>
                  </w:r>
                </w:p>
              </w:tc>
              <w:tc>
                <w:tcPr>
                  <w:tcW w:w="657" w:type="dxa"/>
                  <w:gridSpan w:val="2"/>
                  <w:tcBorders>
                    <w:tl2br w:val="nil"/>
                    <w:tr2bl w:val="nil"/>
                  </w:tcBorders>
                  <w:noWrap w:val="0"/>
                  <w:vAlign w:val="center"/>
                </w:tcPr>
                <w:p w14:paraId="29EE45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2651B6F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4712334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5CE8DB5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38368D2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129F35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禁燃区内禁止销售高污染燃料；禁止燃用煤炭及其制品（原料煤和发电、集中供热等具备高效污染治理设施企业用煤除外）；石油焦、油页岩、原油、重油、渣油、煤焦油；非专用锅炉或未配置高效除尘设施的专用锅炉燃用的生物质成型燃料等高污染燃料。</w:t>
                  </w:r>
                </w:p>
              </w:tc>
              <w:tc>
                <w:tcPr>
                  <w:tcW w:w="1844" w:type="dxa"/>
                  <w:gridSpan w:val="2"/>
                  <w:tcBorders>
                    <w:tl2br w:val="nil"/>
                    <w:tr2bl w:val="nil"/>
                  </w:tcBorders>
                  <w:noWrap w:val="0"/>
                  <w:vAlign w:val="center"/>
                </w:tcPr>
                <w:p w14:paraId="313ABEE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不涉及</w:t>
                  </w:r>
                  <w:r>
                    <w:rPr>
                      <w:rFonts w:hint="eastAsia"/>
                      <w:color w:val="000000" w:themeColor="text1"/>
                      <w:sz w:val="21"/>
                      <w:szCs w:val="21"/>
                      <w:highlight w:val="none"/>
                      <w14:textFill>
                        <w14:solidFill>
                          <w14:schemeClr w14:val="tx1"/>
                        </w14:solidFill>
                      </w14:textFill>
                    </w:rPr>
                    <w:t>。</w:t>
                  </w:r>
                </w:p>
              </w:tc>
              <w:tc>
                <w:tcPr>
                  <w:tcW w:w="657" w:type="dxa"/>
                  <w:gridSpan w:val="2"/>
                  <w:tcBorders>
                    <w:tl2br w:val="nil"/>
                    <w:tr2bl w:val="nil"/>
                  </w:tcBorders>
                  <w:noWrap w:val="0"/>
                  <w:vAlign w:val="center"/>
                </w:tcPr>
                <w:p w14:paraId="2A5357A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8E1DF8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EDB9C4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206FB1D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537200D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0EF291C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、新建项目禁止配套建设自备燃煤电站。除热电联产外，禁止审批新建燃煤发电项目，现有多台燃煤机组装机容量合计达到国家规定要求的，可以按照煤炭等量替代的原则建设为大容量燃煤机组。</w:t>
                  </w:r>
                </w:p>
              </w:tc>
              <w:tc>
                <w:tcPr>
                  <w:tcW w:w="1844" w:type="dxa"/>
                  <w:gridSpan w:val="2"/>
                  <w:tcBorders>
                    <w:tl2br w:val="nil"/>
                    <w:tr2bl w:val="nil"/>
                  </w:tcBorders>
                  <w:noWrap w:val="0"/>
                  <w:vAlign w:val="center"/>
                </w:tcPr>
                <w:p w14:paraId="015C532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6C59202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069991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54592AF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55936CD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3F872B6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DA8CE7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、对以煤、石油焦、渣油、重油等为燃料的工业炉窑，加快使用清洁低碳能源以及利用工厂余热、电厂热力等进行替代，全市禁止掺烧高硫石油焦（硫含量大于</w:t>
                  </w: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）。玻璃行业全面禁止掺烧高硫石油焦。</w:t>
                  </w:r>
                </w:p>
              </w:tc>
              <w:tc>
                <w:tcPr>
                  <w:tcW w:w="1844" w:type="dxa"/>
                  <w:gridSpan w:val="2"/>
                  <w:tcBorders>
                    <w:tl2br w:val="nil"/>
                    <w:tr2bl w:val="nil"/>
                  </w:tcBorders>
                  <w:noWrap w:val="0"/>
                  <w:vAlign w:val="center"/>
                </w:tcPr>
                <w:p w14:paraId="09460B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本项目不新建工业炉窑。</w:t>
                  </w:r>
                </w:p>
              </w:tc>
              <w:tc>
                <w:tcPr>
                  <w:tcW w:w="657" w:type="dxa"/>
                  <w:gridSpan w:val="2"/>
                  <w:tcBorders>
                    <w:tl2br w:val="nil"/>
                    <w:tr2bl w:val="nil"/>
                  </w:tcBorders>
                  <w:noWrap w:val="0"/>
                  <w:vAlign w:val="center"/>
                </w:tcPr>
                <w:p w14:paraId="7120714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054B81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3703A5C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7229DD9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4535739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B83D90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、钢铁行业按期完成</w:t>
                  </w:r>
                  <w:r>
                    <w:rPr>
                      <w:color w:val="000000" w:themeColor="text1"/>
                      <w:sz w:val="21"/>
                      <w:szCs w:val="21"/>
                      <w:highlight w:val="none"/>
                      <w14:textFill>
                        <w14:solidFill>
                          <w14:schemeClr w14:val="tx1"/>
                        </w14:solidFill>
                      </w14:textFill>
                    </w:rPr>
                    <w:t>1000</w:t>
                  </w:r>
                  <w:r>
                    <w:rPr>
                      <w:rFonts w:hint="eastAsia"/>
                      <w:color w:val="000000" w:themeColor="text1"/>
                      <w:sz w:val="21"/>
                      <w:szCs w:val="21"/>
                      <w:highlight w:val="none"/>
                      <w14:textFill>
                        <w14:solidFill>
                          <w14:schemeClr w14:val="tx1"/>
                        </w14:solidFill>
                      </w14:textFill>
                    </w:rPr>
                    <w:t>立方米以下高炉、</w:t>
                  </w:r>
                  <w:r>
                    <w:rPr>
                      <w:color w:val="000000" w:themeColor="text1"/>
                      <w:sz w:val="21"/>
                      <w:szCs w:val="21"/>
                      <w:highlight w:val="none"/>
                      <w14:textFill>
                        <w14:solidFill>
                          <w14:schemeClr w14:val="tx1"/>
                        </w14:solidFill>
                      </w14:textFill>
                    </w:rPr>
                    <w:t>100</w:t>
                  </w:r>
                  <w:r>
                    <w:rPr>
                      <w:rFonts w:hint="eastAsia"/>
                      <w:color w:val="000000" w:themeColor="text1"/>
                      <w:sz w:val="21"/>
                      <w:szCs w:val="21"/>
                      <w:highlight w:val="none"/>
                      <w14:textFill>
                        <w14:solidFill>
                          <w14:schemeClr w14:val="tx1"/>
                        </w14:solidFill>
                      </w14:textFill>
                    </w:rPr>
                    <w:t>吨以下转炉升级改造，大力推广高炉富氧喷煤、大球团比等先进冶炼工艺技术，探索推进气基竖炉直接还原炼铁、熔融还原炼铁、富氢燃气炼铁积极推进全废钢电炉工艺，有序实施短流程炼钢改造。焦化行业加快高效精馏系统、高温高压干熄焦等节能技术推广应用。推动工业窑炉、油机、压缩机等重点用能设备进行系统节能改造。</w:t>
                  </w:r>
                </w:p>
              </w:tc>
              <w:tc>
                <w:tcPr>
                  <w:tcW w:w="1844" w:type="dxa"/>
                  <w:gridSpan w:val="2"/>
                  <w:tcBorders>
                    <w:tl2br w:val="nil"/>
                    <w:tr2bl w:val="nil"/>
                  </w:tcBorders>
                  <w:noWrap w:val="0"/>
                  <w:vAlign w:val="center"/>
                </w:tcPr>
                <w:p w14:paraId="73198DD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本项目不属于钢铁、焦化行业。</w:t>
                  </w:r>
                </w:p>
              </w:tc>
              <w:tc>
                <w:tcPr>
                  <w:tcW w:w="657" w:type="dxa"/>
                  <w:gridSpan w:val="2"/>
                  <w:tcBorders>
                    <w:tl2br w:val="nil"/>
                    <w:tr2bl w:val="nil"/>
                  </w:tcBorders>
                  <w:noWrap w:val="0"/>
                  <w:vAlign w:val="center"/>
                </w:tcPr>
                <w:p w14:paraId="740C1EB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BDCDD1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7D15ACD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restart"/>
                  <w:tcBorders>
                    <w:tl2br w:val="nil"/>
                    <w:tr2bl w:val="nil"/>
                  </w:tcBorders>
                  <w:noWrap w:val="0"/>
                  <w:vAlign w:val="center"/>
                </w:tcPr>
                <w:p w14:paraId="21318B0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岸线资源</w:t>
                  </w:r>
                </w:p>
              </w:tc>
              <w:tc>
                <w:tcPr>
                  <w:tcW w:w="591" w:type="dxa"/>
                  <w:gridSpan w:val="2"/>
                  <w:vMerge w:val="restart"/>
                  <w:tcBorders>
                    <w:tl2br w:val="nil"/>
                    <w:tr2bl w:val="nil"/>
                  </w:tcBorders>
                  <w:noWrap w:val="0"/>
                  <w:vAlign w:val="center"/>
                </w:tcPr>
                <w:p w14:paraId="6504FD8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资源利用效率要求</w:t>
                  </w:r>
                </w:p>
              </w:tc>
              <w:tc>
                <w:tcPr>
                  <w:tcW w:w="8618" w:type="dxa"/>
                  <w:gridSpan w:val="2"/>
                  <w:tcBorders>
                    <w:tl2br w:val="nil"/>
                    <w:tr2bl w:val="nil"/>
                  </w:tcBorders>
                  <w:noWrap w:val="0"/>
                  <w:vAlign w:val="center"/>
                </w:tcPr>
                <w:p w14:paraId="1570A80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、除国防安全需要外，禁止在严格保护岸线的保护范围内构建永久性建筑物、围填海、开采海砂、设置排污口等损害海岸地形地貌和生态环境的活动。</w:t>
                  </w:r>
                </w:p>
              </w:tc>
              <w:tc>
                <w:tcPr>
                  <w:tcW w:w="1844" w:type="dxa"/>
                  <w:gridSpan w:val="2"/>
                  <w:tcBorders>
                    <w:tl2br w:val="nil"/>
                    <w:tr2bl w:val="nil"/>
                  </w:tcBorders>
                  <w:noWrap w:val="0"/>
                  <w:vAlign w:val="center"/>
                </w:tcPr>
                <w:p w14:paraId="09A4AF3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6A032D7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F12E13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4F699AB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10892BE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7A5526F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0EB539E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、限制开发岸线严格控制改变海岸自然形态和影响海岸生态功能的开发利用活动，预留未来发展空间，严格海域使用审批。</w:t>
                  </w:r>
                </w:p>
              </w:tc>
              <w:tc>
                <w:tcPr>
                  <w:tcW w:w="1844" w:type="dxa"/>
                  <w:gridSpan w:val="2"/>
                  <w:tcBorders>
                    <w:tl2br w:val="nil"/>
                    <w:tr2bl w:val="nil"/>
                  </w:tcBorders>
                  <w:noWrap w:val="0"/>
                  <w:vAlign w:val="center"/>
                </w:tcPr>
                <w:p w14:paraId="796DF4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547DBE6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1B02E14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5DDEE88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5F5128F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6060CC6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A67F0F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、优化利用岸线应集中布局确需占用海岸线的建设项目，严格控制占用岸线长度，提高投资强度和利用效率，优化海岸线开发利用格局。</w:t>
                  </w:r>
                </w:p>
              </w:tc>
              <w:tc>
                <w:tcPr>
                  <w:tcW w:w="1844" w:type="dxa"/>
                  <w:gridSpan w:val="2"/>
                  <w:tcBorders>
                    <w:tl2br w:val="nil"/>
                    <w:tr2bl w:val="nil"/>
                  </w:tcBorders>
                  <w:noWrap w:val="0"/>
                  <w:vAlign w:val="center"/>
                </w:tcPr>
                <w:p w14:paraId="1B1F154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784639F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5BDA9BE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B59929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403" w:type="dxa"/>
                  <w:vMerge w:val="continue"/>
                  <w:tcBorders>
                    <w:tl2br w:val="nil"/>
                    <w:tr2bl w:val="nil"/>
                  </w:tcBorders>
                  <w:noWrap w:val="0"/>
                  <w:vAlign w:val="center"/>
                </w:tcPr>
                <w:p w14:paraId="0F9D6AE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591" w:type="dxa"/>
                  <w:gridSpan w:val="2"/>
                  <w:vMerge w:val="continue"/>
                  <w:tcBorders>
                    <w:tl2br w:val="nil"/>
                    <w:tr2bl w:val="nil"/>
                  </w:tcBorders>
                  <w:noWrap w:val="0"/>
                  <w:vAlign w:val="center"/>
                </w:tcPr>
                <w:p w14:paraId="55687D2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0EEAE0C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严格限制建设项目占用自然岸线，确需占用自然岸线的建设项目应严格进行论证和审批。海域使用论证报告应明确提出占用自然岸线的必要性与合理性结论。不能满足自然岸线保有率管控目标和要求的建设项目用海不予批准。</w:t>
                  </w:r>
                </w:p>
              </w:tc>
              <w:tc>
                <w:tcPr>
                  <w:tcW w:w="1844" w:type="dxa"/>
                  <w:gridSpan w:val="2"/>
                  <w:tcBorders>
                    <w:tl2br w:val="nil"/>
                    <w:tr2bl w:val="nil"/>
                  </w:tcBorders>
                  <w:noWrap w:val="0"/>
                  <w:vAlign w:val="center"/>
                </w:tcPr>
                <w:p w14:paraId="2563B69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027934E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2E51781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292" w:hRule="atLeast"/>
                <w:jc w:val="center"/>
              </w:trPr>
              <w:tc>
                <w:tcPr>
                  <w:tcW w:w="545" w:type="dxa"/>
                  <w:vMerge w:val="restart"/>
                  <w:tcBorders>
                    <w:tl2br w:val="nil"/>
                    <w:tr2bl w:val="nil"/>
                  </w:tcBorders>
                  <w:noWrap w:val="0"/>
                  <w:vAlign w:val="center"/>
                </w:tcPr>
                <w:p w14:paraId="4D6F7FD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产业总体布局要求</w:t>
                  </w:r>
                </w:p>
              </w:tc>
              <w:tc>
                <w:tcPr>
                  <w:tcW w:w="994" w:type="dxa"/>
                  <w:gridSpan w:val="3"/>
                  <w:vMerge w:val="restart"/>
                  <w:tcBorders>
                    <w:tl2br w:val="nil"/>
                    <w:tr2bl w:val="nil"/>
                  </w:tcBorders>
                  <w:noWrap w:val="0"/>
                  <w:vAlign w:val="center"/>
                </w:tcPr>
                <w:p w14:paraId="78D959D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空间布局约束</w:t>
                  </w:r>
                </w:p>
              </w:tc>
              <w:tc>
                <w:tcPr>
                  <w:tcW w:w="8618" w:type="dxa"/>
                  <w:gridSpan w:val="2"/>
                  <w:tcBorders>
                    <w:tl2br w:val="nil"/>
                    <w:tr2bl w:val="nil"/>
                  </w:tcBorders>
                  <w:noWrap w:val="0"/>
                  <w:vAlign w:val="center"/>
                </w:tcPr>
                <w:p w14:paraId="15E5B69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、严格执行《产业结构调整指导目录》《市场准入负面清单》《河北省禁止投资的产业目录》相关要求。</w:t>
                  </w:r>
                </w:p>
              </w:tc>
              <w:tc>
                <w:tcPr>
                  <w:tcW w:w="1844" w:type="dxa"/>
                  <w:gridSpan w:val="2"/>
                  <w:tcBorders>
                    <w:tl2br w:val="nil"/>
                    <w:tr2bl w:val="nil"/>
                  </w:tcBorders>
                  <w:noWrap w:val="0"/>
                  <w:vAlign w:val="center"/>
                </w:tcPr>
                <w:p w14:paraId="29AF112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严格执行相关要求。</w:t>
                  </w:r>
                </w:p>
              </w:tc>
              <w:tc>
                <w:tcPr>
                  <w:tcW w:w="657" w:type="dxa"/>
                  <w:gridSpan w:val="2"/>
                  <w:tcBorders>
                    <w:tl2br w:val="nil"/>
                    <w:tr2bl w:val="nil"/>
                  </w:tcBorders>
                  <w:noWrap w:val="0"/>
                  <w:vAlign w:val="center"/>
                </w:tcPr>
                <w:p w14:paraId="10CD8F6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2BC5E94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7010F09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36A5B0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882CB2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、严格执行国家产业政策和准入标准，实行生态环境准入清单制度，禁止新建、扩建高污染项目，严格控制高耗能、高排放项目准入。新建、改建和扩建项目按照相关规定实行减量置换或者等量置换。</w:t>
                  </w:r>
                </w:p>
              </w:tc>
              <w:tc>
                <w:tcPr>
                  <w:tcW w:w="1844" w:type="dxa"/>
                  <w:gridSpan w:val="2"/>
                  <w:tcBorders>
                    <w:tl2br w:val="nil"/>
                    <w:tr2bl w:val="nil"/>
                  </w:tcBorders>
                  <w:noWrap w:val="0"/>
                  <w:vAlign w:val="center"/>
                </w:tcPr>
                <w:p w14:paraId="51FFB07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项目符合国家产业政策，符合环境准入清单要求，不属于高耗能、高排放项目。</w:t>
                  </w:r>
                </w:p>
              </w:tc>
              <w:tc>
                <w:tcPr>
                  <w:tcW w:w="657" w:type="dxa"/>
                  <w:gridSpan w:val="2"/>
                  <w:tcBorders>
                    <w:tl2br w:val="nil"/>
                    <w:tr2bl w:val="nil"/>
                  </w:tcBorders>
                  <w:noWrap w:val="0"/>
                  <w:vAlign w:val="center"/>
                </w:tcPr>
                <w:p w14:paraId="4E30719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符合</w:t>
                  </w:r>
                </w:p>
              </w:tc>
            </w:tr>
            <w:tr w14:paraId="248ADBC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7CCFC7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0CE93A7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7D9406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、禁止投资钢铁冶炼、水泥、电解铝、平板玻璃等产能严重过剩行业和炼焦、有色、电石、铁合金等新增产能项目。</w:t>
                  </w:r>
                </w:p>
              </w:tc>
              <w:tc>
                <w:tcPr>
                  <w:tcW w:w="1844" w:type="dxa"/>
                  <w:gridSpan w:val="2"/>
                  <w:tcBorders>
                    <w:tl2br w:val="nil"/>
                    <w:tr2bl w:val="nil"/>
                  </w:tcBorders>
                  <w:noWrap w:val="0"/>
                  <w:vAlign w:val="center"/>
                </w:tcPr>
                <w:p w14:paraId="2707167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1629BF8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0958A3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01CE37E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641C197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7A7CA98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、上一年度环境空气质量年平均浓度不达标的城市、水环境质量未达到要求的市县，相关污染物应按照建设项目所需替代的主要污染物排放总量指标的</w:t>
                  </w: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倍进行削减替代（燃煤发电机组大气污染物排放浓度基本达到燃气轮机组排放限值的除外）。</w:t>
                  </w:r>
                </w:p>
              </w:tc>
              <w:tc>
                <w:tcPr>
                  <w:tcW w:w="1844" w:type="dxa"/>
                  <w:gridSpan w:val="2"/>
                  <w:tcBorders>
                    <w:tl2br w:val="nil"/>
                    <w:tr2bl w:val="nil"/>
                  </w:tcBorders>
                  <w:noWrap w:val="0"/>
                  <w:vAlign w:val="center"/>
                </w:tcPr>
                <w:p w14:paraId="346B562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w:t>
                  </w:r>
                  <w:r>
                    <w:rPr>
                      <w:rFonts w:hint="eastAsia"/>
                      <w:color w:val="000000" w:themeColor="text1"/>
                      <w:sz w:val="21"/>
                      <w:szCs w:val="21"/>
                      <w:highlight w:val="none"/>
                      <w:lang w:eastAsia="zh-CN"/>
                      <w14:textFill>
                        <w14:solidFill>
                          <w14:schemeClr w14:val="tx1"/>
                        </w14:solidFill>
                      </w14:textFill>
                    </w:rPr>
                    <w:t>不涉及主要污染物排放总量指标。</w:t>
                  </w:r>
                </w:p>
              </w:tc>
              <w:tc>
                <w:tcPr>
                  <w:tcW w:w="657" w:type="dxa"/>
                  <w:gridSpan w:val="2"/>
                  <w:tcBorders>
                    <w:tl2br w:val="nil"/>
                    <w:tr2bl w:val="nil"/>
                  </w:tcBorders>
                  <w:noWrap w:val="0"/>
                  <w:vAlign w:val="center"/>
                </w:tcPr>
                <w:p w14:paraId="0E730B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8E4507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298CFB9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B5DAD8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E32B8A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以水泥、平板玻璃、焦化、化工、制药等行业为重点，加快城市建成区重污染企业搬迁改造或关闭退出，县城和主要城镇建成区的重污染企业逐步实施退城搬迁。对不符合国家产业政策、不符合当地产业布局规划的分散燃煤（燃重油等）炉窑，鼓励搬迁入园并进行集中治理，推进治理装备升级改造，建设规模化和集约化工业企业。</w:t>
                  </w:r>
                </w:p>
              </w:tc>
              <w:tc>
                <w:tcPr>
                  <w:tcW w:w="1844" w:type="dxa"/>
                  <w:gridSpan w:val="2"/>
                  <w:tcBorders>
                    <w:tl2br w:val="nil"/>
                    <w:tr2bl w:val="nil"/>
                  </w:tcBorders>
                  <w:noWrap w:val="0"/>
                  <w:vAlign w:val="center"/>
                </w:tcPr>
                <w:p w14:paraId="093BE02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本项目不新增占地，不涉及退城搬迁。</w:t>
                  </w:r>
                </w:p>
              </w:tc>
              <w:tc>
                <w:tcPr>
                  <w:tcW w:w="657" w:type="dxa"/>
                  <w:gridSpan w:val="2"/>
                  <w:tcBorders>
                    <w:tl2br w:val="nil"/>
                    <w:tr2bl w:val="nil"/>
                  </w:tcBorders>
                  <w:noWrap w:val="0"/>
                  <w:vAlign w:val="center"/>
                </w:tcPr>
                <w:p w14:paraId="752539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8E6394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483AE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761304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AD1DD3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t>、在优先保护类耕地集中区域严格控制新建有色金属冶炼、石油加工、化工、焦化、电镀、制革、铅蓄电池等行业企业，防止对耕地造成污染。</w:t>
                  </w:r>
                </w:p>
              </w:tc>
              <w:tc>
                <w:tcPr>
                  <w:tcW w:w="1844" w:type="dxa"/>
                  <w:gridSpan w:val="2"/>
                  <w:tcBorders>
                    <w:tl2br w:val="nil"/>
                    <w:tr2bl w:val="nil"/>
                  </w:tcBorders>
                  <w:noWrap w:val="0"/>
                  <w:vAlign w:val="center"/>
                </w:tcPr>
                <w:p w14:paraId="1A85239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6C31E2E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6D22A91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6F4A733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45C5645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785B1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7</w:t>
                  </w:r>
                  <w:r>
                    <w:rPr>
                      <w:rFonts w:hint="eastAsia"/>
                      <w:color w:val="000000" w:themeColor="text1"/>
                      <w:sz w:val="21"/>
                      <w:szCs w:val="21"/>
                      <w:highlight w:val="none"/>
                      <w14:textFill>
                        <w14:solidFill>
                          <w14:schemeClr w14:val="tx1"/>
                        </w14:solidFill>
                      </w14:textFill>
                    </w:rPr>
                    <w:t>、新建、改建、扩建“两高”项目须符合生态环境保护法律法规和相关法定规划，满足重点污染物排放总量控制、碳排放达峰目标、生态环境准入清单、相关规划环评和相应行业建设项目环境准入条件、环评文件审批原则要求。</w:t>
                  </w:r>
                </w:p>
              </w:tc>
              <w:tc>
                <w:tcPr>
                  <w:tcW w:w="1844" w:type="dxa"/>
                  <w:gridSpan w:val="2"/>
                  <w:tcBorders>
                    <w:tl2br w:val="nil"/>
                    <w:tr2bl w:val="nil"/>
                  </w:tcBorders>
                  <w:noWrap w:val="0"/>
                  <w:vAlign w:val="center"/>
                </w:tcPr>
                <w:p w14:paraId="6FC4367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本项目不属于“两高”项目。</w:t>
                  </w:r>
                </w:p>
              </w:tc>
              <w:tc>
                <w:tcPr>
                  <w:tcW w:w="657" w:type="dxa"/>
                  <w:gridSpan w:val="2"/>
                  <w:tcBorders>
                    <w:tl2br w:val="nil"/>
                    <w:tr2bl w:val="nil"/>
                  </w:tcBorders>
                  <w:noWrap w:val="0"/>
                  <w:vAlign w:val="center"/>
                </w:tcPr>
                <w:p w14:paraId="317F851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16E3EC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53E6EB0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14A9C1B">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3796694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8</w:t>
                  </w:r>
                  <w:r>
                    <w:rPr>
                      <w:rFonts w:hint="eastAsia"/>
                      <w:color w:val="000000" w:themeColor="text1"/>
                      <w:sz w:val="21"/>
                      <w:szCs w:val="21"/>
                      <w:highlight w:val="none"/>
                      <w14:textFill>
                        <w14:solidFill>
                          <w14:schemeClr w14:val="tx1"/>
                        </w14:solidFill>
                      </w14:textFill>
                    </w:rPr>
                    <w:t>、鼓励钢铁冶炼项目建设依托具备条件的现有钢铁冶炼生产厂区集聚发展，在现有厂区建设钢铁冶炼项目没有粗钢产能建设规模限制要求。对确有必要新选址（指不能与现有生产厂区共用公辅设施，下同）建设的钢铁冶炼项目粗钢产能规模要求如下：沿海地区（指拥有海岸线的设区市）不低于</w:t>
                  </w:r>
                  <w:r>
                    <w:rPr>
                      <w:color w:val="000000" w:themeColor="text1"/>
                      <w:sz w:val="21"/>
                      <w:szCs w:val="21"/>
                      <w:highlight w:val="none"/>
                      <w14:textFill>
                        <w14:solidFill>
                          <w14:schemeClr w14:val="tx1"/>
                        </w14:solidFill>
                      </w14:textFill>
                    </w:rPr>
                    <w:t>2000</w:t>
                  </w:r>
                  <w:r>
                    <w:rPr>
                      <w:rFonts w:hint="eastAsia"/>
                      <w:color w:val="000000" w:themeColor="text1"/>
                      <w:sz w:val="21"/>
                      <w:szCs w:val="21"/>
                      <w:highlight w:val="none"/>
                      <w14:textFill>
                        <w14:solidFill>
                          <w14:schemeClr w14:val="tx1"/>
                        </w14:solidFill>
                      </w14:textFill>
                    </w:rPr>
                    <w:t>万吨</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年（允许分两期建设，</w:t>
                  </w: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年内全部建成，一期不低于</w:t>
                  </w:r>
                  <w:r>
                    <w:rPr>
                      <w:color w:val="000000" w:themeColor="text1"/>
                      <w:sz w:val="21"/>
                      <w:szCs w:val="21"/>
                      <w:highlight w:val="none"/>
                      <w14:textFill>
                        <w14:solidFill>
                          <w14:schemeClr w14:val="tx1"/>
                        </w14:solidFill>
                      </w14:textFill>
                    </w:rPr>
                    <w:t>1000</w:t>
                  </w:r>
                  <w:r>
                    <w:rPr>
                      <w:rFonts w:hint="eastAsia"/>
                      <w:color w:val="000000" w:themeColor="text1"/>
                      <w:sz w:val="21"/>
                      <w:szCs w:val="21"/>
                      <w:highlight w:val="none"/>
                      <w14:textFill>
                        <w14:solidFill>
                          <w14:schemeClr w14:val="tx1"/>
                        </w14:solidFill>
                      </w14:textFill>
                    </w:rPr>
                    <w:t>万吨</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年）。</w:t>
                  </w:r>
                </w:p>
              </w:tc>
              <w:tc>
                <w:tcPr>
                  <w:tcW w:w="1844" w:type="dxa"/>
                  <w:gridSpan w:val="2"/>
                  <w:tcBorders>
                    <w:tl2br w:val="nil"/>
                    <w:tr2bl w:val="nil"/>
                  </w:tcBorders>
                  <w:noWrap w:val="0"/>
                  <w:vAlign w:val="center"/>
                </w:tcPr>
                <w:p w14:paraId="05D2712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047C7246">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7224195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72" w:hRule="atLeast"/>
                <w:jc w:val="center"/>
              </w:trPr>
              <w:tc>
                <w:tcPr>
                  <w:tcW w:w="545" w:type="dxa"/>
                  <w:vMerge w:val="continue"/>
                  <w:tcBorders>
                    <w:tl2br w:val="nil"/>
                    <w:tr2bl w:val="nil"/>
                  </w:tcBorders>
                  <w:noWrap w:val="0"/>
                  <w:vAlign w:val="center"/>
                </w:tcPr>
                <w:p w14:paraId="19F4CD9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5B9B07B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AD71DB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9</w:t>
                  </w:r>
                  <w:r>
                    <w:rPr>
                      <w:rFonts w:hint="eastAsia"/>
                      <w:color w:val="000000" w:themeColor="text1"/>
                      <w:sz w:val="21"/>
                      <w:szCs w:val="21"/>
                      <w:highlight w:val="none"/>
                      <w14:textFill>
                        <w14:solidFill>
                          <w14:schemeClr w14:val="tx1"/>
                        </w14:solidFill>
                      </w14:textFill>
                    </w:rPr>
                    <w:t>、严格规范危化品管理，逐步退出人口聚集区内危化品的生产、储存、加工机构，加快实施重污染企业搬迁；加强居住区生态环境防护，建设封闭式石化园区，严格控制危化品仓储基地、运输路径等，减少对居民生活影响。</w:t>
                  </w:r>
                </w:p>
              </w:tc>
              <w:tc>
                <w:tcPr>
                  <w:tcW w:w="1844" w:type="dxa"/>
                  <w:gridSpan w:val="2"/>
                  <w:tcBorders>
                    <w:tl2br w:val="nil"/>
                    <w:tr2bl w:val="nil"/>
                  </w:tcBorders>
                  <w:noWrap w:val="0"/>
                  <w:vAlign w:val="center"/>
                </w:tcPr>
                <w:p w14:paraId="116B646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7F1DEE9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5E08D6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1110" w:hRule="atLeast"/>
                <w:jc w:val="center"/>
              </w:trPr>
              <w:tc>
                <w:tcPr>
                  <w:tcW w:w="545" w:type="dxa"/>
                  <w:vMerge w:val="continue"/>
                  <w:tcBorders>
                    <w:tl2br w:val="nil"/>
                    <w:tr2bl w:val="nil"/>
                  </w:tcBorders>
                  <w:noWrap w:val="0"/>
                  <w:vAlign w:val="center"/>
                </w:tcPr>
                <w:p w14:paraId="58F913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B63FCB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485BB5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10</w:t>
                  </w:r>
                  <w:r>
                    <w:rPr>
                      <w:rFonts w:hint="eastAsia"/>
                      <w:color w:val="000000" w:themeColor="text1"/>
                      <w:sz w:val="21"/>
                      <w:szCs w:val="21"/>
                      <w:highlight w:val="none"/>
                      <w14:textFill>
                        <w14:solidFill>
                          <w14:schemeClr w14:val="tx1"/>
                        </w14:solidFill>
                      </w14:textFill>
                    </w:rPr>
                    <w:t>、严格控制尿素、磷铵、电石、烧碱、聚氯乙烯、纯碱、黄磷等过剩行业新增产能，相关部门和机构不得违规办理土地（海域）供应、能评、环评和新增授信等业务，对符合政策要求的先进工艺改造提升项目应实行等量或减量置换。有序推进曹妃甸石化产业基地建设。未纳入《石化产业规划布局方案》的新建炼化项目一律不得建设。强化安全卫生防护距离和规划环评约束，不符合要求的化工园区、化工品储存项目要关闭退出，危险化学品生产企业搬迁改造及新建化工项目必须进入规范化工园区。</w:t>
                  </w:r>
                </w:p>
              </w:tc>
              <w:tc>
                <w:tcPr>
                  <w:tcW w:w="1844" w:type="dxa"/>
                  <w:gridSpan w:val="2"/>
                  <w:tcBorders>
                    <w:tl2br w:val="nil"/>
                    <w:tr2bl w:val="nil"/>
                  </w:tcBorders>
                  <w:noWrap w:val="0"/>
                  <w:vAlign w:val="center"/>
                </w:tcPr>
                <w:p w14:paraId="7AB4DB6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35ADBB8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523A605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3400C91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0CE8487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868CA1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11</w:t>
                  </w:r>
                  <w:r>
                    <w:rPr>
                      <w:rFonts w:hint="eastAsia"/>
                      <w:color w:val="000000" w:themeColor="text1"/>
                      <w:sz w:val="21"/>
                      <w:szCs w:val="21"/>
                      <w:highlight w:val="none"/>
                      <w14:textFill>
                        <w14:solidFill>
                          <w14:schemeClr w14:val="tx1"/>
                        </w14:solidFill>
                      </w14:textFill>
                    </w:rPr>
                    <w:t>、逐步淘汰</w:t>
                  </w:r>
                  <w:r>
                    <w:rPr>
                      <w:color w:val="000000" w:themeColor="text1"/>
                      <w:sz w:val="21"/>
                      <w:szCs w:val="21"/>
                      <w:highlight w:val="none"/>
                      <w14:textFill>
                        <w14:solidFill>
                          <w14:schemeClr w14:val="tx1"/>
                        </w14:solidFill>
                      </w14:textFill>
                    </w:rPr>
                    <w:t>180</w:t>
                  </w:r>
                  <w:r>
                    <w:rPr>
                      <w:rFonts w:hint="eastAsia"/>
                      <w:color w:val="000000" w:themeColor="text1"/>
                      <w:sz w:val="21"/>
                      <w:szCs w:val="21"/>
                      <w:highlight w:val="none"/>
                      <w14:textFill>
                        <w14:solidFill>
                          <w14:schemeClr w14:val="tx1"/>
                        </w14:solidFill>
                      </w14:textFill>
                    </w:rPr>
                    <w:t>平方米以下烧结机，逐步淘汰平面步进式烧结机，按照有关规定改造升级为大型带式烧结机；禁止新建球团竖炉，现有球团竖炉炉役到期不得大修，加快推动以链篦机</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回转窑或带式焙烧机工艺取代球团竖炉工艺，鼓励企业之间通过合资合作方式建设大型链篦机</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回转窑、带式焙烧机；加快推动以密闭皮带机取代汽车转运厂内大宗物料。</w:t>
                  </w:r>
                </w:p>
              </w:tc>
              <w:tc>
                <w:tcPr>
                  <w:tcW w:w="1844" w:type="dxa"/>
                  <w:gridSpan w:val="2"/>
                  <w:tcBorders>
                    <w:tl2br w:val="nil"/>
                    <w:tr2bl w:val="nil"/>
                  </w:tcBorders>
                  <w:noWrap w:val="0"/>
                  <w:vAlign w:val="center"/>
                </w:tcPr>
                <w:p w14:paraId="1C52563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54E213A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19770D9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742" w:hRule="atLeast"/>
                <w:jc w:val="center"/>
              </w:trPr>
              <w:tc>
                <w:tcPr>
                  <w:tcW w:w="545" w:type="dxa"/>
                  <w:vMerge w:val="continue"/>
                  <w:tcBorders>
                    <w:tl2br w:val="nil"/>
                    <w:tr2bl w:val="nil"/>
                  </w:tcBorders>
                  <w:noWrap w:val="0"/>
                  <w:vAlign w:val="center"/>
                </w:tcPr>
                <w:p w14:paraId="0E7E1DF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EC6485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03063F44">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12</w:t>
                  </w:r>
                  <w:r>
                    <w:rPr>
                      <w:rFonts w:hint="eastAsia"/>
                      <w:color w:val="000000" w:themeColor="text1"/>
                      <w:sz w:val="21"/>
                      <w:szCs w:val="21"/>
                      <w:highlight w:val="none"/>
                      <w14:textFill>
                        <w14:solidFill>
                          <w14:schemeClr w14:val="tx1"/>
                        </w14:solidFill>
                      </w14:textFill>
                    </w:rPr>
                    <w:t>、技术装备全面升级，高炉逐步达到</w:t>
                  </w:r>
                  <w:r>
                    <w:rPr>
                      <w:color w:val="000000" w:themeColor="text1"/>
                      <w:sz w:val="21"/>
                      <w:szCs w:val="21"/>
                      <w:highlight w:val="none"/>
                      <w14:textFill>
                        <w14:solidFill>
                          <w14:schemeClr w14:val="tx1"/>
                        </w14:solidFill>
                      </w14:textFill>
                    </w:rPr>
                    <w:t>1000</w:t>
                  </w:r>
                  <w:r>
                    <w:rPr>
                      <w:rFonts w:hint="eastAsia"/>
                      <w:color w:val="000000" w:themeColor="text1"/>
                      <w:sz w:val="21"/>
                      <w:szCs w:val="21"/>
                      <w:highlight w:val="none"/>
                      <w14:textFill>
                        <w14:solidFill>
                          <w14:schemeClr w14:val="tx1"/>
                        </w14:solidFill>
                      </w14:textFill>
                    </w:rPr>
                    <w:t>立方米及以上、转炉逐步达到</w:t>
                  </w:r>
                  <w:r>
                    <w:rPr>
                      <w:color w:val="000000" w:themeColor="text1"/>
                      <w:sz w:val="21"/>
                      <w:szCs w:val="21"/>
                      <w:highlight w:val="none"/>
                      <w14:textFill>
                        <w14:solidFill>
                          <w14:schemeClr w14:val="tx1"/>
                        </w14:solidFill>
                      </w14:textFill>
                    </w:rPr>
                    <w:t>100</w:t>
                  </w:r>
                  <w:r>
                    <w:rPr>
                      <w:rFonts w:hint="eastAsia"/>
                      <w:color w:val="000000" w:themeColor="text1"/>
                      <w:sz w:val="21"/>
                      <w:szCs w:val="21"/>
                      <w:highlight w:val="none"/>
                      <w14:textFill>
                        <w14:solidFill>
                          <w14:schemeClr w14:val="tx1"/>
                        </w14:solidFill>
                      </w14:textFill>
                    </w:rPr>
                    <w:t>吨及以上、烧结机逐步达到</w:t>
                  </w:r>
                  <w:r>
                    <w:rPr>
                      <w:color w:val="000000" w:themeColor="text1"/>
                      <w:sz w:val="21"/>
                      <w:szCs w:val="21"/>
                      <w:highlight w:val="none"/>
                      <w14:textFill>
                        <w14:solidFill>
                          <w14:schemeClr w14:val="tx1"/>
                        </w14:solidFill>
                      </w14:textFill>
                    </w:rPr>
                    <w:t>180</w:t>
                  </w:r>
                  <w:r>
                    <w:rPr>
                      <w:rFonts w:hint="eastAsia"/>
                      <w:color w:val="000000" w:themeColor="text1"/>
                      <w:sz w:val="21"/>
                      <w:szCs w:val="21"/>
                      <w:highlight w:val="none"/>
                      <w14:textFill>
                        <w14:solidFill>
                          <w14:schemeClr w14:val="tx1"/>
                        </w14:solidFill>
                      </w14:textFill>
                    </w:rPr>
                    <w:t>平方米烧结机及以上。严格按照国家规定的产能减量置换政策实施改造升级，坚决杜绝借改造升级之机变相扩大生产能力；推广“一罐到底”工艺或采用鱼雷罐车运输铁水。</w:t>
                  </w:r>
                </w:p>
              </w:tc>
              <w:tc>
                <w:tcPr>
                  <w:tcW w:w="1844" w:type="dxa"/>
                  <w:gridSpan w:val="2"/>
                  <w:tcBorders>
                    <w:tl2br w:val="nil"/>
                    <w:tr2bl w:val="nil"/>
                  </w:tcBorders>
                  <w:noWrap w:val="0"/>
                  <w:vAlign w:val="center"/>
                </w:tcPr>
                <w:p w14:paraId="4DC1F67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21A28BE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15FC72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3493650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03D9230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6B72769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13</w:t>
                  </w:r>
                  <w:r>
                    <w:rPr>
                      <w:rFonts w:hint="eastAsia"/>
                      <w:color w:val="000000" w:themeColor="text1"/>
                      <w:sz w:val="21"/>
                      <w:szCs w:val="21"/>
                      <w:highlight w:val="none"/>
                      <w14:textFill>
                        <w14:solidFill>
                          <w14:schemeClr w14:val="tx1"/>
                        </w14:solidFill>
                      </w14:textFill>
                    </w:rPr>
                    <w:t>、尚未配备脱硫装置的球团竖炉，立即停产淘汰，不再予以改造；烧结厂房实现全封闭。</w:t>
                  </w:r>
                </w:p>
              </w:tc>
              <w:tc>
                <w:tcPr>
                  <w:tcW w:w="1844" w:type="dxa"/>
                  <w:gridSpan w:val="2"/>
                  <w:tcBorders>
                    <w:tl2br w:val="nil"/>
                    <w:tr2bl w:val="nil"/>
                  </w:tcBorders>
                  <w:noWrap w:val="0"/>
                  <w:vAlign w:val="center"/>
                </w:tcPr>
                <w:p w14:paraId="40BC613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46DD851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BD6F4A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59" w:hRule="atLeast"/>
                <w:jc w:val="center"/>
              </w:trPr>
              <w:tc>
                <w:tcPr>
                  <w:tcW w:w="545" w:type="dxa"/>
                  <w:vMerge w:val="continue"/>
                  <w:tcBorders>
                    <w:tl2br w:val="nil"/>
                    <w:tr2bl w:val="nil"/>
                  </w:tcBorders>
                  <w:noWrap w:val="0"/>
                  <w:vAlign w:val="center"/>
                </w:tcPr>
                <w:p w14:paraId="2C4E4DC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37FD73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54BB50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14</w:t>
                  </w:r>
                  <w:r>
                    <w:rPr>
                      <w:rFonts w:hint="eastAsia"/>
                      <w:color w:val="000000" w:themeColor="text1"/>
                      <w:sz w:val="21"/>
                      <w:szCs w:val="21"/>
                      <w:highlight w:val="none"/>
                      <w14:textFill>
                        <w14:solidFill>
                          <w14:schemeClr w14:val="tx1"/>
                        </w14:solidFill>
                      </w14:textFill>
                    </w:rPr>
                    <w:t>、严禁备案和新建扩大产能的水泥熟料、平板玻璃项目。确有必要新建的，必须制定产能置换方案，实施产能置换。用于产能置换的生产线，必须在建设项目投产前关停并完成拆除退出。</w:t>
                  </w:r>
                </w:p>
              </w:tc>
              <w:tc>
                <w:tcPr>
                  <w:tcW w:w="1844" w:type="dxa"/>
                  <w:gridSpan w:val="2"/>
                  <w:tcBorders>
                    <w:tl2br w:val="nil"/>
                    <w:tr2bl w:val="nil"/>
                  </w:tcBorders>
                  <w:noWrap w:val="0"/>
                  <w:vAlign w:val="center"/>
                </w:tcPr>
                <w:p w14:paraId="0F6CE341">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7CE3620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1B6D23B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13418803">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16D627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021B414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15</w:t>
                  </w:r>
                  <w:r>
                    <w:rPr>
                      <w:rFonts w:hint="eastAsia"/>
                      <w:color w:val="000000" w:themeColor="text1"/>
                      <w:sz w:val="21"/>
                      <w:szCs w:val="21"/>
                      <w:highlight w:val="none"/>
                      <w14:textFill>
                        <w14:solidFill>
                          <w14:schemeClr w14:val="tx1"/>
                        </w14:solidFill>
                      </w14:textFill>
                    </w:rPr>
                    <w:t>、引导和支持优势水泥熟料企业开展对单独粉磨企业的整合。</w:t>
                  </w:r>
                </w:p>
              </w:tc>
              <w:tc>
                <w:tcPr>
                  <w:tcW w:w="1844" w:type="dxa"/>
                  <w:gridSpan w:val="2"/>
                  <w:tcBorders>
                    <w:tl2br w:val="nil"/>
                    <w:tr2bl w:val="nil"/>
                  </w:tcBorders>
                  <w:noWrap w:val="0"/>
                  <w:vAlign w:val="center"/>
                </w:tcPr>
                <w:p w14:paraId="47426DD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6CAF659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255FC7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374" w:hRule="atLeast"/>
                <w:jc w:val="center"/>
              </w:trPr>
              <w:tc>
                <w:tcPr>
                  <w:tcW w:w="545" w:type="dxa"/>
                  <w:vMerge w:val="continue"/>
                  <w:tcBorders>
                    <w:tl2br w:val="nil"/>
                    <w:tr2bl w:val="nil"/>
                  </w:tcBorders>
                  <w:noWrap w:val="0"/>
                  <w:vAlign w:val="center"/>
                </w:tcPr>
                <w:p w14:paraId="6E7C367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3395C162">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176EFD8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16</w:t>
                  </w:r>
                  <w:r>
                    <w:rPr>
                      <w:rFonts w:hint="eastAsia"/>
                      <w:color w:val="000000" w:themeColor="text1"/>
                      <w:sz w:val="21"/>
                      <w:szCs w:val="21"/>
                      <w:highlight w:val="none"/>
                      <w14:textFill>
                        <w14:solidFill>
                          <w14:schemeClr w14:val="tx1"/>
                        </w14:solidFill>
                      </w14:textFill>
                    </w:rPr>
                    <w:t>、平板玻璃行业生产布局应满足《平板玻璃行业规范条件》要求。</w:t>
                  </w:r>
                </w:p>
              </w:tc>
              <w:tc>
                <w:tcPr>
                  <w:tcW w:w="1844" w:type="dxa"/>
                  <w:gridSpan w:val="2"/>
                  <w:tcBorders>
                    <w:tl2br w:val="nil"/>
                    <w:tr2bl w:val="nil"/>
                  </w:tcBorders>
                  <w:noWrap w:val="0"/>
                  <w:vAlign w:val="center"/>
                </w:tcPr>
                <w:p w14:paraId="6059B8F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0C679C6F">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3205F39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926" w:hRule="atLeast"/>
                <w:jc w:val="center"/>
              </w:trPr>
              <w:tc>
                <w:tcPr>
                  <w:tcW w:w="545" w:type="dxa"/>
                  <w:vMerge w:val="continue"/>
                  <w:tcBorders>
                    <w:tl2br w:val="nil"/>
                    <w:tr2bl w:val="nil"/>
                  </w:tcBorders>
                  <w:noWrap w:val="0"/>
                  <w:vAlign w:val="center"/>
                </w:tcPr>
                <w:p w14:paraId="349E824A">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777088E5">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70F08267">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17</w:t>
                  </w:r>
                  <w:r>
                    <w:rPr>
                      <w:rFonts w:hint="eastAsia"/>
                      <w:color w:val="000000" w:themeColor="text1"/>
                      <w:sz w:val="21"/>
                      <w:szCs w:val="21"/>
                      <w:highlight w:val="none"/>
                      <w14:textFill>
                        <w14:solidFill>
                          <w14:schemeClr w14:val="tx1"/>
                        </w14:solidFill>
                      </w14:textFill>
                    </w:rPr>
                    <w:t>、严格控制矿产资源开采总量，重点压减与煤炭、水泥、玻璃等过剩产能行业配套的矿产资源开采总量。停止新批石膏矿项目、平原区煤炭开发项目。暂停新增生产能力的产能过剩矿产开发项目审批，已有矿山暂停扩大矿区范围审批。暂停新上露天矿产开发项目审批，已有露天矿山暂停扩大矿区范围审批。暂停新上达不到工业品位的铁矿开发项目审批。做好矿区开发生态环境影响评估论证，论证不通过，一律禁止开发。</w:t>
                  </w:r>
                </w:p>
              </w:tc>
              <w:tc>
                <w:tcPr>
                  <w:tcW w:w="1844" w:type="dxa"/>
                  <w:gridSpan w:val="2"/>
                  <w:tcBorders>
                    <w:tl2br w:val="nil"/>
                    <w:tr2bl w:val="nil"/>
                  </w:tcBorders>
                  <w:noWrap w:val="0"/>
                  <w:vAlign w:val="center"/>
                </w:tcPr>
                <w:p w14:paraId="4980685E">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1BD9E818">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r w14:paraId="0642F1C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gridAfter w:val="1"/>
                <w:wAfter w:w="1" w:type="dxa"/>
                <w:trHeight w:val="592" w:hRule="atLeast"/>
                <w:jc w:val="center"/>
              </w:trPr>
              <w:tc>
                <w:tcPr>
                  <w:tcW w:w="545" w:type="dxa"/>
                  <w:vMerge w:val="continue"/>
                  <w:tcBorders>
                    <w:tl2br w:val="nil"/>
                    <w:tr2bl w:val="nil"/>
                  </w:tcBorders>
                  <w:noWrap w:val="0"/>
                  <w:vAlign w:val="center"/>
                </w:tcPr>
                <w:p w14:paraId="11BFEC4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994" w:type="dxa"/>
                  <w:gridSpan w:val="3"/>
                  <w:vMerge w:val="continue"/>
                  <w:tcBorders>
                    <w:tl2br w:val="nil"/>
                    <w:tr2bl w:val="nil"/>
                  </w:tcBorders>
                  <w:noWrap w:val="0"/>
                  <w:vAlign w:val="center"/>
                </w:tcPr>
                <w:p w14:paraId="601A446C">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p>
              </w:tc>
              <w:tc>
                <w:tcPr>
                  <w:tcW w:w="8618" w:type="dxa"/>
                  <w:gridSpan w:val="2"/>
                  <w:tcBorders>
                    <w:tl2br w:val="nil"/>
                    <w:tr2bl w:val="nil"/>
                  </w:tcBorders>
                  <w:noWrap w:val="0"/>
                  <w:vAlign w:val="center"/>
                </w:tcPr>
                <w:p w14:paraId="24C809A9">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18</w:t>
                  </w:r>
                  <w:r>
                    <w:rPr>
                      <w:rFonts w:hint="eastAsia"/>
                      <w:color w:val="000000" w:themeColor="text1"/>
                      <w:sz w:val="21"/>
                      <w:szCs w:val="21"/>
                      <w:highlight w:val="none"/>
                      <w14:textFill>
                        <w14:solidFill>
                          <w14:schemeClr w14:val="tx1"/>
                        </w14:solidFill>
                      </w14:textFill>
                    </w:rPr>
                    <w:t>、实施矿山关闭和停批。依法关闭严重破坏生态环境和严重浪费水资源的矿山；依法关闭列入煤炭去产能计划的煤矿；依法关闭限期整改仍达不到生态环境保护要求和环保、安全标准的矿山；依法关闭现有石膏矿和严重污染环境的石灰窑、小建材加工点。</w:t>
                  </w:r>
                </w:p>
              </w:tc>
              <w:tc>
                <w:tcPr>
                  <w:tcW w:w="1844" w:type="dxa"/>
                  <w:gridSpan w:val="2"/>
                  <w:tcBorders>
                    <w:tl2br w:val="nil"/>
                    <w:tr2bl w:val="nil"/>
                  </w:tcBorders>
                  <w:noWrap w:val="0"/>
                  <w:vAlign w:val="center"/>
                </w:tcPr>
                <w:p w14:paraId="14533FDD">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p>
              </w:tc>
              <w:tc>
                <w:tcPr>
                  <w:tcW w:w="657" w:type="dxa"/>
                  <w:gridSpan w:val="2"/>
                  <w:tcBorders>
                    <w:tl2br w:val="nil"/>
                    <w:tr2bl w:val="nil"/>
                  </w:tcBorders>
                  <w:noWrap w:val="0"/>
                  <w:vAlign w:val="center"/>
                </w:tcPr>
                <w:p w14:paraId="304C98D0">
                  <w:pPr>
                    <w:keepNext w:val="0"/>
                    <w:keepLines w:val="0"/>
                    <w:pageBreakBefore w:val="0"/>
                    <w:widowControl w:val="0"/>
                    <w:shd w:val="clea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不涉及</w:t>
                  </w:r>
                </w:p>
              </w:tc>
            </w:tr>
          </w:tbl>
          <w:p w14:paraId="0D0E06D2">
            <w:pPr>
              <w:keepNext w:val="0"/>
              <w:keepLines w:val="0"/>
              <w:pageBreakBefore w:val="0"/>
              <w:widowControl w:val="0"/>
              <w:numPr>
                <w:ilvl w:val="0"/>
                <w:numId w:val="0"/>
              </w:numPr>
              <w:shd w:val="clear"/>
              <w:tabs>
                <w:tab w:val="left" w:pos="0"/>
              </w:tabs>
              <w:kinsoku/>
              <w:wordWrap/>
              <w:overflowPunct/>
              <w:topLinePunct w:val="0"/>
              <w:autoSpaceDE/>
              <w:autoSpaceDN/>
              <w:bidi w:val="0"/>
              <w:adjustRightInd/>
              <w:snapToGrid/>
              <w:ind w:leftChars="0"/>
              <w:jc w:val="both"/>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6527123C">
            <w:pPr>
              <w:pStyle w:val="15"/>
              <w:shd w:val="clea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0697C252">
            <w:pPr>
              <w:shd w:val="clea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1B14962A">
            <w:pPr>
              <w:pStyle w:val="15"/>
              <w:shd w:val="clea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5E9655C0">
            <w:pPr>
              <w:shd w:val="clea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40F42499">
            <w:pPr>
              <w:pStyle w:val="15"/>
              <w:shd w:val="clea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6A13FDD8">
            <w:pPr>
              <w:shd w:val="clea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4D9A54F5">
            <w:pPr>
              <w:pStyle w:val="15"/>
              <w:shd w:val="clear"/>
              <w:rPr>
                <w:rFonts w:hint="eastAsia"/>
                <w:color w:val="000000" w:themeColor="text1"/>
                <w:highlight w:val="none"/>
                <w:lang w:val="en-US" w:eastAsia="zh-CN"/>
                <w14:textFill>
                  <w14:solidFill>
                    <w14:schemeClr w14:val="tx1"/>
                  </w14:solidFill>
                </w14:textFill>
              </w:rPr>
            </w:pPr>
          </w:p>
          <w:p w14:paraId="294E151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与唐山市陆域环境管控单元生态环境准入清单符合性分析一览表</w:t>
            </w:r>
          </w:p>
          <w:tbl>
            <w:tblPr>
              <w:tblStyle w:val="33"/>
              <w:tblW w:w="1271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638"/>
              <w:gridCol w:w="413"/>
              <w:gridCol w:w="985"/>
              <w:gridCol w:w="695"/>
              <w:gridCol w:w="733"/>
              <w:gridCol w:w="863"/>
              <w:gridCol w:w="5735"/>
              <w:gridCol w:w="1739"/>
              <w:gridCol w:w="916"/>
            </w:tblGrid>
            <w:tr w14:paraId="6AE413C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8" w:hRule="atLeast"/>
                <w:tblHeader/>
                <w:jc w:val="center"/>
              </w:trPr>
              <w:tc>
                <w:tcPr>
                  <w:tcW w:w="638" w:type="dxa"/>
                  <w:tcBorders>
                    <w:tl2br w:val="nil"/>
                    <w:tr2bl w:val="nil"/>
                  </w:tcBorders>
                  <w:vAlign w:val="center"/>
                </w:tcPr>
                <w:p w14:paraId="44283C7E">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编号</w:t>
                  </w:r>
                </w:p>
              </w:tc>
              <w:tc>
                <w:tcPr>
                  <w:tcW w:w="413" w:type="dxa"/>
                  <w:tcBorders>
                    <w:tl2br w:val="nil"/>
                    <w:tr2bl w:val="nil"/>
                  </w:tcBorders>
                  <w:vAlign w:val="center"/>
                </w:tcPr>
                <w:p w14:paraId="1A440F51">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区县</w:t>
                  </w:r>
                </w:p>
              </w:tc>
              <w:tc>
                <w:tcPr>
                  <w:tcW w:w="985" w:type="dxa"/>
                  <w:tcBorders>
                    <w:tl2br w:val="nil"/>
                    <w:tr2bl w:val="nil"/>
                  </w:tcBorders>
                  <w:vAlign w:val="center"/>
                </w:tcPr>
                <w:p w14:paraId="1F4FB2BE">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b w:val="0"/>
                      <w:bCs w:val="0"/>
                      <w:color w:val="000000" w:themeColor="text1"/>
                      <w:sz w:val="21"/>
                      <w:szCs w:val="21"/>
                      <w:highlight w:val="none"/>
                      <w14:textFill>
                        <w14:solidFill>
                          <w14:schemeClr w14:val="tx1"/>
                        </w14:solidFill>
                      </w14:textFill>
                    </w:rPr>
                    <w:t>乡镇</w:t>
                  </w:r>
                </w:p>
              </w:tc>
              <w:tc>
                <w:tcPr>
                  <w:tcW w:w="695" w:type="dxa"/>
                  <w:tcBorders>
                    <w:tl2br w:val="nil"/>
                    <w:tr2bl w:val="nil"/>
                  </w:tcBorders>
                  <w:vAlign w:val="center"/>
                </w:tcPr>
                <w:p w14:paraId="079B94BB">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单元类别</w:t>
                  </w:r>
                </w:p>
              </w:tc>
              <w:tc>
                <w:tcPr>
                  <w:tcW w:w="733" w:type="dxa"/>
                  <w:tcBorders>
                    <w:tl2br w:val="nil"/>
                    <w:tr2bl w:val="nil"/>
                  </w:tcBorders>
                  <w:vAlign w:val="center"/>
                </w:tcPr>
                <w:p w14:paraId="623827E0">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b w:val="0"/>
                      <w:bCs w:val="0"/>
                      <w:color w:val="000000" w:themeColor="text1"/>
                      <w:sz w:val="21"/>
                      <w:szCs w:val="21"/>
                      <w:highlight w:val="none"/>
                      <w:lang w:val="zh-CN"/>
                      <w14:textFill>
                        <w14:solidFill>
                          <w14:schemeClr w14:val="tx1"/>
                        </w14:solidFill>
                      </w14:textFill>
                    </w:rPr>
                    <w:t>环境要素类别</w:t>
                  </w:r>
                </w:p>
              </w:tc>
              <w:tc>
                <w:tcPr>
                  <w:tcW w:w="863" w:type="dxa"/>
                  <w:tcBorders>
                    <w:tl2br w:val="nil"/>
                    <w:tr2bl w:val="nil"/>
                  </w:tcBorders>
                  <w:vAlign w:val="center"/>
                </w:tcPr>
                <w:p w14:paraId="411348C0">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维度</w:t>
                  </w:r>
                </w:p>
              </w:tc>
              <w:tc>
                <w:tcPr>
                  <w:tcW w:w="5735" w:type="dxa"/>
                  <w:tcBorders>
                    <w:tl2br w:val="nil"/>
                    <w:tr2bl w:val="nil"/>
                  </w:tcBorders>
                  <w:vAlign w:val="center"/>
                </w:tcPr>
                <w:p w14:paraId="7E23EB25">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管控措施</w:t>
                  </w:r>
                </w:p>
              </w:tc>
              <w:tc>
                <w:tcPr>
                  <w:tcW w:w="1739" w:type="dxa"/>
                  <w:tcBorders>
                    <w:tl2br w:val="nil"/>
                    <w:tr2bl w:val="nil"/>
                  </w:tcBorders>
                  <w:vAlign w:val="center"/>
                </w:tcPr>
                <w:p w14:paraId="66DB5EE8">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b w:val="0"/>
                      <w:bCs w:val="0"/>
                      <w:color w:val="000000" w:themeColor="text1"/>
                      <w:kern w:val="0"/>
                      <w:sz w:val="21"/>
                      <w:szCs w:val="21"/>
                      <w:highlight w:val="none"/>
                      <w14:textFill>
                        <w14:solidFill>
                          <w14:schemeClr w14:val="tx1"/>
                        </w14:solidFill>
                      </w14:textFill>
                    </w:rPr>
                    <w:t>项目情况</w:t>
                  </w:r>
                </w:p>
              </w:tc>
              <w:tc>
                <w:tcPr>
                  <w:tcW w:w="916" w:type="dxa"/>
                  <w:tcBorders>
                    <w:tl2br w:val="nil"/>
                    <w:tr2bl w:val="nil"/>
                  </w:tcBorders>
                  <w:vAlign w:val="center"/>
                </w:tcPr>
                <w:p w14:paraId="05F48586">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b w:val="0"/>
                      <w:bCs w:val="0"/>
                      <w:color w:val="000000" w:themeColor="text1"/>
                      <w:kern w:val="0"/>
                      <w:sz w:val="21"/>
                      <w:szCs w:val="21"/>
                      <w:highlight w:val="none"/>
                      <w14:textFill>
                        <w14:solidFill>
                          <w14:schemeClr w14:val="tx1"/>
                        </w14:solidFill>
                      </w14:textFill>
                    </w:rPr>
                    <w:t>本项目符合性</w:t>
                  </w:r>
                </w:p>
              </w:tc>
            </w:tr>
            <w:tr w14:paraId="5A9E6E8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6" w:hRule="atLeast"/>
                <w:jc w:val="center"/>
              </w:trPr>
              <w:tc>
                <w:tcPr>
                  <w:tcW w:w="638" w:type="dxa"/>
                  <w:vMerge w:val="restart"/>
                  <w:tcBorders>
                    <w:tl2br w:val="nil"/>
                    <w:tr2bl w:val="nil"/>
                  </w:tcBorders>
                  <w:vAlign w:val="center"/>
                </w:tcPr>
                <w:p w14:paraId="4E1A10F8">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b w:val="0"/>
                      <w:bCs w:val="0"/>
                      <w:color w:val="000000" w:themeColor="text1"/>
                      <w:sz w:val="21"/>
                      <w:szCs w:val="21"/>
                      <w:highlight w:val="none"/>
                      <w:lang w:val="zh-CN"/>
                      <w14:textFill>
                        <w14:solidFill>
                          <w14:schemeClr w14:val="tx1"/>
                        </w14:solidFill>
                      </w14:textFill>
                    </w:rPr>
                    <w:t>ZH1302</w:t>
                  </w:r>
                  <w:r>
                    <w:rPr>
                      <w:rFonts w:hint="eastAsia"/>
                      <w:b w:val="0"/>
                      <w:bCs w:val="0"/>
                      <w:color w:val="000000" w:themeColor="text1"/>
                      <w:sz w:val="21"/>
                      <w:szCs w:val="21"/>
                      <w:highlight w:val="none"/>
                      <w14:textFill>
                        <w14:solidFill>
                          <w14:schemeClr w14:val="tx1"/>
                        </w14:solidFill>
                      </w14:textFill>
                    </w:rPr>
                    <w:t>8430001</w:t>
                  </w:r>
                </w:p>
              </w:tc>
              <w:tc>
                <w:tcPr>
                  <w:tcW w:w="413" w:type="dxa"/>
                  <w:vMerge w:val="restart"/>
                  <w:tcBorders>
                    <w:tl2br w:val="nil"/>
                    <w:tr2bl w:val="nil"/>
                  </w:tcBorders>
                  <w:vAlign w:val="center"/>
                </w:tcPr>
                <w:p w14:paraId="0BD014D4">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rFonts w:hint="eastAsia"/>
                      <w:b w:val="0"/>
                      <w:bCs w:val="0"/>
                      <w:color w:val="000000" w:themeColor="text1"/>
                      <w:sz w:val="21"/>
                      <w:szCs w:val="21"/>
                      <w:highlight w:val="none"/>
                      <w:lang w:val="zh-CN"/>
                      <w14:textFill>
                        <w14:solidFill>
                          <w14:schemeClr w14:val="tx1"/>
                        </w14:solidFill>
                      </w14:textFill>
                    </w:rPr>
                    <w:t>滦州市</w:t>
                  </w:r>
                </w:p>
              </w:tc>
              <w:tc>
                <w:tcPr>
                  <w:tcW w:w="985" w:type="dxa"/>
                  <w:vMerge w:val="restart"/>
                  <w:tcBorders>
                    <w:tl2br w:val="nil"/>
                    <w:tr2bl w:val="nil"/>
                  </w:tcBorders>
                  <w:vAlign w:val="center"/>
                </w:tcPr>
                <w:p w14:paraId="4433A973">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rFonts w:hint="eastAsia"/>
                      <w:b w:val="0"/>
                      <w:bCs w:val="0"/>
                      <w:color w:val="000000" w:themeColor="text1"/>
                      <w:sz w:val="21"/>
                      <w:szCs w:val="21"/>
                      <w:highlight w:val="none"/>
                      <w:lang w:val="zh-CN"/>
                      <w14:textFill>
                        <w14:solidFill>
                          <w14:schemeClr w14:val="tx1"/>
                        </w14:solidFill>
                      </w14:textFill>
                    </w:rPr>
                    <w:t>茨榆坨镇、东安各庄镇、古城街道、古马镇、九百户镇、雷庄镇、滦城路街道、滦河街道、响嘡街道、小马庄镇、油榨镇</w:t>
                  </w:r>
                </w:p>
              </w:tc>
              <w:tc>
                <w:tcPr>
                  <w:tcW w:w="695" w:type="dxa"/>
                  <w:vMerge w:val="restart"/>
                  <w:tcBorders>
                    <w:tl2br w:val="nil"/>
                    <w:tr2bl w:val="nil"/>
                  </w:tcBorders>
                  <w:vAlign w:val="center"/>
                </w:tcPr>
                <w:p w14:paraId="0944A421">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一般管控单元</w:t>
                  </w:r>
                </w:p>
              </w:tc>
              <w:tc>
                <w:tcPr>
                  <w:tcW w:w="733" w:type="dxa"/>
                  <w:vMerge w:val="restart"/>
                  <w:tcBorders>
                    <w:tl2br w:val="nil"/>
                    <w:tr2bl w:val="nil"/>
                  </w:tcBorders>
                  <w:vAlign w:val="center"/>
                </w:tcPr>
                <w:p w14:paraId="79E7C2C4">
                  <w:pPr>
                    <w:shd w:val="clear"/>
                    <w:spacing w:line="0" w:lineRule="atLeast"/>
                    <w:ind w:firstLine="0" w:firstLineChars="0"/>
                    <w:jc w:val="center"/>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w:t>
                  </w:r>
                </w:p>
              </w:tc>
              <w:tc>
                <w:tcPr>
                  <w:tcW w:w="863" w:type="dxa"/>
                  <w:tcBorders>
                    <w:tl2br w:val="nil"/>
                    <w:tr2bl w:val="nil"/>
                  </w:tcBorders>
                  <w:vAlign w:val="center"/>
                </w:tcPr>
                <w:p w14:paraId="563B59A2">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b w:val="0"/>
                      <w:bCs w:val="0"/>
                      <w:color w:val="000000" w:themeColor="text1"/>
                      <w:sz w:val="21"/>
                      <w:szCs w:val="21"/>
                      <w:highlight w:val="none"/>
                      <w:lang w:val="zh-CN"/>
                      <w14:textFill>
                        <w14:solidFill>
                          <w14:schemeClr w14:val="tx1"/>
                        </w14:solidFill>
                      </w14:textFill>
                    </w:rPr>
                    <w:t>空间布局约束</w:t>
                  </w:r>
                </w:p>
              </w:tc>
              <w:tc>
                <w:tcPr>
                  <w:tcW w:w="5735" w:type="dxa"/>
                  <w:tcBorders>
                    <w:tl2br w:val="nil"/>
                    <w:tr2bl w:val="nil"/>
                  </w:tcBorders>
                  <w:vAlign w:val="center"/>
                </w:tcPr>
                <w:p w14:paraId="4A3D521D">
                  <w:pPr>
                    <w:shd w:val="clear"/>
                    <w:spacing w:line="0" w:lineRule="atLeast"/>
                    <w:ind w:firstLine="0" w:firstLineChars="0"/>
                    <w:jc w:val="left"/>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1、严格控制探矿权数量，严格审查与规划论证。在符合矿山准入条件前提下，可以优先设置采矿权。</w:t>
                  </w:r>
                </w:p>
                <w:p w14:paraId="614653D4">
                  <w:pPr>
                    <w:shd w:val="clear"/>
                    <w:spacing w:line="0" w:lineRule="atLeast"/>
                    <w:ind w:firstLine="0" w:firstLineChars="0"/>
                    <w:jc w:val="left"/>
                    <w:rPr>
                      <w:b w:val="0"/>
                      <w:bCs w:val="0"/>
                      <w:color w:val="000000" w:themeColor="text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2、严控“两高”行业新增产能。不再审批水泥等产能过剩行业。</w:t>
                  </w:r>
                </w:p>
              </w:tc>
              <w:tc>
                <w:tcPr>
                  <w:tcW w:w="1739" w:type="dxa"/>
                  <w:tcBorders>
                    <w:tl2br w:val="nil"/>
                    <w:tr2bl w:val="nil"/>
                  </w:tcBorders>
                  <w:vAlign w:val="center"/>
                </w:tcPr>
                <w:p w14:paraId="1FA45FC9">
                  <w:pPr>
                    <w:shd w:val="clear"/>
                    <w:spacing w:line="0" w:lineRule="atLeast"/>
                    <w:ind w:firstLine="0" w:firstLineChars="0"/>
                    <w:jc w:val="left"/>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本项目不在上述管控项目之列</w:t>
                  </w:r>
                  <w:r>
                    <w:rPr>
                      <w:rFonts w:hint="eastAsia"/>
                      <w:b w:val="0"/>
                      <w:bCs w:val="0"/>
                      <w:color w:val="000000" w:themeColor="text1"/>
                      <w:sz w:val="21"/>
                      <w:szCs w:val="21"/>
                      <w:highlight w:val="none"/>
                      <w:lang w:val="zh-CN"/>
                      <w14:textFill>
                        <w14:solidFill>
                          <w14:schemeClr w14:val="tx1"/>
                        </w14:solidFill>
                      </w14:textFill>
                    </w:rPr>
                    <w:t>。</w:t>
                  </w:r>
                </w:p>
              </w:tc>
              <w:tc>
                <w:tcPr>
                  <w:tcW w:w="916" w:type="dxa"/>
                  <w:tcBorders>
                    <w:tl2br w:val="nil"/>
                    <w:tr2bl w:val="nil"/>
                  </w:tcBorders>
                  <w:vAlign w:val="center"/>
                </w:tcPr>
                <w:p w14:paraId="16276F3A">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符合</w:t>
                  </w:r>
                </w:p>
              </w:tc>
            </w:tr>
            <w:tr w14:paraId="52EFB61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6" w:hRule="atLeast"/>
                <w:jc w:val="center"/>
              </w:trPr>
              <w:tc>
                <w:tcPr>
                  <w:tcW w:w="638" w:type="dxa"/>
                  <w:vMerge w:val="continue"/>
                  <w:tcBorders>
                    <w:tl2br w:val="nil"/>
                    <w:tr2bl w:val="nil"/>
                  </w:tcBorders>
                  <w:vAlign w:val="center"/>
                </w:tcPr>
                <w:p w14:paraId="38EB01F3">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413" w:type="dxa"/>
                  <w:vMerge w:val="continue"/>
                  <w:tcBorders>
                    <w:tl2br w:val="nil"/>
                    <w:tr2bl w:val="nil"/>
                  </w:tcBorders>
                  <w:vAlign w:val="center"/>
                </w:tcPr>
                <w:p w14:paraId="4DDD3DD3">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985" w:type="dxa"/>
                  <w:vMerge w:val="continue"/>
                  <w:tcBorders>
                    <w:tl2br w:val="nil"/>
                    <w:tr2bl w:val="nil"/>
                  </w:tcBorders>
                  <w:vAlign w:val="center"/>
                </w:tcPr>
                <w:p w14:paraId="50332CBC">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695" w:type="dxa"/>
                  <w:vMerge w:val="continue"/>
                  <w:tcBorders>
                    <w:tl2br w:val="nil"/>
                    <w:tr2bl w:val="nil"/>
                  </w:tcBorders>
                  <w:vAlign w:val="center"/>
                </w:tcPr>
                <w:p w14:paraId="4D888324">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733" w:type="dxa"/>
                  <w:vMerge w:val="continue"/>
                  <w:tcBorders>
                    <w:tl2br w:val="nil"/>
                    <w:tr2bl w:val="nil"/>
                  </w:tcBorders>
                  <w:vAlign w:val="center"/>
                </w:tcPr>
                <w:p w14:paraId="1514731E">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863" w:type="dxa"/>
                  <w:tcBorders>
                    <w:tl2br w:val="nil"/>
                    <w:tr2bl w:val="nil"/>
                  </w:tcBorders>
                  <w:vAlign w:val="center"/>
                </w:tcPr>
                <w:p w14:paraId="4DE701D6">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b w:val="0"/>
                      <w:bCs w:val="0"/>
                      <w:color w:val="000000" w:themeColor="text1"/>
                      <w:sz w:val="21"/>
                      <w:szCs w:val="21"/>
                      <w:highlight w:val="none"/>
                      <w:lang w:val="zh-CN"/>
                      <w14:textFill>
                        <w14:solidFill>
                          <w14:schemeClr w14:val="tx1"/>
                        </w14:solidFill>
                      </w14:textFill>
                    </w:rPr>
                    <w:t>污染物排放管控</w:t>
                  </w:r>
                </w:p>
              </w:tc>
              <w:tc>
                <w:tcPr>
                  <w:tcW w:w="5735" w:type="dxa"/>
                  <w:tcBorders>
                    <w:tl2br w:val="nil"/>
                    <w:tr2bl w:val="nil"/>
                  </w:tcBorders>
                  <w:vAlign w:val="center"/>
                </w:tcPr>
                <w:p w14:paraId="245562D1">
                  <w:pPr>
                    <w:shd w:val="clear"/>
                    <w:spacing w:line="0" w:lineRule="atLeast"/>
                    <w:ind w:firstLine="0" w:firstLineChars="0"/>
                    <w:jc w:val="left"/>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1、完成当地下达的重金属减排指标。</w:t>
                  </w:r>
                </w:p>
                <w:p w14:paraId="158A5240">
                  <w:pPr>
                    <w:shd w:val="clear"/>
                    <w:spacing w:line="0" w:lineRule="atLeast"/>
                    <w:ind w:firstLine="0" w:firstLineChars="0"/>
                    <w:jc w:val="left"/>
                    <w:rPr>
                      <w:b w:val="0"/>
                      <w:bCs w:val="0"/>
                      <w:color w:val="000000" w:themeColor="text1"/>
                      <w:sz w:val="21"/>
                      <w:szCs w:val="21"/>
                      <w:highlight w:val="none"/>
                      <w:lang w:val="zh-CN"/>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2、加快推进水泥重点行业污染深度治理，各工序（环节）排污点源全部完成治理设施升级改造，推进企业环境管理精细化，确保污染物稳定达标排放</w:t>
                  </w:r>
                  <w:r>
                    <w:rPr>
                      <w:rFonts w:hint="eastAsia"/>
                      <w:b w:val="0"/>
                      <w:bCs w:val="0"/>
                      <w:color w:val="000000" w:themeColor="text1"/>
                      <w:sz w:val="21"/>
                      <w:szCs w:val="21"/>
                      <w:highlight w:val="none"/>
                      <w:lang w:val="zh-CN"/>
                      <w14:textFill>
                        <w14:solidFill>
                          <w14:schemeClr w14:val="tx1"/>
                        </w14:solidFill>
                      </w14:textFill>
                    </w:rPr>
                    <w:t>。</w:t>
                  </w:r>
                </w:p>
              </w:tc>
              <w:tc>
                <w:tcPr>
                  <w:tcW w:w="1739" w:type="dxa"/>
                  <w:tcBorders>
                    <w:tl2br w:val="nil"/>
                    <w:tr2bl w:val="nil"/>
                  </w:tcBorders>
                  <w:vAlign w:val="center"/>
                </w:tcPr>
                <w:p w14:paraId="23C50ACC">
                  <w:pPr>
                    <w:shd w:val="clear"/>
                    <w:spacing w:line="0" w:lineRule="atLeast"/>
                    <w:ind w:firstLine="0" w:firstLineChars="0"/>
                    <w:jc w:val="left"/>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本项目不涉及重金属，不属于水泥行业。</w:t>
                  </w:r>
                </w:p>
              </w:tc>
              <w:tc>
                <w:tcPr>
                  <w:tcW w:w="916" w:type="dxa"/>
                  <w:tcBorders>
                    <w:tl2br w:val="nil"/>
                    <w:tr2bl w:val="nil"/>
                  </w:tcBorders>
                  <w:vAlign w:val="center"/>
                </w:tcPr>
                <w:p w14:paraId="5671452F">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符合</w:t>
                  </w:r>
                </w:p>
              </w:tc>
            </w:tr>
            <w:tr w14:paraId="1D99406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6" w:hRule="atLeast"/>
                <w:jc w:val="center"/>
              </w:trPr>
              <w:tc>
                <w:tcPr>
                  <w:tcW w:w="638" w:type="dxa"/>
                  <w:vMerge w:val="continue"/>
                  <w:tcBorders>
                    <w:tl2br w:val="nil"/>
                    <w:tr2bl w:val="nil"/>
                  </w:tcBorders>
                  <w:vAlign w:val="center"/>
                </w:tcPr>
                <w:p w14:paraId="0DF81252">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413" w:type="dxa"/>
                  <w:vMerge w:val="continue"/>
                  <w:tcBorders>
                    <w:tl2br w:val="nil"/>
                    <w:tr2bl w:val="nil"/>
                  </w:tcBorders>
                  <w:vAlign w:val="center"/>
                </w:tcPr>
                <w:p w14:paraId="53E93AB5">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985" w:type="dxa"/>
                  <w:vMerge w:val="continue"/>
                  <w:tcBorders>
                    <w:tl2br w:val="nil"/>
                    <w:tr2bl w:val="nil"/>
                  </w:tcBorders>
                  <w:vAlign w:val="center"/>
                </w:tcPr>
                <w:p w14:paraId="7D9E80CB">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695" w:type="dxa"/>
                  <w:vMerge w:val="continue"/>
                  <w:tcBorders>
                    <w:tl2br w:val="nil"/>
                    <w:tr2bl w:val="nil"/>
                  </w:tcBorders>
                  <w:vAlign w:val="center"/>
                </w:tcPr>
                <w:p w14:paraId="4D03BB18">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733" w:type="dxa"/>
                  <w:vMerge w:val="continue"/>
                  <w:tcBorders>
                    <w:tl2br w:val="nil"/>
                    <w:tr2bl w:val="nil"/>
                  </w:tcBorders>
                  <w:vAlign w:val="center"/>
                </w:tcPr>
                <w:p w14:paraId="74D6AB0C">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863" w:type="dxa"/>
                  <w:tcBorders>
                    <w:tl2br w:val="nil"/>
                    <w:tr2bl w:val="nil"/>
                  </w:tcBorders>
                  <w:vAlign w:val="center"/>
                </w:tcPr>
                <w:p w14:paraId="2CABDD7B">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b w:val="0"/>
                      <w:bCs w:val="0"/>
                      <w:color w:val="000000" w:themeColor="text1"/>
                      <w:sz w:val="21"/>
                      <w:szCs w:val="21"/>
                      <w:highlight w:val="none"/>
                      <w:lang w:val="zh-CN"/>
                      <w14:textFill>
                        <w14:solidFill>
                          <w14:schemeClr w14:val="tx1"/>
                        </w14:solidFill>
                      </w14:textFill>
                    </w:rPr>
                    <w:t>环境风险防控</w:t>
                  </w:r>
                </w:p>
              </w:tc>
              <w:tc>
                <w:tcPr>
                  <w:tcW w:w="5735" w:type="dxa"/>
                  <w:tcBorders>
                    <w:tl2br w:val="nil"/>
                    <w:tr2bl w:val="nil"/>
                  </w:tcBorders>
                  <w:vAlign w:val="center"/>
                </w:tcPr>
                <w:p w14:paraId="6B0F4714">
                  <w:pPr>
                    <w:shd w:val="clear"/>
                    <w:spacing w:line="0" w:lineRule="atLeast"/>
                    <w:ind w:firstLine="0" w:firstLineChars="0"/>
                    <w:jc w:val="left"/>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lang w:val="zh-CN"/>
                      <w14:textFill>
                        <w14:solidFill>
                          <w14:schemeClr w14:val="tx1"/>
                        </w14:solidFill>
                      </w14:textFill>
                    </w:rPr>
                    <w:t>加强对公共安全形势和风险的整体研判、动态监测，准确掌握本地区本领域本系统各类风险情况。建立健全重大公共安全隐患公告制度，完善应急救援体系和组织体系，及时消除安全隐患。</w:t>
                  </w:r>
                </w:p>
              </w:tc>
              <w:tc>
                <w:tcPr>
                  <w:tcW w:w="1739" w:type="dxa"/>
                  <w:tcBorders>
                    <w:tl2br w:val="nil"/>
                    <w:tr2bl w:val="nil"/>
                  </w:tcBorders>
                  <w:vAlign w:val="center"/>
                </w:tcPr>
                <w:p w14:paraId="6DE9D156">
                  <w:pPr>
                    <w:shd w:val="clear"/>
                    <w:spacing w:line="0" w:lineRule="atLeast"/>
                    <w:ind w:firstLine="0" w:firstLineChars="0"/>
                    <w:jc w:val="left"/>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本项目不涉及。</w:t>
                  </w:r>
                </w:p>
              </w:tc>
              <w:tc>
                <w:tcPr>
                  <w:tcW w:w="916" w:type="dxa"/>
                  <w:tcBorders>
                    <w:tl2br w:val="nil"/>
                    <w:tr2bl w:val="nil"/>
                  </w:tcBorders>
                  <w:vAlign w:val="center"/>
                </w:tcPr>
                <w:p w14:paraId="755908FB">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符合</w:t>
                  </w:r>
                </w:p>
              </w:tc>
            </w:tr>
            <w:tr w14:paraId="43AA492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2" w:hRule="atLeast"/>
                <w:jc w:val="center"/>
              </w:trPr>
              <w:tc>
                <w:tcPr>
                  <w:tcW w:w="638" w:type="dxa"/>
                  <w:vMerge w:val="continue"/>
                  <w:tcBorders>
                    <w:tl2br w:val="nil"/>
                    <w:tr2bl w:val="nil"/>
                  </w:tcBorders>
                  <w:vAlign w:val="center"/>
                </w:tcPr>
                <w:p w14:paraId="0458AE52">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413" w:type="dxa"/>
                  <w:vMerge w:val="continue"/>
                  <w:tcBorders>
                    <w:tl2br w:val="nil"/>
                    <w:tr2bl w:val="nil"/>
                  </w:tcBorders>
                  <w:vAlign w:val="center"/>
                </w:tcPr>
                <w:p w14:paraId="0E74D2BD">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985" w:type="dxa"/>
                  <w:vMerge w:val="continue"/>
                  <w:tcBorders>
                    <w:tl2br w:val="nil"/>
                    <w:tr2bl w:val="nil"/>
                  </w:tcBorders>
                  <w:vAlign w:val="center"/>
                </w:tcPr>
                <w:p w14:paraId="3A024EF7">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695" w:type="dxa"/>
                  <w:vMerge w:val="continue"/>
                  <w:tcBorders>
                    <w:tl2br w:val="nil"/>
                    <w:tr2bl w:val="nil"/>
                  </w:tcBorders>
                  <w:vAlign w:val="center"/>
                </w:tcPr>
                <w:p w14:paraId="00728FFD">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733" w:type="dxa"/>
                  <w:vMerge w:val="continue"/>
                  <w:tcBorders>
                    <w:tl2br w:val="nil"/>
                    <w:tr2bl w:val="nil"/>
                  </w:tcBorders>
                  <w:vAlign w:val="center"/>
                </w:tcPr>
                <w:p w14:paraId="3B5A6042">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p>
              </w:tc>
              <w:tc>
                <w:tcPr>
                  <w:tcW w:w="863" w:type="dxa"/>
                  <w:tcBorders>
                    <w:tl2br w:val="nil"/>
                    <w:tr2bl w:val="nil"/>
                  </w:tcBorders>
                  <w:vAlign w:val="center"/>
                </w:tcPr>
                <w:p w14:paraId="553561A0">
                  <w:pPr>
                    <w:shd w:val="clear"/>
                    <w:spacing w:line="0" w:lineRule="atLeast"/>
                    <w:ind w:firstLine="0" w:firstLineChars="0"/>
                    <w:jc w:val="center"/>
                    <w:rPr>
                      <w:b w:val="0"/>
                      <w:bCs w:val="0"/>
                      <w:color w:val="000000" w:themeColor="text1"/>
                      <w:sz w:val="21"/>
                      <w:szCs w:val="21"/>
                      <w:highlight w:val="none"/>
                      <w:lang w:val="zh-CN"/>
                      <w14:textFill>
                        <w14:solidFill>
                          <w14:schemeClr w14:val="tx1"/>
                        </w14:solidFill>
                      </w14:textFill>
                    </w:rPr>
                  </w:pPr>
                  <w:r>
                    <w:rPr>
                      <w:b w:val="0"/>
                      <w:bCs w:val="0"/>
                      <w:color w:val="000000" w:themeColor="text1"/>
                      <w:sz w:val="21"/>
                      <w:szCs w:val="21"/>
                      <w:highlight w:val="none"/>
                      <w:lang w:val="zh-CN"/>
                      <w14:textFill>
                        <w14:solidFill>
                          <w14:schemeClr w14:val="tx1"/>
                        </w14:solidFill>
                      </w14:textFill>
                    </w:rPr>
                    <w:t>资源利用效率要求</w:t>
                  </w:r>
                </w:p>
              </w:tc>
              <w:tc>
                <w:tcPr>
                  <w:tcW w:w="5735" w:type="dxa"/>
                  <w:tcBorders>
                    <w:tl2br w:val="nil"/>
                    <w:tr2bl w:val="nil"/>
                  </w:tcBorders>
                  <w:vAlign w:val="center"/>
                </w:tcPr>
                <w:p w14:paraId="166113EA">
                  <w:pPr>
                    <w:shd w:val="clear"/>
                    <w:spacing w:line="0" w:lineRule="atLeast"/>
                    <w:ind w:firstLine="0" w:firstLineChars="0"/>
                    <w:jc w:val="left"/>
                    <w:rPr>
                      <w:b w:val="0"/>
                      <w:bCs w:val="0"/>
                      <w:color w:val="000000" w:themeColor="text1"/>
                      <w:sz w:val="21"/>
                      <w:szCs w:val="21"/>
                      <w:highlight w:val="none"/>
                      <w:lang w:val="zh-CN"/>
                      <w14:textFill>
                        <w14:solidFill>
                          <w14:schemeClr w14:val="tx1"/>
                        </w14:solidFill>
                      </w14:textFill>
                    </w:rPr>
                  </w:pPr>
                  <w:r>
                    <w:rPr>
                      <w:rFonts w:hint="eastAsia"/>
                      <w:b w:val="0"/>
                      <w:bCs w:val="0"/>
                      <w:color w:val="000000" w:themeColor="text1"/>
                      <w:sz w:val="21"/>
                      <w:szCs w:val="21"/>
                      <w:highlight w:val="none"/>
                      <w:lang w:val="zh-CN"/>
                      <w14:textFill>
                        <w14:solidFill>
                          <w14:schemeClr w14:val="tx1"/>
                        </w14:solidFill>
                      </w14:textFill>
                    </w:rPr>
                    <w:t>围绕水泥传统产业，加大科技改造力度，提高节能减排水平和资源综合利用水平，实现向低投入、低消耗、低污染、高产出的“三低一高”转变，突出节能消耗减排治污，大力发展战略性新兴产业。</w:t>
                  </w:r>
                </w:p>
              </w:tc>
              <w:tc>
                <w:tcPr>
                  <w:tcW w:w="1739" w:type="dxa"/>
                  <w:tcBorders>
                    <w:tl2br w:val="nil"/>
                    <w:tr2bl w:val="nil"/>
                  </w:tcBorders>
                  <w:vAlign w:val="center"/>
                </w:tcPr>
                <w:p w14:paraId="2C2DFE99">
                  <w:pPr>
                    <w:shd w:val="clear"/>
                    <w:spacing w:line="0" w:lineRule="atLeast"/>
                    <w:ind w:firstLine="0" w:firstLineChars="0"/>
                    <w:jc w:val="left"/>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本项</w:t>
                  </w:r>
                  <w:r>
                    <w:rPr>
                      <w:rFonts w:hint="eastAsia"/>
                      <w:b w:val="0"/>
                      <w:bCs w:val="0"/>
                      <w:color w:val="000000" w:themeColor="text1"/>
                      <w:sz w:val="21"/>
                      <w:szCs w:val="21"/>
                      <w:highlight w:val="none"/>
                      <w:lang w:eastAsia="zh-CN"/>
                      <w14:textFill>
                        <w14:solidFill>
                          <w14:schemeClr w14:val="tx1"/>
                        </w14:solidFill>
                      </w14:textFill>
                    </w:rPr>
                    <w:t>目将</w:t>
                  </w:r>
                  <w:r>
                    <w:rPr>
                      <w:rFonts w:hint="eastAsia"/>
                      <w:b w:val="0"/>
                      <w:bCs w:val="0"/>
                      <w:color w:val="000000" w:themeColor="text1"/>
                      <w:sz w:val="21"/>
                      <w:szCs w:val="21"/>
                      <w:highlight w:val="none"/>
                      <w:lang w:val="zh-CN"/>
                      <w14:textFill>
                        <w14:solidFill>
                          <w14:schemeClr w14:val="tx1"/>
                        </w14:solidFill>
                      </w14:textFill>
                    </w:rPr>
                    <w:t>加大科技改造力度，提高节能减排水平和资源综合利用水平。</w:t>
                  </w:r>
                </w:p>
              </w:tc>
              <w:tc>
                <w:tcPr>
                  <w:tcW w:w="916" w:type="dxa"/>
                  <w:tcBorders>
                    <w:tl2br w:val="nil"/>
                    <w:tr2bl w:val="nil"/>
                  </w:tcBorders>
                  <w:vAlign w:val="center"/>
                </w:tcPr>
                <w:p w14:paraId="4D231818">
                  <w:pPr>
                    <w:shd w:val="clear"/>
                    <w:spacing w:line="0" w:lineRule="atLeast"/>
                    <w:ind w:firstLine="0" w:firstLineChars="0"/>
                    <w:jc w:val="center"/>
                    <w:rPr>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符合</w:t>
                  </w:r>
                </w:p>
              </w:tc>
            </w:tr>
          </w:tbl>
          <w:p w14:paraId="67991BB6">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000000" w:themeColor="text1"/>
                <w:highlight w:val="none"/>
                <w:lang w:val="zh-CN"/>
                <w14:textFill>
                  <w14:solidFill>
                    <w14:schemeClr w14:val="tx1"/>
                  </w14:solidFill>
                </w14:textFill>
              </w:rPr>
            </w:pPr>
            <w:r>
              <w:rPr>
                <w:rFonts w:hint="default" w:ascii="Times New Roman" w:hAnsi="Times New Roman" w:cs="Times New Roman"/>
                <w:color w:val="000000" w:themeColor="text1"/>
                <w:highlight w:val="none"/>
                <w:lang w:val="zh-CN"/>
                <w14:textFill>
                  <w14:solidFill>
                    <w14:schemeClr w14:val="tx1"/>
                  </w14:solidFill>
                </w14:textFill>
              </w:rPr>
              <w:t>综上所述，</w:t>
            </w:r>
            <w:r>
              <w:rPr>
                <w:rFonts w:hint="default" w:ascii="Times New Roman" w:hAnsi="Times New Roman" w:cs="Times New Roman"/>
                <w:color w:val="000000" w:themeColor="text1"/>
                <w:highlight w:val="none"/>
                <w:lang w:val="en-US" w:eastAsia="zh-CN"/>
                <w14:textFill>
                  <w14:solidFill>
                    <w14:schemeClr w14:val="tx1"/>
                  </w14:solidFill>
                </w14:textFill>
              </w:rPr>
              <w:t>本项目</w:t>
            </w:r>
            <w:r>
              <w:rPr>
                <w:rFonts w:hint="default" w:ascii="Times New Roman" w:hAnsi="Times New Roman" w:cs="Times New Roman"/>
                <w:color w:val="000000" w:themeColor="text1"/>
                <w:highlight w:val="none"/>
                <w:lang w:val="zh-CN"/>
                <w14:textFill>
                  <w14:solidFill>
                    <w14:schemeClr w14:val="tx1"/>
                  </w14:solidFill>
                </w14:textFill>
              </w:rPr>
              <w:t>的建设符合</w:t>
            </w:r>
            <w:r>
              <w:rPr>
                <w:rFonts w:hint="default" w:ascii="Times New Roman" w:hAnsi="Times New Roman" w:cs="Times New Roman"/>
                <w:color w:val="000000" w:themeColor="text1"/>
                <w:highlight w:val="none"/>
                <w:lang w:val="en-US" w:eastAsia="zh-CN"/>
                <w14:textFill>
                  <w14:solidFill>
                    <w14:schemeClr w14:val="tx1"/>
                  </w14:solidFill>
                </w14:textFill>
              </w:rPr>
              <w:t>唐山市</w:t>
            </w:r>
            <w:r>
              <w:rPr>
                <w:rFonts w:hint="default" w:ascii="Times New Roman" w:hAnsi="Times New Roman" w:cs="Times New Roman"/>
                <w:color w:val="000000" w:themeColor="text1"/>
                <w:highlight w:val="none"/>
                <w:lang w:val="zh-CN"/>
                <w14:textFill>
                  <w14:solidFill>
                    <w14:schemeClr w14:val="tx1"/>
                  </w14:solidFill>
                </w14:textFill>
              </w:rPr>
              <w:t>“三线一单”管控要求。</w:t>
            </w:r>
          </w:p>
          <w:p w14:paraId="407D8A3B">
            <w:pPr>
              <w:pStyle w:val="15"/>
              <w:shd w:val="clear"/>
              <w:rPr>
                <w:rFonts w:hint="default" w:ascii="Times New Roman" w:hAnsi="Times New Roman" w:cs="Times New Roman"/>
                <w:color w:val="000000" w:themeColor="text1"/>
                <w:highlight w:val="none"/>
                <w:lang w:val="zh-CN"/>
                <w14:textFill>
                  <w14:solidFill>
                    <w14:schemeClr w14:val="tx1"/>
                  </w14:solidFill>
                </w14:textFill>
              </w:rPr>
            </w:pPr>
          </w:p>
          <w:p w14:paraId="157F4829">
            <w:pPr>
              <w:shd w:val="clear"/>
              <w:rPr>
                <w:rFonts w:hint="default"/>
                <w:color w:val="000000" w:themeColor="text1"/>
                <w:highlight w:val="none"/>
                <w:lang w:val="zh-CN"/>
                <w14:textFill>
                  <w14:solidFill>
                    <w14:schemeClr w14:val="tx1"/>
                  </w14:solidFill>
                </w14:textFill>
              </w:rPr>
            </w:pPr>
          </w:p>
          <w:p w14:paraId="5458CDED">
            <w:pPr>
              <w:shd w:val="clear"/>
              <w:rPr>
                <w:rFonts w:hint="default" w:ascii="Times New Roman" w:hAnsi="Times New Roman" w:cs="Times New Roman"/>
                <w:color w:val="000000" w:themeColor="text1"/>
                <w:highlight w:val="none"/>
                <w:lang w:val="zh-CN"/>
                <w14:textFill>
                  <w14:solidFill>
                    <w14:schemeClr w14:val="tx1"/>
                  </w14:solidFill>
                </w14:textFill>
              </w:rPr>
            </w:pPr>
          </w:p>
          <w:p w14:paraId="180517E7">
            <w:pPr>
              <w:pStyle w:val="15"/>
              <w:shd w:val="clear"/>
              <w:rPr>
                <w:rFonts w:hint="default"/>
                <w:color w:val="000000" w:themeColor="text1"/>
                <w:highlight w:val="none"/>
                <w:lang w:val="zh-CN"/>
                <w14:textFill>
                  <w14:solidFill>
                    <w14:schemeClr w14:val="tx1"/>
                  </w14:solidFill>
                </w14:textFill>
              </w:rPr>
            </w:pPr>
          </w:p>
          <w:p w14:paraId="7CEBEC13">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480" w:lineRule="exact"/>
              <w:ind w:leftChars="200" w:right="0" w:rightChars="0"/>
              <w:jc w:val="left"/>
              <w:textAlignment w:val="auto"/>
              <w:rPr>
                <w:rFonts w:hint="eastAsia" w:cs="Times New Roman"/>
                <w:b/>
                <w:bCs w:val="0"/>
                <w:smallCaps w:val="0"/>
                <w:color w:val="000000" w:themeColor="text1"/>
                <w:spacing w:val="0"/>
                <w:kern w:val="0"/>
                <w:position w:val="0"/>
                <w:sz w:val="24"/>
                <w:szCs w:val="24"/>
                <w:highlight w:val="no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5、与《煤场、料场、渣场扬尘污染控制技术规范》（DB13/T2352-2016）相关要求的符合性分析</w:t>
            </w:r>
          </w:p>
          <w:p w14:paraId="74874111">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项目与</w:t>
            </w:r>
            <w:r>
              <w:rPr>
                <w:rFonts w:hint="eastAsia" w:ascii="Times New Roman" w:hAnsi="Times New Roman" w:eastAsia="宋体" w:cs="Times New Roman"/>
                <w:b/>
                <w:bCs w:val="0"/>
                <w:color w:val="000000" w:themeColor="text1"/>
                <w:sz w:val="21"/>
                <w:szCs w:val="21"/>
                <w:highlight w:val="none"/>
                <w:lang w:val="en-US" w:eastAsia="zh-CN"/>
                <w14:textFill>
                  <w14:solidFill>
                    <w14:schemeClr w14:val="tx1"/>
                  </w14:solidFill>
                </w14:textFill>
              </w:rPr>
              <w:t>《煤场、料场、渣场扬尘污染控制技术规范》</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的符合性分析</w:t>
            </w:r>
          </w:p>
          <w:tbl>
            <w:tblPr>
              <w:tblStyle w:val="32"/>
              <w:tblW w:w="4864"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490"/>
              <w:gridCol w:w="936"/>
              <w:gridCol w:w="538"/>
              <w:gridCol w:w="578"/>
              <w:gridCol w:w="5613"/>
              <w:gridCol w:w="4032"/>
              <w:gridCol w:w="487"/>
            </w:tblGrid>
            <w:tr w14:paraId="6984195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293" w:hRule="atLeast"/>
                <w:jc w:val="center"/>
              </w:trPr>
              <w:tc>
                <w:tcPr>
                  <w:tcW w:w="193" w:type="pct"/>
                  <w:tcBorders>
                    <w:tl2br w:val="nil"/>
                    <w:tr2bl w:val="nil"/>
                  </w:tcBorders>
                  <w:noWrap w:val="0"/>
                  <w:vAlign w:val="center"/>
                </w:tcPr>
                <w:p w14:paraId="07BE38D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序号</w:t>
                  </w:r>
                </w:p>
              </w:tc>
              <w:tc>
                <w:tcPr>
                  <w:tcW w:w="3023" w:type="pct"/>
                  <w:gridSpan w:val="4"/>
                  <w:tcBorders>
                    <w:tl2br w:val="nil"/>
                    <w:tr2bl w:val="nil"/>
                  </w:tcBorders>
                  <w:noWrap w:val="0"/>
                  <w:vAlign w:val="center"/>
                </w:tcPr>
                <w:p w14:paraId="03D5D9B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相关文件</w:t>
                  </w:r>
                </w:p>
              </w:tc>
              <w:tc>
                <w:tcPr>
                  <w:tcW w:w="1590" w:type="pct"/>
                  <w:tcBorders>
                    <w:tl2br w:val="nil"/>
                    <w:tr2bl w:val="nil"/>
                  </w:tcBorders>
                  <w:noWrap w:val="0"/>
                  <w:vAlign w:val="center"/>
                </w:tcPr>
                <w:p w14:paraId="496D90B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工程情况</w:t>
                  </w:r>
                </w:p>
              </w:tc>
              <w:tc>
                <w:tcPr>
                  <w:tcW w:w="192" w:type="pct"/>
                  <w:tcBorders>
                    <w:tl2br w:val="nil"/>
                    <w:tr2bl w:val="nil"/>
                  </w:tcBorders>
                  <w:noWrap w:val="0"/>
                  <w:vAlign w:val="center"/>
                </w:tcPr>
                <w:p w14:paraId="7FD26A1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结论</w:t>
                  </w:r>
                </w:p>
              </w:tc>
            </w:tr>
            <w:tr w14:paraId="04E4141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529" w:hRule="atLeast"/>
                <w:jc w:val="center"/>
              </w:trPr>
              <w:tc>
                <w:tcPr>
                  <w:tcW w:w="193" w:type="pct"/>
                  <w:vMerge w:val="restart"/>
                  <w:tcBorders>
                    <w:tl2br w:val="nil"/>
                    <w:tr2bl w:val="nil"/>
                  </w:tcBorders>
                  <w:noWrap w:val="0"/>
                  <w:vAlign w:val="center"/>
                </w:tcPr>
                <w:p w14:paraId="361EB87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p>
              </w:tc>
              <w:tc>
                <w:tcPr>
                  <w:tcW w:w="369" w:type="pct"/>
                  <w:vMerge w:val="restart"/>
                  <w:tcBorders>
                    <w:tl2br w:val="nil"/>
                    <w:tr2bl w:val="nil"/>
                  </w:tcBorders>
                  <w:noWrap w:val="0"/>
                  <w:vAlign w:val="center"/>
                </w:tcPr>
                <w:p w14:paraId="67667B1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《煤场、料场、渣场扬尘污染控制技术规范》（DB13/T2352-2016）</w:t>
                  </w:r>
                </w:p>
              </w:tc>
              <w:tc>
                <w:tcPr>
                  <w:tcW w:w="212" w:type="pct"/>
                  <w:vMerge w:val="restart"/>
                  <w:tcBorders>
                    <w:tl2br w:val="nil"/>
                    <w:tr2bl w:val="nil"/>
                  </w:tcBorders>
                  <w:noWrap w:val="0"/>
                  <w:vAlign w:val="center"/>
                </w:tcPr>
                <w:p w14:paraId="28970BB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其他行业</w:t>
                  </w:r>
                </w:p>
              </w:tc>
              <w:tc>
                <w:tcPr>
                  <w:tcW w:w="227" w:type="pct"/>
                  <w:tcBorders>
                    <w:tl2br w:val="nil"/>
                    <w:tr2bl w:val="nil"/>
                  </w:tcBorders>
                  <w:noWrap w:val="0"/>
                  <w:vAlign w:val="center"/>
                </w:tcPr>
                <w:p w14:paraId="159013C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物料运输、装卸</w:t>
                  </w:r>
                </w:p>
              </w:tc>
              <w:tc>
                <w:tcPr>
                  <w:tcW w:w="2214" w:type="pct"/>
                  <w:tcBorders>
                    <w:tl2br w:val="nil"/>
                    <w:tr2bl w:val="nil"/>
                  </w:tcBorders>
                  <w:noWrap w:val="0"/>
                  <w:vAlign w:val="center"/>
                </w:tcPr>
                <w:p w14:paraId="599B75A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 xml:space="preserve">粉状物料（如铁精粉、生石灰粉等干料）运输车辆应采用密闭车斗或罐车。 </w:t>
                  </w:r>
                </w:p>
                <w:p w14:paraId="131BF01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块状物料（如烧结矿、球团矿、焦炭等物料）运输车辆装载高度最高点不得超过车辆槽帮上沿40cm，两侧边缘应当低于槽帮上缘10cm。车斗应用苫布覆盖，苫布边缘至少要遮住槽帮上沿以下15cm。物料转运时转运设施应采取密闭措施，转运站和落料点配套抽风收尘装置。</w:t>
                  </w:r>
                </w:p>
                <w:p w14:paraId="3577B3F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3.</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应设置洗车平台，完善排水设施，防止泥土粘带。运输车辆在煤场、料场出口内侧设置洗车平台，车辆驶离煤场、料场前，应在洗车平台清洗轮胎及车身，不得带泥上路。洗车平台四周应设置防溢座、废水导流渠、废水收集池、</w:t>
                  </w:r>
                  <w:r>
                    <w:rPr>
                      <w:rFonts w:hint="eastAsia" w:cs="Times New Roman"/>
                      <w:color w:val="000000" w:themeColor="text1"/>
                      <w:spacing w:val="0"/>
                      <w:sz w:val="21"/>
                      <w:szCs w:val="21"/>
                      <w:highlight w:val="none"/>
                      <w:lang w:val="en-US" w:eastAsia="zh-CN"/>
                      <w14:textFill>
                        <w14:solidFill>
                          <w14:schemeClr w14:val="tx1"/>
                        </w14:solidFill>
                      </w14:textFill>
                    </w:rPr>
                    <w:t>沉沙池</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及其它防治设施，收集洗车以及降水过程中产生的废水和泥浆。</w:t>
                  </w:r>
                </w:p>
                <w:p w14:paraId="6B23055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4.</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露天装卸物料应当采取洒水、喷淋等抑尘措施，密闭输送物料应在装卸处配备吸尘、喷淋等设施。</w:t>
                  </w:r>
                </w:p>
              </w:tc>
              <w:tc>
                <w:tcPr>
                  <w:tcW w:w="1590" w:type="pct"/>
                  <w:tcBorders>
                    <w:tl2br w:val="nil"/>
                    <w:tr2bl w:val="nil"/>
                  </w:tcBorders>
                  <w:noWrap w:val="0"/>
                  <w:vAlign w:val="center"/>
                </w:tcPr>
                <w:p w14:paraId="71F2F5C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本项目所有物料按</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要求进行运输；</w:t>
                  </w:r>
                  <w:r>
                    <w:rPr>
                      <w:rFonts w:hint="eastAsia" w:cs="Times New Roman"/>
                      <w:color w:val="000000" w:themeColor="text1"/>
                      <w:spacing w:val="0"/>
                      <w:sz w:val="21"/>
                      <w:szCs w:val="21"/>
                      <w:highlight w:val="none"/>
                      <w:lang w:val="en-US" w:eastAsia="zh-CN"/>
                      <w14:textFill>
                        <w14:solidFill>
                          <w14:schemeClr w14:val="tx1"/>
                        </w14:solidFill>
                      </w14:textFill>
                    </w:rPr>
                    <w:t>本项目依托现有洗车平台，</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洗车平台设置</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厂区于</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出入口处，并配套建设沉淀池、清水池，洗车废水循环使用；</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项目原料</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装卸、存储均在</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封闭的</w:t>
                  </w:r>
                  <w:r>
                    <w:rPr>
                      <w:rFonts w:hint="eastAsia" w:cs="Times New Roman"/>
                      <w:color w:val="000000" w:themeColor="text1"/>
                      <w:spacing w:val="0"/>
                      <w:sz w:val="21"/>
                      <w:szCs w:val="21"/>
                      <w:highlight w:val="none"/>
                      <w:lang w:val="en-US" w:eastAsia="zh-CN"/>
                      <w14:textFill>
                        <w14:solidFill>
                          <w14:schemeClr w14:val="tx1"/>
                        </w14:solidFill>
                      </w14:textFill>
                    </w:rPr>
                    <w:t>预处理车间</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内</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进行</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r>
                    <w:rPr>
                      <w:rFonts w:hint="eastAsia" w:cs="Times New Roman"/>
                      <w:color w:val="000000" w:themeColor="text1"/>
                      <w:spacing w:val="0"/>
                      <w:sz w:val="21"/>
                      <w:szCs w:val="21"/>
                      <w:highlight w:val="none"/>
                      <w:lang w:val="en-US" w:eastAsia="zh-CN"/>
                      <w14:textFill>
                        <w14:solidFill>
                          <w14:schemeClr w14:val="tx1"/>
                        </w14:solidFill>
                      </w14:textFill>
                    </w:rPr>
                    <w:t>预处理车间</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并设置喷雾抑尘设施</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密闭输送物料在装卸处配备吸尘、喷淋等设施。</w:t>
                  </w:r>
                </w:p>
              </w:tc>
              <w:tc>
                <w:tcPr>
                  <w:tcW w:w="192" w:type="pct"/>
                  <w:tcBorders>
                    <w:tl2br w:val="nil"/>
                    <w:tr2bl w:val="nil"/>
                  </w:tcBorders>
                  <w:noWrap w:val="0"/>
                  <w:vAlign w:val="center"/>
                </w:tcPr>
                <w:p w14:paraId="77E1334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3C29B13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518" w:hRule="atLeast"/>
                <w:jc w:val="center"/>
              </w:trPr>
              <w:tc>
                <w:tcPr>
                  <w:tcW w:w="193" w:type="pct"/>
                  <w:vMerge w:val="continue"/>
                  <w:tcBorders>
                    <w:tl2br w:val="nil"/>
                    <w:tr2bl w:val="nil"/>
                  </w:tcBorders>
                  <w:noWrap w:val="0"/>
                  <w:vAlign w:val="center"/>
                </w:tcPr>
                <w:p w14:paraId="03FA033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p>
              </w:tc>
              <w:tc>
                <w:tcPr>
                  <w:tcW w:w="369" w:type="pct"/>
                  <w:vMerge w:val="continue"/>
                  <w:tcBorders>
                    <w:tl2br w:val="nil"/>
                    <w:tr2bl w:val="nil"/>
                  </w:tcBorders>
                  <w:noWrap w:val="0"/>
                  <w:vAlign w:val="center"/>
                </w:tcPr>
                <w:p w14:paraId="1F2E531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212" w:type="pct"/>
                  <w:vMerge w:val="continue"/>
                  <w:tcBorders>
                    <w:tl2br w:val="nil"/>
                    <w:tr2bl w:val="nil"/>
                  </w:tcBorders>
                  <w:noWrap w:val="0"/>
                  <w:vAlign w:val="center"/>
                </w:tcPr>
                <w:p w14:paraId="624E5FC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227" w:type="pct"/>
                  <w:tcBorders>
                    <w:tl2br w:val="nil"/>
                    <w:tr2bl w:val="nil"/>
                  </w:tcBorders>
                  <w:noWrap w:val="0"/>
                  <w:vAlign w:val="center"/>
                </w:tcPr>
                <w:p w14:paraId="2BFCF36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物料储存</w:t>
                  </w:r>
                </w:p>
              </w:tc>
              <w:tc>
                <w:tcPr>
                  <w:tcW w:w="2214" w:type="pct"/>
                  <w:tcBorders>
                    <w:tl2br w:val="nil"/>
                    <w:tr2bl w:val="nil"/>
                  </w:tcBorders>
                  <w:noWrap w:val="0"/>
                  <w:vAlign w:val="center"/>
                </w:tcPr>
                <w:p w14:paraId="6CD5D1AA">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粉状物料储存可采用入棚、入仓储存，棚内设有喷淋装置，在物料装卸时洒水降尘，棚内应设置横向防雨天窗，也可采用防风抑尘网+喷淋装置进行储存</w:t>
                  </w:r>
                </w:p>
                <w:p w14:paraId="0DDFDE0F">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块状物料储存可采用入棚、入仓方式储存，也可采用防风抑尘网+喷淋装置储存，露天堆场贮存过程中，必须采取洒水、遮盖或喷洒抑尘剂等措施控制扬尘。</w:t>
                  </w:r>
                </w:p>
              </w:tc>
              <w:tc>
                <w:tcPr>
                  <w:tcW w:w="1590" w:type="pct"/>
                  <w:tcBorders>
                    <w:tl2br w:val="nil"/>
                    <w:tr2bl w:val="nil"/>
                  </w:tcBorders>
                  <w:shd w:val="clear" w:color="auto" w:fill="auto"/>
                  <w:noWrap w:val="0"/>
                  <w:vAlign w:val="center"/>
                </w:tcPr>
                <w:p w14:paraId="72A6EF8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本项目原料储存于封闭的预处理车间内，预处理车间配置</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喷雾抑尘设施</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w:t>
                  </w:r>
                </w:p>
              </w:tc>
              <w:tc>
                <w:tcPr>
                  <w:tcW w:w="192" w:type="pct"/>
                  <w:tcBorders>
                    <w:tl2br w:val="nil"/>
                    <w:tr2bl w:val="nil"/>
                  </w:tcBorders>
                  <w:shd w:val="clear" w:color="auto" w:fill="auto"/>
                  <w:noWrap w:val="0"/>
                  <w:vAlign w:val="center"/>
                </w:tcPr>
                <w:p w14:paraId="635201C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31A65B9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792" w:hRule="atLeast"/>
                <w:jc w:val="center"/>
              </w:trPr>
              <w:tc>
                <w:tcPr>
                  <w:tcW w:w="193" w:type="pct"/>
                  <w:vMerge w:val="continue"/>
                  <w:tcBorders>
                    <w:tl2br w:val="nil"/>
                    <w:tr2bl w:val="nil"/>
                  </w:tcBorders>
                  <w:noWrap w:val="0"/>
                  <w:vAlign w:val="center"/>
                </w:tcPr>
                <w:p w14:paraId="13CBAA0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369" w:type="pct"/>
                  <w:vMerge w:val="continue"/>
                  <w:tcBorders>
                    <w:tl2br w:val="nil"/>
                    <w:tr2bl w:val="nil"/>
                  </w:tcBorders>
                  <w:noWrap w:val="0"/>
                  <w:vAlign w:val="center"/>
                </w:tcPr>
                <w:p w14:paraId="4FA95BC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440" w:type="pct"/>
                  <w:gridSpan w:val="2"/>
                  <w:tcBorders>
                    <w:tl2br w:val="nil"/>
                    <w:tr2bl w:val="nil"/>
                  </w:tcBorders>
                  <w:noWrap w:val="0"/>
                  <w:vAlign w:val="center"/>
                </w:tcPr>
                <w:p w14:paraId="60D2252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厂内运输道路</w:t>
                  </w:r>
                </w:p>
              </w:tc>
              <w:tc>
                <w:tcPr>
                  <w:tcW w:w="2214" w:type="pct"/>
                  <w:tcBorders>
                    <w:tl2br w:val="nil"/>
                    <w:tr2bl w:val="nil"/>
                  </w:tcBorders>
                  <w:noWrap w:val="0"/>
                  <w:vAlign w:val="center"/>
                </w:tcPr>
                <w:p w14:paraId="5694B04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各工业企业厂区道路应进行硬化，定期清扫、洒水，以保持道路积尘处于低负荷状态</w:t>
                  </w:r>
                  <w:r>
                    <w:rPr>
                      <w:rFonts w:hint="eastAsia" w:cs="Times New Roman"/>
                      <w:color w:val="000000" w:themeColor="text1"/>
                      <w:spacing w:val="0"/>
                      <w:sz w:val="21"/>
                      <w:szCs w:val="21"/>
                      <w:highlight w:val="none"/>
                      <w:lang w:val="en-US" w:eastAsia="zh-CN"/>
                      <w14:textFill>
                        <w14:solidFill>
                          <w14:schemeClr w14:val="tx1"/>
                        </w14:solidFill>
                      </w14:textFill>
                    </w:rPr>
                    <w:t>。</w:t>
                  </w:r>
                </w:p>
              </w:tc>
              <w:tc>
                <w:tcPr>
                  <w:tcW w:w="1590" w:type="pct"/>
                  <w:tcBorders>
                    <w:tl2br w:val="nil"/>
                    <w:tr2bl w:val="nil"/>
                  </w:tcBorders>
                  <w:noWrap w:val="0"/>
                  <w:vAlign w:val="center"/>
                </w:tcPr>
                <w:p w14:paraId="0907AB2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厂区内路面全部硬化、无破损，厂区实现“非硬即绿”</w:t>
                  </w:r>
                  <w:r>
                    <w:rPr>
                      <w:rFonts w:hint="eastAsia" w:ascii="Times New Roman" w:hAnsi="Times New Roman" w:eastAsia="宋体" w:cs="Times New Roman"/>
                      <w:color w:val="000000" w:themeColor="text1"/>
                      <w:spacing w:val="0"/>
                      <w:sz w:val="21"/>
                      <w:szCs w:val="21"/>
                      <w:highlight w:val="none"/>
                      <w:lang w:val="zh-CN"/>
                      <w14:textFill>
                        <w14:solidFill>
                          <w14:schemeClr w14:val="tx1"/>
                        </w14:solidFill>
                      </w14:textFill>
                    </w:rPr>
                    <w:t>。</w:t>
                  </w:r>
                  <w:r>
                    <w:rPr>
                      <w:rFonts w:hint="eastAsia" w:cs="Times New Roman"/>
                      <w:color w:val="000000" w:themeColor="text1"/>
                      <w:spacing w:val="0"/>
                      <w:sz w:val="21"/>
                      <w:szCs w:val="21"/>
                      <w:highlight w:val="none"/>
                      <w:lang w:val="zh-CN"/>
                      <w14:textFill>
                        <w14:solidFill>
                          <w14:schemeClr w14:val="tx1"/>
                        </w14:solidFill>
                      </w14:textFill>
                    </w:rPr>
                    <w:t>企业</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定期清扫、洒水，保持道路积尘处于低负荷状态。</w:t>
                  </w:r>
                </w:p>
              </w:tc>
              <w:tc>
                <w:tcPr>
                  <w:tcW w:w="192" w:type="pct"/>
                  <w:tcBorders>
                    <w:tl2br w:val="nil"/>
                    <w:tr2bl w:val="nil"/>
                  </w:tcBorders>
                  <w:noWrap w:val="0"/>
                  <w:vAlign w:val="center"/>
                </w:tcPr>
                <w:p w14:paraId="16B46F1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bl>
          <w:p w14:paraId="4E384603">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b w:val="0"/>
                <w:bCs/>
                <w:color w:val="000000" w:themeColor="text1"/>
                <w:highlight w:val="none"/>
                <w:lang w:val="zh-CN"/>
                <w14:textFill>
                  <w14:solidFill>
                    <w14:schemeClr w14:val="tx1"/>
                  </w14:solidFill>
                </w14:textFill>
              </w:rPr>
            </w:pPr>
            <w:r>
              <w:rPr>
                <w:rFonts w:hint="eastAsia" w:ascii="Times New Roman" w:hAnsi="Times New Roman" w:cs="Times New Roman"/>
                <w:color w:val="000000" w:themeColor="text1"/>
                <w:highlight w:val="none"/>
                <w:lang w:val="zh-CN"/>
                <w14:textFill>
                  <w14:solidFill>
                    <w14:schemeClr w14:val="tx1"/>
                  </w14:solidFill>
                </w14:textFill>
              </w:rPr>
              <w:t>由上表可知</w:t>
            </w:r>
            <w:r>
              <w:rPr>
                <w:rFonts w:hint="default" w:ascii="Times New Roman" w:hAnsi="Times New Roman" w:cs="Times New Roman"/>
                <w:color w:val="000000" w:themeColor="text1"/>
                <w:highlight w:val="none"/>
                <w:lang w:val="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本项目</w:t>
            </w:r>
            <w:r>
              <w:rPr>
                <w:rFonts w:hint="default" w:ascii="Times New Roman" w:hAnsi="Times New Roman" w:cs="Times New Roman"/>
                <w:color w:val="000000" w:themeColor="text1"/>
                <w:highlight w:val="none"/>
                <w:lang w:val="zh-CN"/>
                <w14:textFill>
                  <w14:solidFill>
                    <w14:schemeClr w14:val="tx1"/>
                  </w14:solidFill>
                </w14:textFill>
              </w:rPr>
              <w:t>的建设符合</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《煤场、料场、渣场扬尘污染控制技术规范》（DB13/T2352-2016）相关要求</w:t>
            </w:r>
            <w:r>
              <w:rPr>
                <w:rFonts w:hint="default" w:ascii="Times New Roman" w:hAnsi="Times New Roman" w:cs="Times New Roman"/>
                <w:b w:val="0"/>
                <w:bCs/>
                <w:color w:val="000000" w:themeColor="text1"/>
                <w:highlight w:val="none"/>
                <w:lang w:val="zh-CN"/>
                <w14:textFill>
                  <w14:solidFill>
                    <w14:schemeClr w14:val="tx1"/>
                  </w14:solidFill>
                </w14:textFill>
              </w:rPr>
              <w:t>。</w:t>
            </w:r>
          </w:p>
          <w:p w14:paraId="353F729D">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0A78F8FE">
            <w:pPr>
              <w:pStyle w:val="29"/>
              <w:shd w:val="clear"/>
              <w:adjustRightInd w:val="0"/>
              <w:snapToGrid w:val="0"/>
              <w:spacing w:before="0" w:beforeAutospacing="0" w:after="0" w:afterAutospacing="0" w:line="440" w:lineRule="exact"/>
              <w:ind w:firstLine="482" w:firstLineChars="200"/>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color w:val="000000" w:themeColor="text1"/>
                <w:sz w:val="24"/>
                <w:szCs w:val="24"/>
                <w:highlight w:val="none"/>
                <w:lang w:val="en-US" w:eastAsia="zh-CN"/>
                <w14:textFill>
                  <w14:solidFill>
                    <w14:schemeClr w14:val="tx1"/>
                  </w14:solidFill>
                </w14:textFill>
              </w:rPr>
              <w:t>6、</w:t>
            </w:r>
            <w:r>
              <w:rPr>
                <w:rFonts w:hint="eastAsia" w:ascii="Times New Roman" w:hAnsi="Times New Roman" w:eastAsia="宋体" w:cs="Times New Roman"/>
                <w:b/>
                <w:color w:val="000000" w:themeColor="text1"/>
                <w:sz w:val="24"/>
                <w:szCs w:val="24"/>
                <w:highlight w:val="none"/>
                <w:lang w:val="en-US" w:eastAsia="zh-CN"/>
                <w14:textFill>
                  <w14:solidFill>
                    <w14:schemeClr w14:val="tx1"/>
                  </w14:solidFill>
                </w14:textFill>
              </w:rPr>
              <w:t>与绩效评级相关要求的符合性分析</w:t>
            </w:r>
          </w:p>
          <w:p w14:paraId="0A954EB4">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本项目与《河北省十一个行业重污染天气应急减排措施制定技术指南（试行）》中矿石采选与加工行业中“非金属矿采选与加工行业绩效引领性指标”</w:t>
            </w:r>
            <w:r>
              <w:rPr>
                <w:rFonts w:hint="eastAsia" w:cs="Times New Roman"/>
                <w:color w:val="000000" w:themeColor="text1"/>
                <w:highlight w:val="none"/>
                <w:lang w:val="en-US" w:eastAsia="zh-CN"/>
                <w14:textFill>
                  <w14:solidFill>
                    <w14:schemeClr w14:val="tx1"/>
                  </w14:solidFill>
                </w14:textFill>
              </w:rPr>
              <w:t>以及《河北省生态环境厅办公室关于调整部分重点行业环保绩效评级指标的通知》（冀环办字函﹝2025﹞161号）</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的符合性分析见表</w:t>
            </w:r>
            <w:r>
              <w:rPr>
                <w:rFonts w:hint="eastAsia" w:cs="Times New Roman"/>
                <w:color w:val="000000" w:themeColor="text1"/>
                <w:highlight w:val="none"/>
                <w:lang w:val="en-US" w:eastAsia="zh-CN"/>
                <w14:textFill>
                  <w14:solidFill>
                    <w14:schemeClr w14:val="tx1"/>
                  </w14:solidFill>
                </w14:textFill>
              </w:rPr>
              <w:t>4</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p w14:paraId="7DF262B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项目与绩效评级相关要求的符合性分析</w:t>
            </w:r>
          </w:p>
          <w:tbl>
            <w:tblPr>
              <w:tblStyle w:val="32"/>
              <w:tblW w:w="4770"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715"/>
              <w:gridCol w:w="1052"/>
              <w:gridCol w:w="5458"/>
              <w:gridCol w:w="3975"/>
              <w:gridCol w:w="1229"/>
            </w:tblGrid>
            <w:tr w14:paraId="1460034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92" w:hRule="atLeast"/>
                <w:jc w:val="center"/>
              </w:trPr>
              <w:tc>
                <w:tcPr>
                  <w:tcW w:w="287" w:type="pct"/>
                  <w:tcBorders>
                    <w:tl2br w:val="nil"/>
                    <w:tr2bl w:val="nil"/>
                  </w:tcBorders>
                  <w:noWrap w:val="0"/>
                  <w:vAlign w:val="center"/>
                </w:tcPr>
                <w:p w14:paraId="0A2D49E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序号</w:t>
                  </w:r>
                </w:p>
              </w:tc>
              <w:tc>
                <w:tcPr>
                  <w:tcW w:w="2618" w:type="pct"/>
                  <w:gridSpan w:val="2"/>
                  <w:tcBorders>
                    <w:tl2br w:val="nil"/>
                    <w:tr2bl w:val="nil"/>
                  </w:tcBorders>
                  <w:noWrap w:val="0"/>
                  <w:vAlign w:val="center"/>
                </w:tcPr>
                <w:p w14:paraId="53A9B24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非金属矿采选与加工行业绩效引领性指标</w:t>
                  </w:r>
                </w:p>
              </w:tc>
              <w:tc>
                <w:tcPr>
                  <w:tcW w:w="1599" w:type="pct"/>
                  <w:tcBorders>
                    <w:tl2br w:val="nil"/>
                    <w:tr2bl w:val="nil"/>
                  </w:tcBorders>
                  <w:noWrap w:val="0"/>
                  <w:vAlign w:val="center"/>
                </w:tcPr>
                <w:p w14:paraId="4C773BA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本项目</w:t>
                  </w:r>
                </w:p>
              </w:tc>
              <w:tc>
                <w:tcPr>
                  <w:tcW w:w="494" w:type="pct"/>
                  <w:tcBorders>
                    <w:tl2br w:val="nil"/>
                    <w:tr2bl w:val="nil"/>
                  </w:tcBorders>
                  <w:noWrap w:val="0"/>
                  <w:vAlign w:val="center"/>
                </w:tcPr>
                <w:p w14:paraId="7ABB1D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结论</w:t>
                  </w:r>
                </w:p>
              </w:tc>
            </w:tr>
            <w:tr w14:paraId="427D70E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77" w:hRule="atLeast"/>
                <w:jc w:val="center"/>
              </w:trPr>
              <w:tc>
                <w:tcPr>
                  <w:tcW w:w="287" w:type="pct"/>
                  <w:tcBorders>
                    <w:tl2br w:val="nil"/>
                    <w:tr2bl w:val="nil"/>
                  </w:tcBorders>
                  <w:noWrap w:val="0"/>
                  <w:vAlign w:val="center"/>
                </w:tcPr>
                <w:p w14:paraId="3974E3C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w:t>
                  </w:r>
                </w:p>
              </w:tc>
              <w:tc>
                <w:tcPr>
                  <w:tcW w:w="423" w:type="pct"/>
                  <w:tcBorders>
                    <w:tl2br w:val="nil"/>
                    <w:tr2bl w:val="nil"/>
                  </w:tcBorders>
                  <w:noWrap w:val="0"/>
                  <w:vAlign w:val="center"/>
                </w:tcPr>
                <w:p w14:paraId="4C9E0E5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能源类型</w:t>
                  </w:r>
                </w:p>
              </w:tc>
              <w:tc>
                <w:tcPr>
                  <w:tcW w:w="2195" w:type="pct"/>
                  <w:tcBorders>
                    <w:tl2br w:val="nil"/>
                    <w:tr2bl w:val="nil"/>
                  </w:tcBorders>
                  <w:noWrap w:val="0"/>
                  <w:vAlign w:val="center"/>
                </w:tcPr>
                <w:p w14:paraId="638546E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锅炉采用电、天然气。</w:t>
                  </w:r>
                </w:p>
              </w:tc>
              <w:tc>
                <w:tcPr>
                  <w:tcW w:w="1599" w:type="pct"/>
                  <w:tcBorders>
                    <w:tl2br w:val="nil"/>
                    <w:tr2bl w:val="nil"/>
                  </w:tcBorders>
                  <w:noWrap w:val="0"/>
                  <w:vAlign w:val="center"/>
                </w:tcPr>
                <w:p w14:paraId="6DAE8E6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项目不涉及锅炉，项目不涉及天然气的使用，项目用电引自本地电网。</w:t>
                  </w:r>
                </w:p>
              </w:tc>
              <w:tc>
                <w:tcPr>
                  <w:tcW w:w="494" w:type="pct"/>
                  <w:tcBorders>
                    <w:tl2br w:val="nil"/>
                    <w:tr2bl w:val="nil"/>
                  </w:tcBorders>
                  <w:noWrap w:val="0"/>
                  <w:vAlign w:val="center"/>
                </w:tcPr>
                <w:p w14:paraId="2C88D9D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2BB1DB0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850" w:hRule="atLeast"/>
                <w:jc w:val="center"/>
              </w:trPr>
              <w:tc>
                <w:tcPr>
                  <w:tcW w:w="287" w:type="pct"/>
                  <w:tcBorders>
                    <w:tl2br w:val="nil"/>
                    <w:tr2bl w:val="nil"/>
                  </w:tcBorders>
                  <w:noWrap w:val="0"/>
                  <w:vAlign w:val="center"/>
                </w:tcPr>
                <w:p w14:paraId="52BC76F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w:t>
                  </w:r>
                </w:p>
              </w:tc>
              <w:tc>
                <w:tcPr>
                  <w:tcW w:w="423" w:type="pct"/>
                  <w:tcBorders>
                    <w:tl2br w:val="nil"/>
                    <w:tr2bl w:val="nil"/>
                  </w:tcBorders>
                  <w:noWrap w:val="0"/>
                  <w:vAlign w:val="center"/>
                </w:tcPr>
                <w:p w14:paraId="1892700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污染治理技术</w:t>
                  </w:r>
                </w:p>
              </w:tc>
              <w:tc>
                <w:tcPr>
                  <w:tcW w:w="2195" w:type="pct"/>
                  <w:tcBorders>
                    <w:tl2br w:val="nil"/>
                    <w:tr2bl w:val="nil"/>
                  </w:tcBorders>
                  <w:noWrap w:val="0"/>
                  <w:vAlign w:val="center"/>
                </w:tcPr>
                <w:p w14:paraId="6B0B1B3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cs="Times New Roman"/>
                      <w:color w:val="000000" w:themeColor="text1"/>
                      <w:spacing w:val="0"/>
                      <w:sz w:val="21"/>
                      <w:szCs w:val="21"/>
                      <w:highlight w:val="none"/>
                      <w:lang w:val="en-US" w:eastAsia="zh-CN"/>
                      <w14:textFill>
                        <w14:solidFill>
                          <w14:schemeClr w14:val="tx1"/>
                        </w14:solidFill>
                      </w14:textFill>
                    </w:rPr>
                    <w:t>1.</w:t>
                  </w:r>
                  <w:r>
                    <w:rPr>
                      <w:rFonts w:hint="eastAsia" w:cs="Times New Roman"/>
                      <w:color w:val="000000" w:themeColor="text1"/>
                      <w:spacing w:val="0"/>
                      <w:sz w:val="21"/>
                      <w:szCs w:val="21"/>
                      <w:highlight w:val="none"/>
                      <w:lang w:val="en-US" w:eastAsia="zh-CN"/>
                      <w14:textFill>
                        <w14:solidFill>
                          <w14:schemeClr w14:val="tx1"/>
                        </w14:solidFill>
                      </w14:textFill>
                    </w:rPr>
                    <w:t>除尘采用覆膜滤袋、滤筒等高效除尘技术（设计除尘效率不低于</w:t>
                  </w:r>
                  <w:r>
                    <w:rPr>
                      <w:rFonts w:hint="default" w:cs="Times New Roman"/>
                      <w:color w:val="000000" w:themeColor="text1"/>
                      <w:spacing w:val="0"/>
                      <w:sz w:val="21"/>
                      <w:szCs w:val="21"/>
                      <w:highlight w:val="none"/>
                      <w:lang w:val="en-US" w:eastAsia="zh-CN"/>
                      <w14:textFill>
                        <w14:solidFill>
                          <w14:schemeClr w14:val="tx1"/>
                        </w14:solidFill>
                      </w14:textFill>
                    </w:rPr>
                    <w:t>99%</w:t>
                  </w:r>
                  <w:r>
                    <w:rPr>
                      <w:rFonts w:hint="eastAsia" w:cs="Times New Roman"/>
                      <w:color w:val="000000" w:themeColor="text1"/>
                      <w:spacing w:val="0"/>
                      <w:sz w:val="21"/>
                      <w:szCs w:val="21"/>
                      <w:highlight w:val="none"/>
                      <w:lang w:val="en-US" w:eastAsia="zh-CN"/>
                      <w14:textFill>
                        <w14:solidFill>
                          <w14:schemeClr w14:val="tx1"/>
                        </w14:solidFill>
                      </w14:textFill>
                    </w:rPr>
                    <w:t>）；</w:t>
                  </w:r>
                </w:p>
                <w:p w14:paraId="070F4AE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cs="Times New Roman"/>
                      <w:color w:val="000000" w:themeColor="text1"/>
                      <w:spacing w:val="0"/>
                      <w:sz w:val="21"/>
                      <w:szCs w:val="21"/>
                      <w:highlight w:val="none"/>
                      <w:lang w:val="en-US" w:eastAsia="zh-CN"/>
                      <w14:textFill>
                        <w14:solidFill>
                          <w14:schemeClr w14:val="tx1"/>
                        </w14:solidFill>
                      </w14:textFill>
                    </w:rPr>
                    <w:t>2.NOx</w:t>
                  </w:r>
                  <w:r>
                    <w:rPr>
                      <w:rFonts w:hint="eastAsia" w:cs="Times New Roman"/>
                      <w:color w:val="000000" w:themeColor="text1"/>
                      <w:spacing w:val="0"/>
                      <w:sz w:val="21"/>
                      <w:szCs w:val="21"/>
                      <w:highlight w:val="none"/>
                      <w:lang w:val="en-US" w:eastAsia="zh-CN"/>
                      <w14:textFill>
                        <w14:solidFill>
                          <w14:schemeClr w14:val="tx1"/>
                        </w14:solidFill>
                      </w14:textFill>
                    </w:rPr>
                    <w:t>治理采用低氮燃烧、</w:t>
                  </w:r>
                  <w:r>
                    <w:rPr>
                      <w:rFonts w:hint="default" w:cs="Times New Roman"/>
                      <w:color w:val="000000" w:themeColor="text1"/>
                      <w:spacing w:val="0"/>
                      <w:sz w:val="21"/>
                      <w:szCs w:val="21"/>
                      <w:highlight w:val="none"/>
                      <w:lang w:val="en-US" w:eastAsia="zh-CN"/>
                      <w14:textFill>
                        <w14:solidFill>
                          <w14:schemeClr w14:val="tx1"/>
                        </w14:solidFill>
                      </w14:textFill>
                    </w:rPr>
                    <w:t>SNCR/SCR</w:t>
                  </w:r>
                  <w:r>
                    <w:rPr>
                      <w:rFonts w:hint="eastAsia" w:cs="Times New Roman"/>
                      <w:color w:val="000000" w:themeColor="text1"/>
                      <w:spacing w:val="0"/>
                      <w:sz w:val="21"/>
                      <w:szCs w:val="21"/>
                      <w:highlight w:val="none"/>
                      <w:lang w:val="en-US" w:eastAsia="zh-CN"/>
                      <w14:textFill>
                        <w14:solidFill>
                          <w14:schemeClr w14:val="tx1"/>
                        </w14:solidFill>
                      </w14:textFill>
                    </w:rPr>
                    <w:t>等适宜技术（不含电炉）。</w:t>
                  </w:r>
                </w:p>
                <w:p w14:paraId="65D74B2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3.污</w:t>
                  </w:r>
                  <w:r>
                    <w:rPr>
                      <w:rFonts w:hint="default" w:cs="Times New Roman"/>
                      <w:color w:val="000000" w:themeColor="text1"/>
                      <w:spacing w:val="0"/>
                      <w:sz w:val="21"/>
                      <w:szCs w:val="21"/>
                      <w:highlight w:val="none"/>
                      <w:lang w:val="en-US" w:eastAsia="zh-CN"/>
                      <w14:textFill>
                        <w14:solidFill>
                          <w14:schemeClr w14:val="tx1"/>
                        </w14:solidFill>
                      </w14:textFill>
                    </w:rPr>
                    <w:t>染治理技术不得使用《国家污染防治技术指导目录》 中的低效类治理技术。</w:t>
                  </w:r>
                </w:p>
              </w:tc>
              <w:tc>
                <w:tcPr>
                  <w:tcW w:w="1599" w:type="pct"/>
                  <w:tcBorders>
                    <w:tl2br w:val="nil"/>
                    <w:tr2bl w:val="nil"/>
                  </w:tcBorders>
                  <w:noWrap w:val="0"/>
                  <w:vAlign w:val="center"/>
                </w:tcPr>
                <w:p w14:paraId="6CA0272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物料破碎、筛分工序除尘采用袋式除尘工艺</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布袋除尘器</w:t>
                  </w:r>
                  <w:r>
                    <w:rPr>
                      <w:rFonts w:hint="eastAsia" w:cs="Times New Roman"/>
                      <w:color w:val="000000" w:themeColor="text1"/>
                      <w:spacing w:val="0"/>
                      <w:sz w:val="21"/>
                      <w:szCs w:val="21"/>
                      <w:highlight w:val="none"/>
                      <w:lang w:val="en-US" w:eastAsia="zh-CN"/>
                      <w14:textFill>
                        <w14:solidFill>
                          <w14:schemeClr w14:val="tx1"/>
                        </w14:solidFill>
                      </w14:textFill>
                    </w:rPr>
                    <w:t>设计除尘效率为99.50%；</w:t>
                  </w:r>
                </w:p>
                <w:p w14:paraId="347E736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2.项目</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不涉及</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NOx</w:t>
                  </w:r>
                  <w:r>
                    <w:rPr>
                      <w:rFonts w:hint="eastAsia" w:cs="Times New Roman"/>
                      <w:color w:val="000000" w:themeColor="text1"/>
                      <w:spacing w:val="0"/>
                      <w:sz w:val="21"/>
                      <w:szCs w:val="21"/>
                      <w:highlight w:val="none"/>
                      <w:lang w:val="en-US" w:eastAsia="zh-CN"/>
                      <w14:textFill>
                        <w14:solidFill>
                          <w14:schemeClr w14:val="tx1"/>
                        </w14:solidFill>
                      </w14:textFill>
                    </w:rPr>
                    <w:t>的排放。</w:t>
                  </w:r>
                </w:p>
                <w:p w14:paraId="49C7EC9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3.本项目使用的污</w:t>
                  </w:r>
                  <w:r>
                    <w:rPr>
                      <w:rFonts w:hint="default" w:cs="Times New Roman"/>
                      <w:color w:val="000000" w:themeColor="text1"/>
                      <w:spacing w:val="0"/>
                      <w:sz w:val="21"/>
                      <w:szCs w:val="21"/>
                      <w:highlight w:val="none"/>
                      <w:lang w:val="en-US" w:eastAsia="zh-CN"/>
                      <w14:textFill>
                        <w14:solidFill>
                          <w14:schemeClr w14:val="tx1"/>
                        </w14:solidFill>
                      </w14:textFill>
                    </w:rPr>
                    <w:t>染治理技术</w:t>
                  </w:r>
                  <w:r>
                    <w:rPr>
                      <w:rFonts w:hint="eastAsia" w:cs="Times New Roman"/>
                      <w:color w:val="000000" w:themeColor="text1"/>
                      <w:spacing w:val="0"/>
                      <w:sz w:val="21"/>
                      <w:szCs w:val="21"/>
                      <w:highlight w:val="none"/>
                      <w:lang w:val="en-US" w:eastAsia="zh-CN"/>
                      <w14:textFill>
                        <w14:solidFill>
                          <w14:schemeClr w14:val="tx1"/>
                        </w14:solidFill>
                      </w14:textFill>
                    </w:rPr>
                    <w:t>不属于</w:t>
                  </w:r>
                  <w:r>
                    <w:rPr>
                      <w:rFonts w:hint="default" w:cs="Times New Roman"/>
                      <w:color w:val="000000" w:themeColor="text1"/>
                      <w:spacing w:val="0"/>
                      <w:sz w:val="21"/>
                      <w:szCs w:val="21"/>
                      <w:highlight w:val="none"/>
                      <w:lang w:val="en-US" w:eastAsia="zh-CN"/>
                      <w14:textFill>
                        <w14:solidFill>
                          <w14:schemeClr w14:val="tx1"/>
                        </w14:solidFill>
                      </w14:textFill>
                    </w:rPr>
                    <w:t>《国家污染防治技术指导目录》 中的低效类治理技术。</w:t>
                  </w:r>
                </w:p>
              </w:tc>
              <w:tc>
                <w:tcPr>
                  <w:tcW w:w="494" w:type="pct"/>
                  <w:tcBorders>
                    <w:tl2br w:val="nil"/>
                    <w:tr2bl w:val="nil"/>
                  </w:tcBorders>
                  <w:noWrap w:val="0"/>
                  <w:vAlign w:val="center"/>
                </w:tcPr>
                <w:p w14:paraId="3DDF486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532495A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646" w:hRule="atLeast"/>
                <w:jc w:val="center"/>
              </w:trPr>
              <w:tc>
                <w:tcPr>
                  <w:tcW w:w="287" w:type="pct"/>
                  <w:tcBorders>
                    <w:tl2br w:val="nil"/>
                    <w:tr2bl w:val="nil"/>
                  </w:tcBorders>
                  <w:shd w:val="clear" w:color="auto" w:fill="auto"/>
                  <w:noWrap w:val="0"/>
                  <w:vAlign w:val="center"/>
                </w:tcPr>
                <w:p w14:paraId="699F5A1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w:t>
                  </w:r>
                </w:p>
              </w:tc>
              <w:tc>
                <w:tcPr>
                  <w:tcW w:w="423" w:type="pct"/>
                  <w:tcBorders>
                    <w:tl2br w:val="nil"/>
                    <w:tr2bl w:val="nil"/>
                  </w:tcBorders>
                  <w:shd w:val="clear" w:color="auto" w:fill="auto"/>
                  <w:noWrap w:val="0"/>
                  <w:vAlign w:val="center"/>
                </w:tcPr>
                <w:p w14:paraId="31ACB30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无组织排放</w:t>
                  </w:r>
                </w:p>
              </w:tc>
              <w:tc>
                <w:tcPr>
                  <w:tcW w:w="2195" w:type="pct"/>
                  <w:tcBorders>
                    <w:tl2br w:val="nil"/>
                    <w:tr2bl w:val="nil"/>
                  </w:tcBorders>
                  <w:noWrap w:val="0"/>
                  <w:vAlign w:val="center"/>
                </w:tcPr>
                <w:p w14:paraId="3FCD5D8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矿石上料口、产品出料口设置集气罩负压收集处理或采取喷淋抑尘措施，生产车间和料场无明显扬尘；矿石破碎、筛分等生产设备全流程置于封闭厂房内，产尘点采取二次封闭或设置集尘罩负压收集后采用除尘处理；固定皮带及转运站点全部封闭，转运站点设置除尘措施；生产车间无明显扬尘；</w:t>
                  </w: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粉状物料全部采取储罐、筒仓（料仓）或覆膜吨包袋等封闭储存；粒状、块状物料全部封闭储存或采取苫盖喷淋等措施；料场货物进出大门为硬质材料门或自动感应门，在确保安全的情况下，所有门窗保持常闭状态；除尘器卸灰口应采取密闭措施，除尘灰不得直接卸落到地面；除尘灰采取袋装、罐装等密闭措施收集、存放和运输；</w:t>
                  </w:r>
                </w:p>
                <w:p w14:paraId="50F0267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各工序粉状、粒状等易产尘物料厂内转移、输送过程应采用气力输送、封闭皮带等；无法封闭的产尘点（物料转载、下料口等）应采取集气除尘措施或采用水雾抑尘措施；</w:t>
                  </w:r>
                </w:p>
                <w:p w14:paraId="02585F2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4</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料场出口处（或厂区出入口）安装运输车辆侧向全覆盖式强制喷淋清洗设施，清洗设施应保证车辆冲洗效果，地面至少设置一排花式喷射喷头。喷淋设施应充分考虑冷冻期结冰问题，合理优化地面基础设计，洗车平台应低于地面（呈斜坡状）；清洗完成后车辆应在洗车槽内短暂停留，避免因车身带水过多造成道路湿滑和冬季积水结冰等安全隐患；冲洗介质可使用温水、添加防冻物质等有效防冻措施；冲洗水循环利用，不外排；</w:t>
                  </w:r>
                </w:p>
                <w:p w14:paraId="0AF8004D">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both"/>
                    <w:textAlignment w:val="auto"/>
                    <w:rPr>
                      <w:rFonts w:hint="default"/>
                      <w:color w:val="000000" w:themeColor="text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5</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厂区内永久道路应硬化，保持清洁，湿式清扫，路面无明显可见积尘；其它道路平整压实，并采取定期洒水清扫等抑尘措施。</w:t>
                  </w:r>
                </w:p>
              </w:tc>
              <w:tc>
                <w:tcPr>
                  <w:tcW w:w="1599" w:type="pct"/>
                  <w:tcBorders>
                    <w:tl2br w:val="nil"/>
                    <w:tr2bl w:val="nil"/>
                  </w:tcBorders>
                  <w:noWrap w:val="0"/>
                  <w:vAlign w:val="center"/>
                </w:tcPr>
                <w:p w14:paraId="7125AFC6">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原料上料在封闭</w:t>
                  </w:r>
                  <w:r>
                    <w:rPr>
                      <w:rFonts w:hint="eastAsia" w:cs="Times New Roman"/>
                      <w:color w:val="000000" w:themeColor="text1"/>
                      <w:spacing w:val="0"/>
                      <w:sz w:val="21"/>
                      <w:szCs w:val="21"/>
                      <w:highlight w:val="none"/>
                      <w:lang w:val="en-US" w:eastAsia="zh-CN"/>
                      <w14:textFill>
                        <w14:solidFill>
                          <w14:schemeClr w14:val="tx1"/>
                        </w14:solidFill>
                      </w14:textFill>
                    </w:rPr>
                    <w:t>的预处理车间</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内</w:t>
                  </w:r>
                  <w:r>
                    <w:rPr>
                      <w:rFonts w:hint="eastAsia" w:cs="Times New Roman"/>
                      <w:color w:val="000000" w:themeColor="text1"/>
                      <w:spacing w:val="0"/>
                      <w:sz w:val="21"/>
                      <w:szCs w:val="21"/>
                      <w:highlight w:val="none"/>
                      <w:lang w:val="en-US" w:eastAsia="zh-CN"/>
                      <w14:textFill>
                        <w14:solidFill>
                          <w14:schemeClr w14:val="tx1"/>
                        </w14:solidFill>
                      </w14:textFill>
                    </w:rPr>
                    <w:t>进行</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eastAsia"/>
                      <w:color w:val="000000" w:themeColor="text1"/>
                      <w:spacing w:val="0"/>
                      <w:sz w:val="21"/>
                      <w:szCs w:val="21"/>
                      <w:highlight w:val="none"/>
                      <w:lang w:val="en-US" w:eastAsia="zh-CN"/>
                      <w14:textFill>
                        <w14:solidFill>
                          <w14:schemeClr w14:val="tx1"/>
                        </w14:solidFill>
                      </w14:textFill>
                    </w:rPr>
                    <w:t>上料仓三面围挡，顶上加盖，设置喷雾抑尘装置</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矿石破碎、筛分等生产设备全流程置于封闭厂房内，产尘点采取二次封闭或设置集尘罩负压收集后采用除尘处理；</w:t>
                  </w:r>
                  <w:r>
                    <w:rPr>
                      <w:rFonts w:hint="eastAsia" w:cs="Times New Roman"/>
                      <w:color w:val="000000" w:themeColor="text1"/>
                      <w:spacing w:val="0"/>
                      <w:sz w:val="21"/>
                      <w:szCs w:val="21"/>
                      <w:highlight w:val="none"/>
                      <w:lang w:val="en-US" w:eastAsia="zh-CN"/>
                      <w14:textFill>
                        <w14:solidFill>
                          <w14:schemeClr w14:val="tx1"/>
                        </w14:solidFill>
                      </w14:textFill>
                    </w:rPr>
                    <w:t>皮带通廊全封闭</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；生产车间无明显扬尘；</w:t>
                  </w:r>
                </w:p>
                <w:p w14:paraId="70E41099">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jc w:val="left"/>
                    <w:textAlignment w:val="auto"/>
                    <w:rPr>
                      <w:rFonts w:hint="eastAsia"/>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物料储存在</w:t>
                  </w:r>
                  <w:r>
                    <w:rPr>
                      <w:rFonts w:hint="eastAsia" w:cs="Times New Roman"/>
                      <w:color w:val="000000" w:themeColor="text1"/>
                      <w:spacing w:val="0"/>
                      <w:sz w:val="21"/>
                      <w:szCs w:val="21"/>
                      <w:highlight w:val="none"/>
                      <w:lang w:val="en-US" w:eastAsia="zh-CN"/>
                      <w14:textFill>
                        <w14:solidFill>
                          <w14:schemeClr w14:val="tx1"/>
                        </w14:solidFill>
                      </w14:textFill>
                    </w:rPr>
                    <w:t>预处理车间</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内，</w:t>
                  </w:r>
                  <w:r>
                    <w:rPr>
                      <w:rFonts w:hint="eastAsia" w:cs="Times New Roman"/>
                      <w:color w:val="000000" w:themeColor="text1"/>
                      <w:spacing w:val="0"/>
                      <w:sz w:val="21"/>
                      <w:szCs w:val="21"/>
                      <w:highlight w:val="none"/>
                      <w:lang w:val="en-US" w:eastAsia="zh-CN"/>
                      <w14:textFill>
                        <w14:solidFill>
                          <w14:schemeClr w14:val="tx1"/>
                        </w14:solidFill>
                      </w14:textFill>
                    </w:rPr>
                    <w:t>预处理车间</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地面硬化，</w:t>
                  </w:r>
                  <w:r>
                    <w:rPr>
                      <w:rFonts w:hint="eastAsia" w:cs="Times New Roman"/>
                      <w:color w:val="000000" w:themeColor="text1"/>
                      <w:spacing w:val="0"/>
                      <w:sz w:val="21"/>
                      <w:szCs w:val="21"/>
                      <w:highlight w:val="none"/>
                      <w:lang w:val="en-US" w:eastAsia="zh-CN"/>
                      <w14:textFill>
                        <w14:solidFill>
                          <w14:schemeClr w14:val="tx1"/>
                        </w14:solidFill>
                      </w14:textFill>
                    </w:rPr>
                    <w:t>设置</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喷雾抑尘装置</w:t>
                  </w:r>
                  <w:r>
                    <w:rPr>
                      <w:rFonts w:hint="eastAsia" w:cs="Times New Roman"/>
                      <w:color w:val="000000" w:themeColor="text1"/>
                      <w:spacing w:val="0"/>
                      <w:sz w:val="21"/>
                      <w:szCs w:val="21"/>
                      <w:highlight w:val="none"/>
                      <w:lang w:val="en-US" w:eastAsia="zh-CN"/>
                      <w14:textFill>
                        <w14:solidFill>
                          <w14:schemeClr w14:val="tx1"/>
                        </w14:solidFill>
                      </w14:textFill>
                    </w:rPr>
                    <w:t>（雾炮）</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，对物料暂存区域全覆盖；</w:t>
                  </w:r>
                  <w:r>
                    <w:rPr>
                      <w:rFonts w:ascii="宋体" w:hAnsi="宋体" w:eastAsia="宋体" w:cs="宋体"/>
                      <w:color w:val="000000" w:themeColor="text1"/>
                      <w:sz w:val="21"/>
                      <w:szCs w:val="21"/>
                      <w:highlight w:val="none"/>
                      <w14:textFill>
                        <w14:solidFill>
                          <w14:schemeClr w14:val="tx1"/>
                        </w14:solidFill>
                      </w14:textFill>
                    </w:rPr>
                    <w:t>预处理车间与现有工程原料库直接相连，不另行单独设置出入口，人员及物料进出均依托现有工程原料库出入口</w:t>
                  </w:r>
                  <w:r>
                    <w:rPr>
                      <w:rFonts w:hint="eastAsia" w:ascii="宋体" w:hAnsi="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原料库已配备自动感应门，物料输送系统采用全封闭</w:t>
                  </w:r>
                  <w:r>
                    <w:rPr>
                      <w:rFonts w:hint="eastAsia" w:ascii="宋体" w:hAnsi="宋体" w:cs="宋体"/>
                      <w:color w:val="000000" w:themeColor="text1"/>
                      <w:sz w:val="21"/>
                      <w:szCs w:val="21"/>
                      <w:highlight w:val="none"/>
                      <w:lang w:eastAsia="zh-CN"/>
                      <w14:textFill>
                        <w14:solidFill>
                          <w14:schemeClr w14:val="tx1"/>
                        </w14:solidFill>
                      </w14:textFill>
                    </w:rPr>
                    <w:t>设计</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；除尘器卸灰处彩钢封闭，卸灰阀连接吨包，确保除尘灰不落地。</w:t>
                  </w:r>
                </w:p>
                <w:p w14:paraId="4613130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3.</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物料转运采用封闭皮带。</w:t>
                  </w:r>
                </w:p>
                <w:p w14:paraId="2D17AEA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4.</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厂区出入口</w:t>
                  </w:r>
                  <w:r>
                    <w:rPr>
                      <w:rFonts w:hint="eastAsia" w:cs="Times New Roman"/>
                      <w:color w:val="000000" w:themeColor="text1"/>
                      <w:spacing w:val="0"/>
                      <w:sz w:val="21"/>
                      <w:szCs w:val="21"/>
                      <w:highlight w:val="none"/>
                      <w:lang w:val="en-US" w:eastAsia="zh-CN"/>
                      <w14:textFill>
                        <w14:solidFill>
                          <w14:schemeClr w14:val="tx1"/>
                        </w14:solidFill>
                      </w14:textFill>
                    </w:rPr>
                    <w:t>设有</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符合要求的车辆冲洗平台，保证车辆冲洗效果，冲洗介质使用温水、添加防冻物质等有效防冻措施；冲洗水循环利用，不外排；</w:t>
                  </w:r>
                </w:p>
                <w:p w14:paraId="6CCB0DB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5.</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厂区内永久道路硬化，保持清洁，湿式清扫，路面无明显可见积尘；其它道路平整压实，并采取定期洒水清扫等抑尘措施。</w:t>
                  </w:r>
                </w:p>
              </w:tc>
              <w:tc>
                <w:tcPr>
                  <w:tcW w:w="494" w:type="pct"/>
                  <w:tcBorders>
                    <w:tl2br w:val="nil"/>
                    <w:tr2bl w:val="nil"/>
                  </w:tcBorders>
                  <w:noWrap w:val="0"/>
                  <w:vAlign w:val="center"/>
                </w:tcPr>
                <w:p w14:paraId="756DAFC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7F7B40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287" w:type="pct"/>
                  <w:tcBorders>
                    <w:tl2br w:val="nil"/>
                    <w:tr2bl w:val="nil"/>
                  </w:tcBorders>
                  <w:noWrap w:val="0"/>
                  <w:vAlign w:val="center"/>
                </w:tcPr>
                <w:p w14:paraId="605D6F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4</w:t>
                  </w:r>
                </w:p>
              </w:tc>
              <w:tc>
                <w:tcPr>
                  <w:tcW w:w="423" w:type="pct"/>
                  <w:tcBorders>
                    <w:tl2br w:val="nil"/>
                    <w:tr2bl w:val="nil"/>
                  </w:tcBorders>
                  <w:noWrap w:val="0"/>
                  <w:vAlign w:val="center"/>
                </w:tcPr>
                <w:p w14:paraId="2BA9A71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排放限值</w:t>
                  </w:r>
                </w:p>
              </w:tc>
              <w:tc>
                <w:tcPr>
                  <w:tcW w:w="2195" w:type="pct"/>
                  <w:tcBorders>
                    <w:tl2br w:val="nil"/>
                    <w:tr2bl w:val="nil"/>
                  </w:tcBorders>
                  <w:noWrap w:val="0"/>
                  <w:vAlign w:val="center"/>
                </w:tcPr>
                <w:p w14:paraId="452AE44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颗粒物有组织排放浓度不超过</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10mg/m</w:t>
                  </w:r>
                  <w:r>
                    <w:rPr>
                      <w:rFonts w:hint="default" w:ascii="Times New Roman" w:hAnsi="Times New Roman"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w:t>
                  </w:r>
                </w:p>
                <w:p w14:paraId="0E35E75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颗粒无组织排放浓度不高于</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1mg/m</w:t>
                  </w:r>
                  <w:r>
                    <w:rPr>
                      <w:rFonts w:hint="default" w:ascii="Times New Roman" w:hAnsi="Times New Roman"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w:t>
                  </w:r>
                </w:p>
                <w:p w14:paraId="72D4855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3.</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燃气锅炉烟气</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PM</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SO</w:t>
                  </w:r>
                  <w:r>
                    <w:rPr>
                      <w:rFonts w:hint="default" w:ascii="Times New Roman" w:hAnsi="Times New Roman" w:cs="Times New Roman"/>
                      <w:color w:val="000000" w:themeColor="text1"/>
                      <w:spacing w:val="0"/>
                      <w:sz w:val="21"/>
                      <w:szCs w:val="21"/>
                      <w:highlight w:val="none"/>
                      <w:vertAlign w:val="subscript"/>
                      <w:lang w:val="en-US" w:eastAsia="zh-CN"/>
                      <w14:textFill>
                        <w14:solidFill>
                          <w14:schemeClr w14:val="tx1"/>
                        </w14:solidFill>
                      </w14:textFill>
                    </w:rPr>
                    <w:t>2</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NOx</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排放浓度分别不高于：</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5</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10</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30mg/m</w:t>
                  </w:r>
                  <w:r>
                    <w:rPr>
                      <w:rFonts w:hint="default" w:ascii="Times New Roman" w:hAnsi="Times New Roman"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（基准氧含量：</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3.5%</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）；采用其他能源并达到锅炉排放标准限值要求。</w:t>
                  </w:r>
                </w:p>
              </w:tc>
              <w:tc>
                <w:tcPr>
                  <w:tcW w:w="1599" w:type="pct"/>
                  <w:tcBorders>
                    <w:tl2br w:val="nil"/>
                    <w:tr2bl w:val="nil"/>
                  </w:tcBorders>
                  <w:noWrap w:val="0"/>
                  <w:vAlign w:val="center"/>
                </w:tcPr>
                <w:p w14:paraId="2DBD3E2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项目</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有组织</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颗粒物排放浓度不超过10mg/m</w:t>
                  </w:r>
                  <w:r>
                    <w:rPr>
                      <w:rFonts w:hint="default" w:ascii="Times New Roman" w:hAnsi="Times New Roman" w:eastAsia="宋体"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p>
                <w:p w14:paraId="41B392E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项目采取了完善的污染防治措施，颗粒物无组织排放浓度不高于</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1mg/m</w:t>
                  </w:r>
                  <w:r>
                    <w:rPr>
                      <w:rFonts w:hint="default" w:ascii="Times New Roman" w:hAnsi="Times New Roman" w:eastAsia="宋体"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p>
                <w:p w14:paraId="33CDAA9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3.项目不涉及燃气锅炉。</w:t>
                  </w:r>
                </w:p>
              </w:tc>
              <w:tc>
                <w:tcPr>
                  <w:tcW w:w="494" w:type="pct"/>
                  <w:tcBorders>
                    <w:tl2br w:val="nil"/>
                    <w:tr2bl w:val="nil"/>
                  </w:tcBorders>
                  <w:noWrap w:val="0"/>
                  <w:vAlign w:val="center"/>
                </w:tcPr>
                <w:p w14:paraId="53E24AB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47C8D0D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854" w:hRule="atLeast"/>
                <w:jc w:val="center"/>
              </w:trPr>
              <w:tc>
                <w:tcPr>
                  <w:tcW w:w="287" w:type="pct"/>
                  <w:tcBorders>
                    <w:tl2br w:val="nil"/>
                    <w:tr2bl w:val="nil"/>
                  </w:tcBorders>
                  <w:noWrap w:val="0"/>
                  <w:vAlign w:val="center"/>
                </w:tcPr>
                <w:p w14:paraId="4268A34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5</w:t>
                  </w:r>
                </w:p>
              </w:tc>
              <w:tc>
                <w:tcPr>
                  <w:tcW w:w="423" w:type="pct"/>
                  <w:tcBorders>
                    <w:tl2br w:val="nil"/>
                    <w:tr2bl w:val="nil"/>
                  </w:tcBorders>
                  <w:noWrap w:val="0"/>
                  <w:vAlign w:val="center"/>
                </w:tcPr>
                <w:p w14:paraId="304B3C6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监测监控水平</w:t>
                  </w:r>
                </w:p>
              </w:tc>
              <w:tc>
                <w:tcPr>
                  <w:tcW w:w="2195" w:type="pct"/>
                  <w:tcBorders>
                    <w:tl2br w:val="nil"/>
                    <w:tr2bl w:val="nil"/>
                  </w:tcBorders>
                  <w:noWrap w:val="0"/>
                  <w:vAlign w:val="center"/>
                </w:tcPr>
                <w:p w14:paraId="21F5882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污染治理设施安装分表计电设施；</w:t>
                  </w:r>
                </w:p>
                <w:p w14:paraId="40E9950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料场出入口安装高清视频监控设施，视频监控系统数据保存</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6</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个月以上；</w:t>
                  </w:r>
                </w:p>
              </w:tc>
              <w:tc>
                <w:tcPr>
                  <w:tcW w:w="1599" w:type="pct"/>
                  <w:tcBorders>
                    <w:tl2br w:val="nil"/>
                    <w:tr2bl w:val="nil"/>
                  </w:tcBorders>
                  <w:noWrap w:val="0"/>
                  <w:vAlign w:val="center"/>
                </w:tcPr>
                <w:p w14:paraId="10FB767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default"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t>1.污染治理设施按要求安装分表计电设施；</w:t>
                  </w:r>
                </w:p>
                <w:p w14:paraId="1A9353E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t>2.</w:t>
                  </w:r>
                  <w:r>
                    <w:rPr>
                      <w:rFonts w:hint="eastAsia" w:cs="Times New Roman"/>
                      <w:color w:val="000000" w:themeColor="text1"/>
                      <w:spacing w:val="0"/>
                      <w:sz w:val="21"/>
                      <w:szCs w:val="21"/>
                      <w:highlight w:val="none"/>
                      <w:lang w:val="en-US" w:eastAsia="zh-CN"/>
                      <w14:textFill>
                        <w14:solidFill>
                          <w14:schemeClr w14:val="tx1"/>
                        </w14:solidFill>
                      </w14:textFill>
                    </w:rPr>
                    <w:t>项目在</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料场出入口</w:t>
                  </w:r>
                  <w:r>
                    <w:rPr>
                      <w:rFonts w:hint="eastAsia" w:ascii="Times New Roman" w:hAnsi="Times New Roman" w:eastAsia="宋体" w:cs="Times New Roman"/>
                      <w:color w:val="000000" w:themeColor="text1"/>
                      <w:spacing w:val="0"/>
                      <w:sz w:val="21"/>
                      <w:szCs w:val="21"/>
                      <w:highlight w:val="none"/>
                      <w:lang w:val="zh-CN" w:eastAsia="zh-CN"/>
                      <w14:textFill>
                        <w14:solidFill>
                          <w14:schemeClr w14:val="tx1"/>
                        </w14:solidFill>
                      </w14:textFill>
                    </w:rPr>
                    <w:t>等易产生颗粒物排放环节</w:t>
                  </w:r>
                  <w:r>
                    <w:rPr>
                      <w:rFonts w:hint="default"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t>安装高清视频监控设施</w:t>
                  </w:r>
                  <w:r>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t>，数据保存六个月以上</w:t>
                  </w:r>
                  <w:r>
                    <w:rPr>
                      <w:rFonts w:hint="eastAsia" w:cs="Times New Roman"/>
                      <w:color w:val="000000" w:themeColor="text1"/>
                      <w:spacing w:val="0"/>
                      <w:kern w:val="2"/>
                      <w:sz w:val="21"/>
                      <w:szCs w:val="21"/>
                      <w:highlight w:val="none"/>
                      <w:lang w:val="en-US" w:eastAsia="zh-CN" w:bidi="ar-SA"/>
                      <w14:textFill>
                        <w14:solidFill>
                          <w14:schemeClr w14:val="tx1"/>
                        </w14:solidFill>
                      </w14:textFill>
                    </w:rPr>
                    <w:t>。</w:t>
                  </w:r>
                </w:p>
              </w:tc>
              <w:tc>
                <w:tcPr>
                  <w:tcW w:w="494" w:type="pct"/>
                  <w:tcBorders>
                    <w:tl2br w:val="nil"/>
                    <w:tr2bl w:val="nil"/>
                  </w:tcBorders>
                  <w:noWrap w:val="0"/>
                  <w:vAlign w:val="center"/>
                </w:tcPr>
                <w:p w14:paraId="1B07A2A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163391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313" w:hRule="atLeast"/>
                <w:jc w:val="center"/>
              </w:trPr>
              <w:tc>
                <w:tcPr>
                  <w:tcW w:w="287" w:type="pct"/>
                  <w:vMerge w:val="restart"/>
                  <w:tcBorders>
                    <w:tl2br w:val="nil"/>
                    <w:tr2bl w:val="nil"/>
                  </w:tcBorders>
                  <w:noWrap w:val="0"/>
                  <w:vAlign w:val="center"/>
                </w:tcPr>
                <w:p w14:paraId="0B660EF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6</w:t>
                  </w:r>
                </w:p>
              </w:tc>
              <w:tc>
                <w:tcPr>
                  <w:tcW w:w="423" w:type="pct"/>
                  <w:vMerge w:val="restart"/>
                  <w:tcBorders>
                    <w:tl2br w:val="nil"/>
                    <w:tr2bl w:val="nil"/>
                  </w:tcBorders>
                  <w:noWrap w:val="0"/>
                  <w:vAlign w:val="center"/>
                </w:tcPr>
                <w:p w14:paraId="7205CD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环境管理水平</w:t>
                  </w:r>
                </w:p>
              </w:tc>
              <w:tc>
                <w:tcPr>
                  <w:tcW w:w="2195" w:type="pct"/>
                  <w:tcBorders>
                    <w:tl2br w:val="nil"/>
                    <w:tr2bl w:val="nil"/>
                  </w:tcBorders>
                  <w:noWrap w:val="0"/>
                  <w:vAlign w:val="center"/>
                </w:tcPr>
                <w:p w14:paraId="5544538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both"/>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环保档案：</w:t>
                  </w:r>
                </w:p>
                <w:p w14:paraId="2DC4336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环评批复文件和竣工环保验收文件或环境现状评估备案证明；</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国家版排污许可证及季度、年度执行报告或固定污染源排污登记表及回执；</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3.</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 xml:space="preserve">环境管理制度（包括但不限于岗位责任制度、定期巡查维护制度、环保奖惩考核制度、环境信息公开等）； </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4.</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废气治理设施运行管理规程；</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5.</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一年内废气监测报告（符合排污许可证监测项目及频次要求）。</w:t>
                  </w:r>
                </w:p>
              </w:tc>
              <w:tc>
                <w:tcPr>
                  <w:tcW w:w="1599" w:type="pct"/>
                  <w:tcBorders>
                    <w:tl2br w:val="nil"/>
                    <w:tr2bl w:val="nil"/>
                  </w:tcBorders>
                  <w:noWrap w:val="0"/>
                  <w:vAlign w:val="center"/>
                </w:tcPr>
                <w:p w14:paraId="4B1F465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t>环评建议，项目建成后，要求企业环保档案齐全、台账记录齐全、管理制度健全</w:t>
                  </w:r>
                  <w:r>
                    <w:rPr>
                      <w:rFonts w:hint="eastAsia" w:cs="Times New Roman"/>
                      <w:color w:val="000000" w:themeColor="text1"/>
                      <w:spacing w:val="0"/>
                      <w:kern w:val="2"/>
                      <w:sz w:val="21"/>
                      <w:szCs w:val="21"/>
                      <w:highlight w:val="none"/>
                      <w:lang w:val="en-US" w:eastAsia="zh-CN" w:bidi="ar-SA"/>
                      <w14:textFill>
                        <w14:solidFill>
                          <w14:schemeClr w14:val="tx1"/>
                        </w14:solidFill>
                      </w14:textFill>
                    </w:rPr>
                    <w:t>，并</w:t>
                  </w:r>
                  <w:r>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t>按要求配置环保人员</w:t>
                  </w:r>
                </w:p>
              </w:tc>
              <w:tc>
                <w:tcPr>
                  <w:tcW w:w="494" w:type="pct"/>
                  <w:tcBorders>
                    <w:tl2br w:val="nil"/>
                    <w:tr2bl w:val="nil"/>
                  </w:tcBorders>
                  <w:noWrap w:val="0"/>
                  <w:vAlign w:val="center"/>
                </w:tcPr>
                <w:p w14:paraId="66AA52C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7695C0E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54" w:hRule="atLeast"/>
                <w:jc w:val="center"/>
              </w:trPr>
              <w:tc>
                <w:tcPr>
                  <w:tcW w:w="287" w:type="pct"/>
                  <w:vMerge w:val="continue"/>
                  <w:tcBorders>
                    <w:tl2br w:val="nil"/>
                    <w:tr2bl w:val="nil"/>
                  </w:tcBorders>
                  <w:vAlign w:val="center"/>
                </w:tcPr>
                <w:p w14:paraId="7F0C5F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423" w:type="pct"/>
                  <w:vMerge w:val="continue"/>
                  <w:tcBorders>
                    <w:tl2br w:val="nil"/>
                    <w:tr2bl w:val="nil"/>
                  </w:tcBorders>
                  <w:vAlign w:val="center"/>
                </w:tcPr>
                <w:p w14:paraId="79743C6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p>
              </w:tc>
              <w:tc>
                <w:tcPr>
                  <w:tcW w:w="2195" w:type="pct"/>
                  <w:tcBorders>
                    <w:tl2br w:val="nil"/>
                    <w:tr2bl w:val="nil"/>
                  </w:tcBorders>
                  <w:vAlign w:val="center"/>
                </w:tcPr>
                <w:p w14:paraId="495E5C4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台账记录：</w:t>
                  </w:r>
                </w:p>
                <w:p w14:paraId="162893E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1.</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生产设施运行管理信息（生产时间、运行负荷、产品产量等）；</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废气污染治理设施运行管理信息；</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3.</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 xml:space="preserve">监测记录信息（主要污染排放口废气排放记录或第三方检测报告等）； </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4.</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主要原辅材料消耗记录；以上记录至少需保存一年。</w:t>
                  </w:r>
                </w:p>
              </w:tc>
              <w:tc>
                <w:tcPr>
                  <w:tcW w:w="1599" w:type="pct"/>
                  <w:vMerge w:val="restart"/>
                  <w:tcBorders>
                    <w:tl2br w:val="nil"/>
                    <w:tr2bl w:val="nil"/>
                  </w:tcBorders>
                  <w:vAlign w:val="center"/>
                </w:tcPr>
                <w:p w14:paraId="477F520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t>环评建议，项目建成后，要求企业环保档案齐全、台账记录齐全、管理制度健全</w:t>
                  </w:r>
                  <w:r>
                    <w:rPr>
                      <w:rFonts w:hint="eastAsia" w:cs="Times New Roman"/>
                      <w:color w:val="000000" w:themeColor="text1"/>
                      <w:spacing w:val="0"/>
                      <w:kern w:val="2"/>
                      <w:sz w:val="21"/>
                      <w:szCs w:val="21"/>
                      <w:highlight w:val="none"/>
                      <w:lang w:val="en-US" w:eastAsia="zh-CN" w:bidi="ar-SA"/>
                      <w14:textFill>
                        <w14:solidFill>
                          <w14:schemeClr w14:val="tx1"/>
                        </w14:solidFill>
                      </w14:textFill>
                    </w:rPr>
                    <w:t>，并</w:t>
                  </w:r>
                  <w:r>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t>按要求配置环保人员</w:t>
                  </w:r>
                </w:p>
              </w:tc>
              <w:tc>
                <w:tcPr>
                  <w:tcW w:w="494" w:type="pct"/>
                  <w:tcBorders>
                    <w:tl2br w:val="nil"/>
                    <w:tr2bl w:val="nil"/>
                  </w:tcBorders>
                  <w:vAlign w:val="center"/>
                </w:tcPr>
                <w:p w14:paraId="13034A8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7EFE0C6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77" w:hRule="atLeast"/>
                <w:jc w:val="center"/>
              </w:trPr>
              <w:tc>
                <w:tcPr>
                  <w:tcW w:w="287" w:type="pct"/>
                  <w:vMerge w:val="continue"/>
                  <w:tcBorders>
                    <w:tl2br w:val="nil"/>
                    <w:tr2bl w:val="nil"/>
                  </w:tcBorders>
                  <w:vAlign w:val="center"/>
                </w:tcPr>
                <w:p w14:paraId="3A6232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423" w:type="pct"/>
                  <w:vMerge w:val="continue"/>
                  <w:tcBorders>
                    <w:tl2br w:val="nil"/>
                    <w:tr2bl w:val="nil"/>
                  </w:tcBorders>
                  <w:vAlign w:val="center"/>
                </w:tcPr>
                <w:p w14:paraId="27D6C8B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2195" w:type="pct"/>
                  <w:tcBorders>
                    <w:tl2br w:val="nil"/>
                    <w:tr2bl w:val="nil"/>
                  </w:tcBorders>
                  <w:vAlign w:val="center"/>
                </w:tcPr>
                <w:p w14:paraId="2AB326C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人员配置：设置环保部门，配备专职环保人员，并具备相应的环境管理能力。</w:t>
                  </w:r>
                </w:p>
              </w:tc>
              <w:tc>
                <w:tcPr>
                  <w:tcW w:w="1599" w:type="pct"/>
                  <w:vMerge w:val="continue"/>
                  <w:tcBorders>
                    <w:tl2br w:val="nil"/>
                    <w:tr2bl w:val="nil"/>
                  </w:tcBorders>
                  <w:vAlign w:val="center"/>
                </w:tcPr>
                <w:p w14:paraId="08945D8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494" w:type="pct"/>
                  <w:tcBorders>
                    <w:tl2br w:val="nil"/>
                    <w:tr2bl w:val="nil"/>
                  </w:tcBorders>
                  <w:vAlign w:val="center"/>
                </w:tcPr>
                <w:p w14:paraId="5921D92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1E79089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1113" w:hRule="atLeast"/>
                <w:jc w:val="center"/>
              </w:trPr>
              <w:tc>
                <w:tcPr>
                  <w:tcW w:w="287" w:type="pct"/>
                  <w:tcBorders>
                    <w:tl2br w:val="nil"/>
                    <w:tr2bl w:val="nil"/>
                  </w:tcBorders>
                  <w:vAlign w:val="center"/>
                </w:tcPr>
                <w:p w14:paraId="22E9573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7</w:t>
                  </w:r>
                </w:p>
              </w:tc>
              <w:tc>
                <w:tcPr>
                  <w:tcW w:w="423" w:type="pct"/>
                  <w:tcBorders>
                    <w:tl2br w:val="nil"/>
                    <w:tr2bl w:val="nil"/>
                  </w:tcBorders>
                  <w:vAlign w:val="center"/>
                </w:tcPr>
                <w:p w14:paraId="46886A0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运输方式</w:t>
                  </w:r>
                </w:p>
              </w:tc>
              <w:tc>
                <w:tcPr>
                  <w:tcW w:w="2195" w:type="pct"/>
                  <w:tcBorders>
                    <w:tl2br w:val="nil"/>
                    <w:tr2bl w:val="nil"/>
                  </w:tcBorders>
                  <w:vAlign w:val="center"/>
                </w:tcPr>
                <w:p w14:paraId="2ED128C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 xml:space="preserve">1. </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物料公路运输全部使用达到国五及以上排放标准重型载货车辆（含燃气）或新能源车辆；</w:t>
                  </w:r>
                </w:p>
                <w:p w14:paraId="48403EB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cs="Times New Roman"/>
                      <w:color w:val="000000" w:themeColor="text1"/>
                      <w:spacing w:val="0"/>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厂内运输车辆全部使用新能源车辆。厂内非道路移动机械原则上采用新能源机械，无对应新能源产品的原则上应满足国四及以上排放阶段。</w:t>
                  </w:r>
                </w:p>
              </w:tc>
              <w:tc>
                <w:tcPr>
                  <w:tcW w:w="1599" w:type="pct"/>
                  <w:tcBorders>
                    <w:tl2br w:val="nil"/>
                    <w:tr2bl w:val="nil"/>
                  </w:tcBorders>
                  <w:vAlign w:val="center"/>
                </w:tcPr>
                <w:p w14:paraId="424D1E5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kern w:val="2"/>
                      <w:sz w:val="21"/>
                      <w:szCs w:val="21"/>
                      <w:highlight w:val="none"/>
                      <w:lang w:val="en-US" w:eastAsia="zh-CN" w:bidi="ar-SA"/>
                      <w14:textFill>
                        <w14:solidFill>
                          <w14:schemeClr w14:val="tx1"/>
                        </w14:solidFill>
                      </w14:textFill>
                    </w:rPr>
                    <w:t>项目物料公路运输、厂内运输车辆、厂内非道路移动机械采用符合要求的车辆。</w:t>
                  </w:r>
                </w:p>
              </w:tc>
              <w:tc>
                <w:tcPr>
                  <w:tcW w:w="494" w:type="pct"/>
                  <w:tcBorders>
                    <w:tl2br w:val="nil"/>
                    <w:tr2bl w:val="nil"/>
                  </w:tcBorders>
                  <w:vAlign w:val="center"/>
                </w:tcPr>
                <w:p w14:paraId="26CC475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05453FB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400" w:hRule="atLeast"/>
                <w:jc w:val="center"/>
              </w:trPr>
              <w:tc>
                <w:tcPr>
                  <w:tcW w:w="287" w:type="pct"/>
                  <w:tcBorders>
                    <w:tl2br w:val="nil"/>
                    <w:tr2bl w:val="nil"/>
                  </w:tcBorders>
                  <w:vAlign w:val="center"/>
                </w:tcPr>
                <w:p w14:paraId="364484C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8</w:t>
                  </w:r>
                </w:p>
              </w:tc>
              <w:tc>
                <w:tcPr>
                  <w:tcW w:w="423" w:type="pct"/>
                  <w:tcBorders>
                    <w:tl2br w:val="nil"/>
                    <w:tr2bl w:val="nil"/>
                  </w:tcBorders>
                  <w:vAlign w:val="center"/>
                </w:tcPr>
                <w:p w14:paraId="629A349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运输监管</w:t>
                  </w:r>
                </w:p>
              </w:tc>
              <w:tc>
                <w:tcPr>
                  <w:tcW w:w="2195" w:type="pct"/>
                  <w:tcBorders>
                    <w:tl2br w:val="nil"/>
                    <w:tr2bl w:val="nil"/>
                  </w:tcBorders>
                  <w:vAlign w:val="center"/>
                </w:tcPr>
                <w:p w14:paraId="1B2D009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参照《重污染天气重点行业移动源应急管理技术指南》建立门禁系统和电子台账</w:t>
                  </w:r>
                </w:p>
              </w:tc>
              <w:tc>
                <w:tcPr>
                  <w:tcW w:w="1599" w:type="pct"/>
                  <w:tcBorders>
                    <w:tl2br w:val="nil"/>
                    <w:tr2bl w:val="nil"/>
                  </w:tcBorders>
                  <w:vAlign w:val="center"/>
                </w:tcPr>
                <w:p w14:paraId="734ED99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项目按《重污染天气重点行业移动源应急管理技术指南》建立门禁系统和电子台账</w:t>
                  </w:r>
                </w:p>
              </w:tc>
              <w:tc>
                <w:tcPr>
                  <w:tcW w:w="494" w:type="pct"/>
                  <w:tcBorders>
                    <w:tl2br w:val="nil"/>
                    <w:tr2bl w:val="nil"/>
                  </w:tcBorders>
                  <w:vAlign w:val="center"/>
                </w:tcPr>
                <w:p w14:paraId="600C2EA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bl>
          <w:p w14:paraId="0A59777E">
            <w:pPr>
              <w:pStyle w:val="90"/>
              <w:keepNext w:val="0"/>
              <w:keepLines w:val="0"/>
              <w:pageBreakBefore w:val="0"/>
              <w:widowControl w:val="0"/>
              <w:numPr>
                <w:ilvl w:val="0"/>
                <w:numId w:val="0"/>
              </w:numPr>
              <w:suppressLineNumbers w:val="0"/>
              <w:shd w:val="clear"/>
              <w:kinsoku/>
              <w:wordWrap/>
              <w:overflowPunct/>
              <w:topLinePunct w:val="0"/>
              <w:bidi w:val="0"/>
              <w:spacing w:before="0" w:beforeAutospacing="0" w:after="0" w:afterAutospacing="0" w:line="480" w:lineRule="exact"/>
              <w:ind w:left="0" w:right="0" w:rightChars="0" w:firstLine="480" w:firstLineChars="200"/>
              <w:jc w:val="left"/>
              <w:textAlignment w:val="auto"/>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由上表可知，本项目建设完成后，符合《河北省十一个行业重污染天气应急减排措施制定技术指南（试行）》中矿石采选与加工行业中“非金属矿采选与加工行业绩效引领性指标”和《河北省生态环境厅办公室关于调整部分重点行业环保绩效评级指标的通知》（冀环办字函﹝2025﹞161号）要求。</w:t>
            </w:r>
          </w:p>
          <w:p w14:paraId="089B1D03">
            <w:pPr>
              <w:pStyle w:val="90"/>
              <w:keepNext w:val="0"/>
              <w:keepLines w:val="0"/>
              <w:pageBreakBefore w:val="0"/>
              <w:widowControl w:val="0"/>
              <w:numPr>
                <w:ilvl w:val="0"/>
                <w:numId w:val="0"/>
              </w:numPr>
              <w:suppressLineNumbers w:val="0"/>
              <w:shd w:val="clear"/>
              <w:kinsoku/>
              <w:wordWrap/>
              <w:overflowPunct/>
              <w:topLinePunct w:val="0"/>
              <w:bidi w:val="0"/>
              <w:spacing w:before="0" w:beforeAutospacing="0" w:after="0" w:afterAutospacing="0" w:line="480" w:lineRule="exact"/>
              <w:ind w:left="0" w:right="0" w:rightChars="0" w:firstLine="482" w:firstLineChars="200"/>
              <w:jc w:val="left"/>
              <w:textAlignment w:val="auto"/>
              <w:rPr>
                <w:rFonts w:hint="eastAsia"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eastAsia" w:cs="Times New Roman"/>
                <w:b/>
                <w:bCs w:val="0"/>
                <w:color w:val="000000" w:themeColor="text1"/>
                <w:sz w:val="24"/>
                <w:szCs w:val="24"/>
                <w:highlight w:val="none"/>
                <w:lang w:val="en-US" w:eastAsia="zh-CN"/>
                <w14:textFill>
                  <w14:solidFill>
                    <w14:schemeClr w14:val="tx1"/>
                  </w14:solidFill>
                </w14:textFill>
              </w:rPr>
              <w:t>7</w:t>
            </w:r>
            <w:r>
              <w:rPr>
                <w:rFonts w:hint="eastAsia"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、与防沙治沙相关要求符合性分析</w:t>
            </w:r>
          </w:p>
          <w:p w14:paraId="41DDAD4A">
            <w:pPr>
              <w:pStyle w:val="90"/>
              <w:keepNext w:val="0"/>
              <w:keepLines w:val="0"/>
              <w:pageBreakBefore w:val="0"/>
              <w:widowControl w:val="0"/>
              <w:numPr>
                <w:ilvl w:val="0"/>
                <w:numId w:val="0"/>
              </w:numPr>
              <w:suppressLineNumbers w:val="0"/>
              <w:shd w:val="clear"/>
              <w:kinsoku/>
              <w:wordWrap/>
              <w:overflowPunct/>
              <w:topLinePunct w:val="0"/>
              <w:bidi w:val="0"/>
              <w:spacing w:before="0" w:beforeAutospacing="0" w:after="0" w:afterAutospacing="0" w:line="480" w:lineRule="exact"/>
              <w:ind w:left="0" w:right="0" w:rightChars="0" w:firstLine="480" w:firstLineChars="200"/>
              <w:jc w:val="left"/>
              <w:textAlignment w:val="auto"/>
              <w:rPr>
                <w:rFonts w:hint="eastAsia" w:ascii="Times New Roman" w:hAnsi="Times New Roman" w:eastAsia="宋体" w:cs="Times New Roman"/>
                <w:b w:val="0"/>
                <w:bCs/>
                <w:color w:val="000000" w:themeColor="text1"/>
                <w:sz w:val="24"/>
                <w:szCs w:val="24"/>
                <w:highlight w:val="none"/>
                <w:lang w:val="zh-CN"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根据《河北省生态环境厅办公室关于进一步做好沙区建设项目环境影响评价工作的通知》（冀环办字函[2023]326号）要求：为贯彻落实《中华人民共和国防沙治沙法》，按照“在沙化土地范围内从事开发建设活动的，必须事先就该项目可能对当地及相关地区生态产生的影响进行环境影响评价，依法提交影响报告：环境影响报告应当包括有关防沙治沙的内容”，</w:t>
            </w:r>
            <w:r>
              <w:rPr>
                <w:rFonts w:hint="eastAsia" w:ascii="Times New Roman" w:hAnsi="Times New Roman" w:eastAsia="宋体" w:cs="Times New Roman"/>
                <w:b w:val="0"/>
                <w:bCs/>
                <w:color w:val="000000" w:themeColor="text1"/>
                <w:sz w:val="24"/>
                <w:szCs w:val="24"/>
                <w:highlight w:val="none"/>
                <w:lang w:val="zh-CN" w:eastAsia="zh-CN"/>
                <w14:textFill>
                  <w14:solidFill>
                    <w14:schemeClr w14:val="tx1"/>
                  </w14:solidFill>
                </w14:textFill>
              </w:rPr>
              <w:t>本</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项目所占区域</w:t>
            </w:r>
            <w:r>
              <w:rPr>
                <w:rFonts w:hint="eastAsia" w:ascii="Times New Roman" w:hAnsi="Times New Roman" w:eastAsia="宋体" w:cs="Times New Roman"/>
                <w:b w:val="0"/>
                <w:bCs/>
                <w:color w:val="000000" w:themeColor="text1"/>
                <w:sz w:val="24"/>
                <w:szCs w:val="24"/>
                <w:highlight w:val="none"/>
                <w:lang w:val="zh-CN" w:eastAsia="zh-CN"/>
                <w14:textFill>
                  <w14:solidFill>
                    <w14:schemeClr w14:val="tx1"/>
                  </w14:solidFill>
                </w14:textFill>
              </w:rPr>
              <w:t>未被列为河北省沙区范围主要涉及的地域。</w:t>
            </w:r>
          </w:p>
          <w:p w14:paraId="54694316">
            <w:pPr>
              <w:pStyle w:val="31"/>
              <w:keepNext w:val="0"/>
              <w:keepLines w:val="0"/>
              <w:pageBreakBefore w:val="0"/>
              <w:numPr>
                <w:ilvl w:val="0"/>
                <w:numId w:val="0"/>
              </w:numPr>
              <w:suppressLineNumbers w:val="0"/>
              <w:shd w:val="clear"/>
              <w:kinsoku/>
              <w:wordWrap/>
              <w:overflowPunct/>
              <w:topLinePunct w:val="0"/>
              <w:bidi w:val="0"/>
              <w:adjustRightInd w:val="0"/>
              <w:spacing w:before="0" w:beforeAutospacing="0" w:after="0" w:afterAutospacing="0" w:line="360" w:lineRule="auto"/>
              <w:ind w:left="0" w:leftChars="0" w:right="0" w:rightChars="0" w:firstLine="480" w:firstLineChars="200"/>
              <w:jc w:val="left"/>
              <w:textAlignment w:val="baseline"/>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本项目位于河北省唐山市滦州市雷庄镇</w:t>
            </w: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雷庄村东北</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利用现有</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厂区</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进行</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建设，不新增占地，厂址占地为建设用地。本项目所在厂区属于已有建设用地，有明显围墙，厂区地面已进行硬化</w:t>
            </w:r>
            <w:r>
              <w:rPr>
                <w:rFonts w:hint="eastAsia"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、绿化</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，占地区域暂无沙化现象，本项目施工期间主要确保施工活动严格控制在厂区内，故施工过程基本不会影响土壤抗侵蚀能力等，不会造成土地沙化。</w:t>
            </w:r>
          </w:p>
          <w:p w14:paraId="28EE53F7">
            <w:pPr>
              <w:pStyle w:val="31"/>
              <w:keepNext w:val="0"/>
              <w:keepLines w:val="0"/>
              <w:pageBreakBefore w:val="0"/>
              <w:numPr>
                <w:ilvl w:val="0"/>
                <w:numId w:val="0"/>
              </w:numPr>
              <w:suppressLineNumbers w:val="0"/>
              <w:shd w:val="clear"/>
              <w:kinsoku/>
              <w:wordWrap/>
              <w:overflowPunct/>
              <w:topLinePunct w:val="0"/>
              <w:bidi w:val="0"/>
              <w:adjustRightInd w:val="0"/>
              <w:spacing w:before="0" w:beforeAutospacing="0" w:after="0" w:afterAutospacing="0" w:line="360" w:lineRule="auto"/>
              <w:ind w:left="0" w:leftChars="0" w:right="0" w:rightChars="0" w:firstLine="480" w:firstLineChars="200"/>
              <w:jc w:val="left"/>
              <w:textAlignment w:val="baseline"/>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综上所述，本项目符合相关政策、标准要求。</w:t>
            </w:r>
          </w:p>
          <w:p w14:paraId="4A129727">
            <w:pPr>
              <w:numPr>
                <w:ilvl w:val="0"/>
                <w:numId w:val="4"/>
              </w:numPr>
              <w:shd w:val="clear"/>
              <w:rPr>
                <w:rFonts w:hint="eastAsia" w:ascii="Times New Roman" w:hAnsi="Times New Roman" w:eastAsia="宋体" w:cs="Times New Roman"/>
                <w:b/>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val="0"/>
                <w:color w:val="000000" w:themeColor="text1"/>
                <w:kern w:val="0"/>
                <w:sz w:val="24"/>
                <w:szCs w:val="24"/>
                <w:highlight w:val="none"/>
                <w:lang w:val="en-US" w:eastAsia="zh-CN" w:bidi="ar-SA"/>
                <w14:textFill>
                  <w14:solidFill>
                    <w14:schemeClr w14:val="tx1"/>
                  </w14:solidFill>
                </w14:textFill>
              </w:rPr>
              <w:t>与《滦州市石粉行业集中整治提升实施方案》符合性分析</w:t>
            </w:r>
          </w:p>
          <w:p w14:paraId="2BF25C2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项目与</w:t>
            </w:r>
            <w:r>
              <w:rPr>
                <w:rFonts w:hint="eastAsia" w:ascii="Times New Roman" w:hAnsi="Times New Roman" w:eastAsia="宋体" w:cs="Times New Roman"/>
                <w:b/>
                <w:bCs w:val="0"/>
                <w:color w:val="000000" w:themeColor="text1"/>
                <w:kern w:val="0"/>
                <w:sz w:val="21"/>
                <w:szCs w:val="21"/>
                <w:highlight w:val="none"/>
                <w:lang w:val="en-US" w:eastAsia="zh-CN" w:bidi="ar-SA"/>
                <w14:textFill>
                  <w14:solidFill>
                    <w14:schemeClr w14:val="tx1"/>
                  </w14:solidFill>
                </w14:textFill>
              </w:rPr>
              <w:t>《滦州市石粉行业集中整治提升实施方案》符合性分析</w:t>
            </w:r>
          </w:p>
          <w:tbl>
            <w:tblPr>
              <w:tblStyle w:val="32"/>
              <w:tblW w:w="1249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568"/>
              <w:gridCol w:w="1195"/>
              <w:gridCol w:w="6133"/>
              <w:gridCol w:w="3926"/>
              <w:gridCol w:w="676"/>
            </w:tblGrid>
            <w:tr w14:paraId="167A66B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7A228FF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序号</w:t>
                  </w:r>
                </w:p>
              </w:tc>
              <w:tc>
                <w:tcPr>
                  <w:tcW w:w="7328" w:type="dxa"/>
                  <w:gridSpan w:val="2"/>
                  <w:tcBorders>
                    <w:tl2br w:val="nil"/>
                    <w:tr2bl w:val="nil"/>
                  </w:tcBorders>
                  <w:noWrap w:val="0"/>
                  <w:vAlign w:val="center"/>
                </w:tcPr>
                <w:p w14:paraId="22D3645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文件相关内容</w:t>
                  </w:r>
                </w:p>
              </w:tc>
              <w:tc>
                <w:tcPr>
                  <w:tcW w:w="3926" w:type="dxa"/>
                  <w:tcBorders>
                    <w:tl2br w:val="nil"/>
                    <w:tr2bl w:val="nil"/>
                  </w:tcBorders>
                  <w:noWrap w:val="0"/>
                  <w:vAlign w:val="center"/>
                </w:tcPr>
                <w:p w14:paraId="3256560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本项目内容</w:t>
                  </w:r>
                </w:p>
              </w:tc>
              <w:tc>
                <w:tcPr>
                  <w:tcW w:w="676" w:type="dxa"/>
                  <w:tcBorders>
                    <w:tl2br w:val="nil"/>
                    <w:tr2bl w:val="nil"/>
                  </w:tcBorders>
                  <w:noWrap w:val="0"/>
                  <w:vAlign w:val="center"/>
                </w:tcPr>
                <w:p w14:paraId="489A2B9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符合性</w:t>
                  </w:r>
                </w:p>
              </w:tc>
            </w:tr>
            <w:tr w14:paraId="39A5FBA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2B74A7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w:t>
                  </w:r>
                </w:p>
              </w:tc>
              <w:tc>
                <w:tcPr>
                  <w:tcW w:w="1195" w:type="dxa"/>
                  <w:tcBorders>
                    <w:tl2br w:val="nil"/>
                    <w:tr2bl w:val="nil"/>
                  </w:tcBorders>
                  <w:noWrap w:val="0"/>
                  <w:vAlign w:val="center"/>
                </w:tcPr>
                <w:p w14:paraId="00133D8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物料储存转运污染防治</w:t>
                  </w:r>
                </w:p>
              </w:tc>
              <w:tc>
                <w:tcPr>
                  <w:tcW w:w="6133" w:type="dxa"/>
                  <w:tcBorders>
                    <w:tl2br w:val="nil"/>
                    <w:tr2bl w:val="nil"/>
                  </w:tcBorders>
                  <w:noWrap w:val="0"/>
                  <w:vAlign w:val="center"/>
                </w:tcPr>
                <w:p w14:paraId="0E47164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企业建设封闭原料库和成品库，地面硬化，出入口改为自动感应门，新进原料必须入棚储存；原料库配套全覆盖的雾炮或喷雾等抑尘设施。现有露天堆存的原料逐步消纳，设置防风抑尘网围挡，防风抑尘网高度必须高于料堆，同时采取洒水、</w:t>
                  </w:r>
                  <w:r>
                    <w:rPr>
                      <w:rFonts w:hint="eastAsia" w:cs="Times New Roman"/>
                      <w:color w:val="000000" w:themeColor="text1"/>
                      <w:spacing w:val="0"/>
                      <w:sz w:val="21"/>
                      <w:szCs w:val="21"/>
                      <w:highlight w:val="none"/>
                      <w:lang w:val="en-US" w:eastAsia="zh-CN"/>
                      <w14:textFill>
                        <w14:solidFill>
                          <w14:schemeClr w14:val="tx1"/>
                        </w14:solidFill>
                      </w14:textFill>
                    </w:rPr>
                    <w:t>苫盖</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或喷洒抑尘剂等抑尘措施防止扬尘产生。</w:t>
                  </w:r>
                </w:p>
              </w:tc>
              <w:tc>
                <w:tcPr>
                  <w:tcW w:w="3926" w:type="dxa"/>
                  <w:tcBorders>
                    <w:tl2br w:val="nil"/>
                    <w:tr2bl w:val="nil"/>
                  </w:tcBorders>
                  <w:noWrap w:val="0"/>
                  <w:vAlign w:val="center"/>
                </w:tcPr>
                <w:p w14:paraId="2627F0F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本项目设置全封闭的预处理车间</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预处理车间与现有工程原料库直接相连，不另行单独设置出入口，人员及物料进出均依托现有工程原料库出入口</w:t>
                  </w:r>
                  <w:r>
                    <w:rPr>
                      <w:rFonts w:hint="eastAsia" w:ascii="宋体" w:hAnsi="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原料库已配备自动感应门，物料输送系统采用全封闭</w:t>
                  </w:r>
                  <w:r>
                    <w:rPr>
                      <w:rFonts w:hint="eastAsia" w:ascii="宋体" w:hAnsi="宋体" w:cs="宋体"/>
                      <w:color w:val="000000" w:themeColor="text1"/>
                      <w:sz w:val="21"/>
                      <w:szCs w:val="21"/>
                      <w:highlight w:val="none"/>
                      <w:lang w:eastAsia="zh-CN"/>
                      <w14:textFill>
                        <w14:solidFill>
                          <w14:schemeClr w14:val="tx1"/>
                        </w14:solidFill>
                      </w14:textFill>
                    </w:rPr>
                    <w:t>设计</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预处理车间地面硬化并设置喷淋雾化设施。</w:t>
                  </w:r>
                </w:p>
              </w:tc>
              <w:tc>
                <w:tcPr>
                  <w:tcW w:w="676" w:type="dxa"/>
                  <w:tcBorders>
                    <w:tl2br w:val="nil"/>
                    <w:tr2bl w:val="nil"/>
                  </w:tcBorders>
                  <w:noWrap w:val="0"/>
                  <w:vAlign w:val="center"/>
                </w:tcPr>
                <w:p w14:paraId="441F1DD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15A045F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35D0105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w:t>
                  </w:r>
                </w:p>
              </w:tc>
              <w:tc>
                <w:tcPr>
                  <w:tcW w:w="1195" w:type="dxa"/>
                  <w:tcBorders>
                    <w:tl2br w:val="nil"/>
                    <w:tr2bl w:val="nil"/>
                  </w:tcBorders>
                  <w:noWrap w:val="0"/>
                  <w:vAlign w:val="center"/>
                </w:tcPr>
                <w:p w14:paraId="47074B1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原料上料、破碎工序污染防治</w:t>
                  </w:r>
                </w:p>
              </w:tc>
              <w:tc>
                <w:tcPr>
                  <w:tcW w:w="6133" w:type="dxa"/>
                  <w:tcBorders>
                    <w:tl2br w:val="nil"/>
                    <w:tr2bl w:val="nil"/>
                  </w:tcBorders>
                  <w:noWrap w:val="0"/>
                  <w:vAlign w:val="center"/>
                </w:tcPr>
                <w:p w14:paraId="427EBEC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原料上料口采取区域侧、顶三面密封措施并加装感应喷雾抑尘</w:t>
                  </w:r>
                  <w:r>
                    <w:rPr>
                      <w:rFonts w:hint="eastAsia" w:cs="Times New Roman"/>
                      <w:color w:val="000000" w:themeColor="text1"/>
                      <w:spacing w:val="0"/>
                      <w:sz w:val="21"/>
                      <w:szCs w:val="21"/>
                      <w:highlight w:val="none"/>
                      <w:lang w:val="en-US" w:eastAsia="zh-CN"/>
                      <w14:textFill>
                        <w14:solidFill>
                          <w14:schemeClr w14:val="tx1"/>
                        </w14:solidFill>
                      </w14:textFill>
                    </w:rPr>
                    <w:t>系统</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或加装自动感应门，原料铲装作业采取喷雾抑尘措施，不可见明显扬尘。上料口至破碎机上方落料点全封闭并安装废气收集装置。</w:t>
                  </w:r>
                </w:p>
              </w:tc>
              <w:tc>
                <w:tcPr>
                  <w:tcW w:w="3926" w:type="dxa"/>
                  <w:tcBorders>
                    <w:tl2br w:val="nil"/>
                    <w:tr2bl w:val="nil"/>
                  </w:tcBorders>
                  <w:noWrap w:val="0"/>
                  <w:vAlign w:val="center"/>
                </w:tcPr>
                <w:p w14:paraId="2CD1D86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上料口设置三面围挡带顶盖并配置雾化喷淋抑尘装置。转运点全部设废气收集装置。</w:t>
                  </w:r>
                </w:p>
              </w:tc>
              <w:tc>
                <w:tcPr>
                  <w:tcW w:w="676" w:type="dxa"/>
                  <w:tcBorders>
                    <w:tl2br w:val="nil"/>
                    <w:tr2bl w:val="nil"/>
                  </w:tcBorders>
                  <w:noWrap w:val="0"/>
                  <w:vAlign w:val="center"/>
                </w:tcPr>
                <w:p w14:paraId="42BEFFF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4785F89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145E9B4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w:t>
                  </w:r>
                </w:p>
              </w:tc>
              <w:tc>
                <w:tcPr>
                  <w:tcW w:w="1195" w:type="dxa"/>
                  <w:vMerge w:val="restart"/>
                  <w:tcBorders>
                    <w:tl2br w:val="nil"/>
                    <w:tr2bl w:val="nil"/>
                  </w:tcBorders>
                  <w:noWrap w:val="0"/>
                  <w:vAlign w:val="center"/>
                </w:tcPr>
                <w:p w14:paraId="23F6595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生产工序及车间污染防治</w:t>
                  </w:r>
                </w:p>
              </w:tc>
              <w:tc>
                <w:tcPr>
                  <w:tcW w:w="6133" w:type="dxa"/>
                  <w:tcBorders>
                    <w:tl2br w:val="nil"/>
                    <w:tr2bl w:val="nil"/>
                  </w:tcBorders>
                  <w:noWrap w:val="0"/>
                  <w:vAlign w:val="center"/>
                </w:tcPr>
                <w:p w14:paraId="2BAAAE6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生产车间封闭无破损，破碎、筛分等生产设备全部置于封闭厂房内。破碎机、振筛、桶筛等产尘点采取二次封闭并设置集尘罩负压收集后经除尘设施处理；固定皮带及皮带落差转运站点全部封闭，落差转运点设置集尘罩负压收集后经除尘设施处理，有组织颗粒物排放浓度不高于10mg/Nm</w:t>
                  </w:r>
                  <w:r>
                    <w:rPr>
                      <w:rFonts w:hint="eastAsia" w:ascii="Times New Roman" w:hAnsi="Times New Roman" w:eastAsia="宋体"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。生产车间无明显扬尘。采用干法工艺的石粉企业，成品全部采取储罐、筒仓或覆膜吨包袋等封闭储存、运输。</w:t>
                  </w:r>
                </w:p>
              </w:tc>
              <w:tc>
                <w:tcPr>
                  <w:tcW w:w="3926" w:type="dxa"/>
                  <w:tcBorders>
                    <w:tl2br w:val="nil"/>
                    <w:tr2bl w:val="nil"/>
                  </w:tcBorders>
                  <w:noWrap w:val="0"/>
                  <w:vAlign w:val="center"/>
                </w:tcPr>
                <w:p w14:paraId="22FC738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本项目预处理车间为封闭车间，原料破碎、筛分等集中产尘工序在封闭车间内，在破碎、筛分工序设置高效集气装置，将废气引入脉冲布袋除尘器进行处理，经处理后颗粒物排放浓度不高于</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10mg/</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。生产车间无明显扬尘。</w:t>
                  </w:r>
                </w:p>
              </w:tc>
              <w:tc>
                <w:tcPr>
                  <w:tcW w:w="676" w:type="dxa"/>
                  <w:tcBorders>
                    <w:tl2br w:val="nil"/>
                    <w:tr2bl w:val="nil"/>
                  </w:tcBorders>
                  <w:noWrap w:val="0"/>
                  <w:vAlign w:val="center"/>
                </w:tcPr>
                <w:p w14:paraId="5E32976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3B03730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515AA31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4</w:t>
                  </w:r>
                </w:p>
              </w:tc>
              <w:tc>
                <w:tcPr>
                  <w:tcW w:w="1195" w:type="dxa"/>
                  <w:vMerge w:val="continue"/>
                  <w:tcBorders>
                    <w:tl2br w:val="nil"/>
                    <w:tr2bl w:val="nil"/>
                  </w:tcBorders>
                  <w:noWrap w:val="0"/>
                  <w:vAlign w:val="center"/>
                </w:tcPr>
                <w:p w14:paraId="334C1D5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6133" w:type="dxa"/>
                  <w:tcBorders>
                    <w:tl2br w:val="nil"/>
                    <w:tr2bl w:val="nil"/>
                  </w:tcBorders>
                  <w:noWrap w:val="0"/>
                  <w:vAlign w:val="center"/>
                </w:tcPr>
                <w:p w14:paraId="0368F75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除尘器卸灰口应采取密闭措施，除尘灰不得直接卸落到地面除尘灰采取袋装、罐装等密闭措施收集、存放和运输。</w:t>
                  </w:r>
                </w:p>
              </w:tc>
              <w:tc>
                <w:tcPr>
                  <w:tcW w:w="3926" w:type="dxa"/>
                  <w:tcBorders>
                    <w:tl2br w:val="nil"/>
                    <w:tr2bl w:val="nil"/>
                  </w:tcBorders>
                  <w:noWrap w:val="0"/>
                  <w:vAlign w:val="center"/>
                </w:tcPr>
                <w:p w14:paraId="214DA1F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本项目除尘器卸灰处彩钢封闭，卸灰阀连接吨包，确保除尘灰不落地</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，除尘灰收集后存储于</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一般固废暂存区。</w:t>
                  </w:r>
                </w:p>
              </w:tc>
              <w:tc>
                <w:tcPr>
                  <w:tcW w:w="676" w:type="dxa"/>
                  <w:tcBorders>
                    <w:tl2br w:val="nil"/>
                    <w:tr2bl w:val="nil"/>
                  </w:tcBorders>
                  <w:noWrap w:val="0"/>
                  <w:vAlign w:val="center"/>
                </w:tcPr>
                <w:p w14:paraId="2175FF7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598E610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7850D67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5</w:t>
                  </w:r>
                </w:p>
              </w:tc>
              <w:tc>
                <w:tcPr>
                  <w:tcW w:w="1195" w:type="dxa"/>
                  <w:tcBorders>
                    <w:tl2br w:val="nil"/>
                    <w:tr2bl w:val="nil"/>
                  </w:tcBorders>
                  <w:noWrap w:val="0"/>
                  <w:vAlign w:val="center"/>
                </w:tcPr>
                <w:p w14:paraId="1CC18C1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生产废水污染防治</w:t>
                  </w:r>
                </w:p>
              </w:tc>
              <w:tc>
                <w:tcPr>
                  <w:tcW w:w="6133" w:type="dxa"/>
                  <w:tcBorders>
                    <w:tl2br w:val="nil"/>
                    <w:tr2bl w:val="nil"/>
                  </w:tcBorders>
                  <w:noWrap w:val="0"/>
                  <w:vAlign w:val="center"/>
                </w:tcPr>
                <w:p w14:paraId="7038003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采用湿法作业的，生产车间、成品库设置导流渠，溢流水自流入清水池后回用；生产废水经浓缩罐浓缩后上清液排入清水池，回用于生产，不得外排；污泥经压滤后入库储存，综合利用。</w:t>
                  </w:r>
                </w:p>
              </w:tc>
              <w:tc>
                <w:tcPr>
                  <w:tcW w:w="3926" w:type="dxa"/>
                  <w:tcBorders>
                    <w:tl2br w:val="nil"/>
                    <w:tr2bl w:val="nil"/>
                  </w:tcBorders>
                  <w:noWrap w:val="0"/>
                  <w:vAlign w:val="center"/>
                </w:tcPr>
                <w:p w14:paraId="6F1901D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本项目不涉及。</w:t>
                  </w:r>
                </w:p>
              </w:tc>
              <w:tc>
                <w:tcPr>
                  <w:tcW w:w="676" w:type="dxa"/>
                  <w:tcBorders>
                    <w:tl2br w:val="nil"/>
                    <w:tr2bl w:val="nil"/>
                  </w:tcBorders>
                  <w:noWrap w:val="0"/>
                  <w:vAlign w:val="center"/>
                </w:tcPr>
                <w:p w14:paraId="3C8ABEA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71A3634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restart"/>
                  <w:tcBorders>
                    <w:tl2br w:val="nil"/>
                    <w:tr2bl w:val="nil"/>
                  </w:tcBorders>
                  <w:noWrap w:val="0"/>
                  <w:vAlign w:val="center"/>
                </w:tcPr>
                <w:p w14:paraId="27E0330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6</w:t>
                  </w:r>
                </w:p>
              </w:tc>
              <w:tc>
                <w:tcPr>
                  <w:tcW w:w="1195" w:type="dxa"/>
                  <w:vMerge w:val="restart"/>
                  <w:tcBorders>
                    <w:tl2br w:val="nil"/>
                    <w:tr2bl w:val="nil"/>
                  </w:tcBorders>
                  <w:noWrap w:val="0"/>
                  <w:vAlign w:val="center"/>
                </w:tcPr>
                <w:p w14:paraId="7AF3149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监测监控</w:t>
                  </w:r>
                </w:p>
              </w:tc>
              <w:tc>
                <w:tcPr>
                  <w:tcW w:w="6133" w:type="dxa"/>
                  <w:tcBorders>
                    <w:tl2br w:val="nil"/>
                    <w:tr2bl w:val="nil"/>
                  </w:tcBorders>
                  <w:noWrap w:val="0"/>
                  <w:vAlign w:val="center"/>
                </w:tcPr>
                <w:p w14:paraId="52EBADB2">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firstLine="0" w:firstLineChars="0"/>
                    <w:jc w:val="both"/>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建立全厂的无组织排放管控系统，在厂区四面边界安装TSP、PM</w:t>
                  </w:r>
                  <w:r>
                    <w:rPr>
                      <w:rFonts w:hint="eastAsia" w:ascii="Times New Roman" w:hAnsi="Times New Roman" w:eastAsia="宋体" w:cs="Times New Roman"/>
                      <w:color w:val="000000" w:themeColor="text1"/>
                      <w:spacing w:val="0"/>
                      <w:sz w:val="21"/>
                      <w:szCs w:val="21"/>
                      <w:highlight w:val="none"/>
                      <w:vertAlign w:val="subscript"/>
                      <w:lang w:val="en-US" w:eastAsia="zh-CN"/>
                      <w14:textFill>
                        <w14:solidFill>
                          <w14:schemeClr w14:val="tx1"/>
                        </w14:solidFill>
                      </w14:textFill>
                    </w:rPr>
                    <w:t>10</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、PM</w:t>
                  </w:r>
                  <w:r>
                    <w:rPr>
                      <w:rFonts w:hint="eastAsia" w:ascii="Times New Roman" w:hAnsi="Times New Roman" w:eastAsia="宋体" w:cs="Times New Roman"/>
                      <w:color w:val="000000" w:themeColor="text1"/>
                      <w:spacing w:val="0"/>
                      <w:sz w:val="21"/>
                      <w:szCs w:val="21"/>
                      <w:highlight w:val="none"/>
                      <w:vertAlign w:val="subscript"/>
                      <w:lang w:val="en-US" w:eastAsia="zh-CN"/>
                      <w14:textFill>
                        <w14:solidFill>
                          <w14:schemeClr w14:val="tx1"/>
                        </w14:solidFill>
                      </w14:textFill>
                    </w:rPr>
                    <w:t>2.5</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在线监测设备（在线设施须有环境保护产品认证证书），具备联网功能，厂区边界颗粒物浓度不高于1.0mg/Nm</w:t>
                  </w:r>
                  <w:r>
                    <w:rPr>
                      <w:rFonts w:hint="eastAsia" w:ascii="Times New Roman" w:hAnsi="Times New Roman" w:eastAsia="宋体"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p>
              </w:tc>
              <w:tc>
                <w:tcPr>
                  <w:tcW w:w="3926" w:type="dxa"/>
                  <w:tcBorders>
                    <w:tl2br w:val="nil"/>
                    <w:tr2bl w:val="nil"/>
                  </w:tcBorders>
                  <w:noWrap w:val="0"/>
                  <w:vAlign w:val="center"/>
                </w:tcPr>
                <w:p w14:paraId="18AD6BE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现有厂区</w:t>
                  </w:r>
                  <w:r>
                    <w:rPr>
                      <w:rFonts w:hint="eastAsia" w:cs="Times New Roman"/>
                      <w:color w:val="000000" w:themeColor="text1"/>
                      <w:spacing w:val="0"/>
                      <w:sz w:val="21"/>
                      <w:szCs w:val="21"/>
                      <w:highlight w:val="none"/>
                      <w:lang w:val="en-US" w:eastAsia="zh-CN"/>
                      <w14:textFill>
                        <w14:solidFill>
                          <w14:schemeClr w14:val="tx1"/>
                        </w14:solidFill>
                      </w14:textFill>
                    </w:rPr>
                    <w:t>四周边界各</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安装1套</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TSP</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PM</w:t>
                  </w:r>
                  <w:r>
                    <w:rPr>
                      <w:rFonts w:hint="default" w:ascii="Times New Roman" w:hAnsi="Times New Roman" w:eastAsia="宋体" w:cs="Times New Roman"/>
                      <w:color w:val="000000" w:themeColor="text1"/>
                      <w:spacing w:val="0"/>
                      <w:sz w:val="21"/>
                      <w:szCs w:val="21"/>
                      <w:highlight w:val="none"/>
                      <w:vertAlign w:val="subscript"/>
                      <w:lang w:val="en-US" w:eastAsia="zh-CN"/>
                      <w14:textFill>
                        <w14:solidFill>
                          <w14:schemeClr w14:val="tx1"/>
                        </w14:solidFill>
                      </w14:textFill>
                    </w:rPr>
                    <w:t>10</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PM</w:t>
                  </w:r>
                  <w:r>
                    <w:rPr>
                      <w:rFonts w:hint="default" w:ascii="Times New Roman" w:hAnsi="Times New Roman" w:eastAsia="宋体" w:cs="Times New Roman"/>
                      <w:color w:val="000000" w:themeColor="text1"/>
                      <w:spacing w:val="0"/>
                      <w:sz w:val="21"/>
                      <w:szCs w:val="21"/>
                      <w:highlight w:val="none"/>
                      <w:vertAlign w:val="subscript"/>
                      <w:lang w:val="en-US" w:eastAsia="zh-CN"/>
                      <w14:textFill>
                        <w14:solidFill>
                          <w14:schemeClr w14:val="tx1"/>
                        </w14:solidFill>
                      </w14:textFill>
                    </w:rPr>
                    <w:t>2.5</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 xml:space="preserve">在线监测设备，并配备符合规范要求的监测系统软件。边界颗粒物浓度不高于 </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1mg/m</w:t>
                  </w:r>
                  <w:r>
                    <w:rPr>
                      <w:rFonts w:hint="eastAsia" w:ascii="Times New Roman" w:hAnsi="Times New Roman" w:eastAsia="宋体" w:cs="Times New Roman"/>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。在厂区门口外墙上安装电子显示屏，实时发布厂区内在线监测主要污染物排放信息。</w:t>
                  </w:r>
                </w:p>
              </w:tc>
              <w:tc>
                <w:tcPr>
                  <w:tcW w:w="676" w:type="dxa"/>
                  <w:tcBorders>
                    <w:tl2br w:val="nil"/>
                    <w:tr2bl w:val="nil"/>
                  </w:tcBorders>
                  <w:noWrap w:val="0"/>
                  <w:vAlign w:val="center"/>
                </w:tcPr>
                <w:p w14:paraId="313506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39B9B0E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7B429F7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1195" w:type="dxa"/>
                  <w:vMerge w:val="continue"/>
                  <w:tcBorders>
                    <w:tl2br w:val="nil"/>
                    <w:tr2bl w:val="nil"/>
                  </w:tcBorders>
                  <w:noWrap w:val="0"/>
                  <w:vAlign w:val="center"/>
                </w:tcPr>
                <w:p w14:paraId="7E6F1F5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6133" w:type="dxa"/>
                  <w:tcBorders>
                    <w:tl2br w:val="nil"/>
                    <w:tr2bl w:val="nil"/>
                  </w:tcBorders>
                  <w:noWrap w:val="0"/>
                  <w:vAlign w:val="center"/>
                </w:tcPr>
                <w:p w14:paraId="7A758EB4">
                  <w:pPr>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firstLine="0" w:firstLineChars="0"/>
                    <w:jc w:val="both"/>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排放口设置规范化采样平台，采样点位置应严格满足《固定污染源烟气（SO</w:t>
                  </w:r>
                  <w:r>
                    <w:rPr>
                      <w:rFonts w:hint="eastAsia" w:ascii="Times New Roman" w:hAnsi="Times New Roman" w:eastAsia="宋体" w:cs="Times New Roman"/>
                      <w:color w:val="000000" w:themeColor="text1"/>
                      <w:spacing w:val="0"/>
                      <w:sz w:val="21"/>
                      <w:szCs w:val="21"/>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、NO</w:t>
                  </w:r>
                  <w:r>
                    <w:rPr>
                      <w:rFonts w:hint="eastAsia" w:ascii="Times New Roman" w:hAnsi="Times New Roman" w:eastAsia="宋体" w:cs="Times New Roman"/>
                      <w:color w:val="000000" w:themeColor="text1"/>
                      <w:spacing w:val="0"/>
                      <w:sz w:val="21"/>
                      <w:szCs w:val="21"/>
                      <w:highlight w:val="none"/>
                      <w:vertAlign w:val="subscript"/>
                      <w:lang w:val="en-US" w:eastAsia="zh-CN"/>
                      <w14:textFill>
                        <w14:solidFill>
                          <w14:schemeClr w14:val="tx1"/>
                        </w14:solidFill>
                      </w14:textFill>
                    </w:rPr>
                    <w:t>X</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、颗粒物）排放连续监测技术规范》（HJ/75-2017代替HJ/T75-2007）标准。</w:t>
                  </w:r>
                </w:p>
              </w:tc>
              <w:tc>
                <w:tcPr>
                  <w:tcW w:w="3926" w:type="dxa"/>
                  <w:tcBorders>
                    <w:tl2br w:val="nil"/>
                    <w:tr2bl w:val="nil"/>
                  </w:tcBorders>
                  <w:noWrap w:val="0"/>
                  <w:vAlign w:val="center"/>
                </w:tcPr>
                <w:p w14:paraId="7DEFFCD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排放口规范化建设，设立规范化采样平台，采样点位置满足《固定污染源烟气（SO</w:t>
                  </w:r>
                  <w:r>
                    <w:rPr>
                      <w:rFonts w:hint="eastAsia" w:ascii="Times New Roman" w:hAnsi="Times New Roman" w:eastAsia="宋体" w:cs="Times New Roman"/>
                      <w:color w:val="000000" w:themeColor="text1"/>
                      <w:spacing w:val="0"/>
                      <w:sz w:val="21"/>
                      <w:szCs w:val="21"/>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、NO</w:t>
                  </w:r>
                  <w:r>
                    <w:rPr>
                      <w:rFonts w:hint="eastAsia" w:ascii="Times New Roman" w:hAnsi="Times New Roman" w:eastAsia="宋体" w:cs="Times New Roman"/>
                      <w:color w:val="000000" w:themeColor="text1"/>
                      <w:spacing w:val="0"/>
                      <w:sz w:val="21"/>
                      <w:szCs w:val="21"/>
                      <w:highlight w:val="none"/>
                      <w:vertAlign w:val="subscript"/>
                      <w:lang w:val="en-US" w:eastAsia="zh-CN"/>
                      <w14:textFill>
                        <w14:solidFill>
                          <w14:schemeClr w14:val="tx1"/>
                        </w14:solidFill>
                      </w14:textFill>
                    </w:rPr>
                    <w:t>X</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、颗粒物）排放连续监测技术规范》（HJ/75-2017）标准。</w:t>
                  </w:r>
                </w:p>
              </w:tc>
              <w:tc>
                <w:tcPr>
                  <w:tcW w:w="676" w:type="dxa"/>
                  <w:tcBorders>
                    <w:tl2br w:val="nil"/>
                    <w:tr2bl w:val="nil"/>
                  </w:tcBorders>
                  <w:noWrap w:val="0"/>
                  <w:vAlign w:val="center"/>
                </w:tcPr>
                <w:p w14:paraId="628647A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0DCC840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046297D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1195" w:type="dxa"/>
                  <w:vMerge w:val="continue"/>
                  <w:tcBorders>
                    <w:tl2br w:val="nil"/>
                    <w:tr2bl w:val="nil"/>
                  </w:tcBorders>
                  <w:noWrap w:val="0"/>
                  <w:vAlign w:val="center"/>
                </w:tcPr>
                <w:p w14:paraId="76B774F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6133" w:type="dxa"/>
                  <w:tcBorders>
                    <w:tl2br w:val="nil"/>
                    <w:tr2bl w:val="nil"/>
                  </w:tcBorders>
                  <w:noWrap w:val="0"/>
                  <w:vAlign w:val="center"/>
                </w:tcPr>
                <w:p w14:paraId="3585894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生产车间及厂区内安装高清视频监控设施，视频监控系统数据保存6个月以上，并与滦州市生态环境事务中心联网，污染治理设施安装分表计电设施</w:t>
                  </w:r>
                </w:p>
              </w:tc>
              <w:tc>
                <w:tcPr>
                  <w:tcW w:w="3926" w:type="dxa"/>
                  <w:tcBorders>
                    <w:tl2br w:val="nil"/>
                    <w:tr2bl w:val="nil"/>
                  </w:tcBorders>
                  <w:noWrap w:val="0"/>
                  <w:vAlign w:val="center"/>
                </w:tcPr>
                <w:p w14:paraId="16ABC3A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本项目在车间</w:t>
                  </w:r>
                  <w:r>
                    <w:rPr>
                      <w:rFonts w:hint="eastAsia" w:cs="Times New Roman"/>
                      <w:color w:val="000000" w:themeColor="text1"/>
                      <w:spacing w:val="0"/>
                      <w:sz w:val="21"/>
                      <w:szCs w:val="21"/>
                      <w:highlight w:val="none"/>
                      <w:lang w:val="en-US" w:eastAsia="zh-CN"/>
                      <w14:textFill>
                        <w14:solidFill>
                          <w14:schemeClr w14:val="tx1"/>
                        </w14:solidFill>
                      </w14:textFill>
                    </w:rPr>
                    <w:t>内</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安装视频监控、并联网，并保留资料</w:t>
                  </w:r>
                  <w:r>
                    <w:rPr>
                      <w:rFonts w:hint="eastAsia" w:cs="Times New Roman"/>
                      <w:color w:val="000000" w:themeColor="text1"/>
                      <w:spacing w:val="0"/>
                      <w:sz w:val="21"/>
                      <w:szCs w:val="21"/>
                      <w:highlight w:val="none"/>
                      <w:lang w:val="en-US" w:eastAsia="zh-CN"/>
                      <w14:textFill>
                        <w14:solidFill>
                          <w14:schemeClr w14:val="tx1"/>
                        </w14:solidFill>
                      </w14:textFill>
                    </w:rPr>
                    <w:t>六</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个月以上。污染治理设施安装分表计电设施</w:t>
                  </w:r>
                </w:p>
              </w:tc>
              <w:tc>
                <w:tcPr>
                  <w:tcW w:w="676" w:type="dxa"/>
                  <w:tcBorders>
                    <w:tl2br w:val="nil"/>
                    <w:tr2bl w:val="nil"/>
                  </w:tcBorders>
                  <w:noWrap w:val="0"/>
                  <w:vAlign w:val="center"/>
                </w:tcPr>
                <w:p w14:paraId="3EC34D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zh-TW"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7C95E5C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restart"/>
                  <w:tcBorders>
                    <w:tl2br w:val="nil"/>
                    <w:tr2bl w:val="nil"/>
                  </w:tcBorders>
                  <w:noWrap w:val="0"/>
                  <w:vAlign w:val="center"/>
                </w:tcPr>
                <w:p w14:paraId="41BD306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7</w:t>
                  </w:r>
                </w:p>
              </w:tc>
              <w:tc>
                <w:tcPr>
                  <w:tcW w:w="1195" w:type="dxa"/>
                  <w:vMerge w:val="restart"/>
                  <w:tcBorders>
                    <w:tl2br w:val="nil"/>
                    <w:tr2bl w:val="nil"/>
                  </w:tcBorders>
                  <w:noWrap w:val="0"/>
                  <w:vAlign w:val="center"/>
                </w:tcPr>
                <w:p w14:paraId="67DE6FC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厂容厂貌及环境管理要求</w:t>
                  </w:r>
                </w:p>
              </w:tc>
              <w:tc>
                <w:tcPr>
                  <w:tcW w:w="6133" w:type="dxa"/>
                  <w:tcBorders>
                    <w:tl2br w:val="nil"/>
                    <w:tr2bl w:val="nil"/>
                  </w:tcBorders>
                  <w:noWrap w:val="0"/>
                  <w:vAlign w:val="center"/>
                </w:tcPr>
                <w:p w14:paraId="5E46A11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厂区实现“非硬即绿”，路面硬化无破损，配备湿扫车辆及时对厂区进行保洁。</w:t>
                  </w:r>
                </w:p>
              </w:tc>
              <w:tc>
                <w:tcPr>
                  <w:tcW w:w="3926" w:type="dxa"/>
                  <w:vMerge w:val="restart"/>
                  <w:tcBorders>
                    <w:tl2br w:val="nil"/>
                    <w:tr2bl w:val="nil"/>
                  </w:tcBorders>
                  <w:noWrap w:val="0"/>
                  <w:vAlign w:val="center"/>
                </w:tcPr>
                <w:p w14:paraId="13B7015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厂区出入口至主干道道路、厂区内路面全部硬化、无破损，厂区实现“非硬即绿”</w:t>
                  </w:r>
                  <w:r>
                    <w:rPr>
                      <w:rFonts w:hint="eastAsia" w:ascii="Times New Roman" w:hAnsi="Times New Roman" w:eastAsia="宋体" w:cs="Times New Roman"/>
                      <w:color w:val="000000" w:themeColor="text1"/>
                      <w:spacing w:val="0"/>
                      <w:sz w:val="21"/>
                      <w:szCs w:val="21"/>
                      <w:highlight w:val="none"/>
                      <w:lang w:val="zh-CN"/>
                      <w14:textFill>
                        <w14:solidFill>
                          <w14:schemeClr w14:val="tx1"/>
                        </w14:solidFill>
                      </w14:textFill>
                    </w:rPr>
                    <w:t>。配备湿扫车辆，每天加强对厂区湿扫、洒水。</w:t>
                  </w:r>
                </w:p>
              </w:tc>
              <w:tc>
                <w:tcPr>
                  <w:tcW w:w="676" w:type="dxa"/>
                  <w:vMerge w:val="restart"/>
                  <w:tcBorders>
                    <w:tl2br w:val="nil"/>
                    <w:tr2bl w:val="nil"/>
                  </w:tcBorders>
                  <w:noWrap w:val="0"/>
                  <w:vAlign w:val="center"/>
                </w:tcPr>
                <w:p w14:paraId="3E97E38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12BC43D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76748EC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1195" w:type="dxa"/>
                  <w:vMerge w:val="continue"/>
                  <w:tcBorders>
                    <w:tl2br w:val="nil"/>
                    <w:tr2bl w:val="nil"/>
                  </w:tcBorders>
                  <w:noWrap w:val="0"/>
                  <w:vAlign w:val="center"/>
                </w:tcPr>
                <w:p w14:paraId="0E81B13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6133" w:type="dxa"/>
                  <w:tcBorders>
                    <w:tl2br w:val="nil"/>
                    <w:tr2bl w:val="nil"/>
                  </w:tcBorders>
                  <w:noWrap w:val="0"/>
                  <w:vAlign w:val="center"/>
                </w:tcPr>
                <w:p w14:paraId="34E974D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厂区至公路路网运输的道路全部硬化。路面不间断清扫保洁、洒水抑尘，保持路面整洁、湿润不起尘，有效防止运输环节扬尘污染。</w:t>
                  </w:r>
                </w:p>
              </w:tc>
              <w:tc>
                <w:tcPr>
                  <w:tcW w:w="3926" w:type="dxa"/>
                  <w:vMerge w:val="continue"/>
                  <w:tcBorders>
                    <w:tl2br w:val="nil"/>
                    <w:tr2bl w:val="nil"/>
                  </w:tcBorders>
                  <w:noWrap w:val="0"/>
                  <w:vAlign w:val="center"/>
                </w:tcPr>
                <w:p w14:paraId="38C6F5B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p>
              </w:tc>
              <w:tc>
                <w:tcPr>
                  <w:tcW w:w="676" w:type="dxa"/>
                  <w:vMerge w:val="continue"/>
                  <w:tcBorders>
                    <w:tl2br w:val="nil"/>
                    <w:tr2bl w:val="nil"/>
                  </w:tcBorders>
                  <w:noWrap w:val="0"/>
                  <w:vAlign w:val="center"/>
                </w:tcPr>
                <w:p w14:paraId="7E7E39F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p>
              </w:tc>
            </w:tr>
            <w:tr w14:paraId="3CC43A6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01AA652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1195" w:type="dxa"/>
                  <w:vMerge w:val="continue"/>
                  <w:tcBorders>
                    <w:tl2br w:val="nil"/>
                    <w:tr2bl w:val="nil"/>
                  </w:tcBorders>
                  <w:noWrap w:val="0"/>
                  <w:vAlign w:val="center"/>
                </w:tcPr>
                <w:p w14:paraId="3F04728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6133" w:type="dxa"/>
                  <w:tcBorders>
                    <w:tl2br w:val="nil"/>
                    <w:tr2bl w:val="nil"/>
                  </w:tcBorders>
                  <w:noWrap w:val="0"/>
                  <w:vAlign w:val="center"/>
                </w:tcPr>
                <w:p w14:paraId="6ED9440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厂区出入口或料棚出入口，安装运输车辆侧向全覆盖式强制喷淋清洗设施，长度不少于6米、高度不低于2.5米，地面至少设置一排花式喷射喷头。洗车平台四周应设置防溢座，洗车过程中产生的废水经沉淀池沉淀后流入清水池回用。废水收集池采用混凝土结构，经防渗处理，抗渗系数≤1</w:t>
                  </w:r>
                  <w: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pacing w:val="0"/>
                      <w:sz w:val="21"/>
                      <w:szCs w:val="21"/>
                      <w:highlight w:val="none"/>
                      <w:vertAlign w:val="superscript"/>
                      <w:lang w:val="en-US" w:eastAsia="zh-CN"/>
                      <w14:textFill>
                        <w14:solidFill>
                          <w14:schemeClr w14:val="tx1"/>
                        </w14:solidFill>
                      </w14:textFill>
                    </w:rPr>
                    <w:t>-7</w:t>
                  </w:r>
                  <w:r>
                    <w:rPr>
                      <w:rFonts w:hint="eastAsia" w:ascii="Times New Roman" w:hAnsi="Times New Roman" w:eastAsia="宋体" w:cs="Times New Roman"/>
                      <w:color w:val="000000" w:themeColor="text1"/>
                      <w:spacing w:val="0"/>
                      <w:sz w:val="21"/>
                      <w:szCs w:val="21"/>
                      <w:highlight w:val="none"/>
                      <w:vertAlign w:val="baseline"/>
                      <w:lang w:val="en-US" w:eastAsia="zh-CN"/>
                      <w14:textFill>
                        <w14:solidFill>
                          <w14:schemeClr w14:val="tx1"/>
                        </w14:solidFill>
                      </w14:textFill>
                    </w:rPr>
                    <w:t>c</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m/s。洗车平台应低于地面（呈斜坡状）清洗完成后车辆应在洗车</w:t>
                  </w:r>
                  <w:r>
                    <w:rPr>
                      <w:rFonts w:hint="eastAsia" w:cs="Times New Roman"/>
                      <w:color w:val="000000" w:themeColor="text1"/>
                      <w:spacing w:val="0"/>
                      <w:sz w:val="21"/>
                      <w:szCs w:val="21"/>
                      <w:highlight w:val="none"/>
                      <w:lang w:val="en-US" w:eastAsia="zh-CN"/>
                      <w14:textFill>
                        <w14:solidFill>
                          <w14:schemeClr w14:val="tx1"/>
                        </w14:solidFill>
                      </w14:textFill>
                    </w:rPr>
                    <w:t>槽</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内短暂停留避免因车身带水过多造成道路湿滑和冬季积水结冰等安全隐患。喷淋设施应充分考虑冷冻期结冰问题，冲洗介质可使用温水、添加防冻物质等有效防冻措施，冲洗水循环利用，不外排。</w:t>
                  </w:r>
                </w:p>
              </w:tc>
              <w:tc>
                <w:tcPr>
                  <w:tcW w:w="3926" w:type="dxa"/>
                  <w:tcBorders>
                    <w:tl2br w:val="nil"/>
                    <w:tr2bl w:val="nil"/>
                  </w:tcBorders>
                  <w:noWrap w:val="0"/>
                  <w:vAlign w:val="center"/>
                </w:tcPr>
                <w:p w14:paraId="323789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厂区</w:t>
                  </w:r>
                  <w:r>
                    <w:rPr>
                      <w:rFonts w:hint="eastAsia" w:cs="Times New Roman"/>
                      <w:color w:val="000000" w:themeColor="text1"/>
                      <w:spacing w:val="0"/>
                      <w:sz w:val="21"/>
                      <w:szCs w:val="21"/>
                      <w:highlight w:val="none"/>
                      <w:lang w:val="en-US" w:eastAsia="zh-CN"/>
                      <w14:textFill>
                        <w14:solidFill>
                          <w14:schemeClr w14:val="tx1"/>
                        </w14:solidFill>
                      </w14:textFill>
                    </w:rPr>
                    <w:t>出</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入口设置洗车</w:t>
                  </w:r>
                  <w:r>
                    <w:rPr>
                      <w:rFonts w:hint="eastAsia" w:cs="Times New Roman"/>
                      <w:color w:val="000000" w:themeColor="text1"/>
                      <w:spacing w:val="0"/>
                      <w:sz w:val="21"/>
                      <w:szCs w:val="21"/>
                      <w:highlight w:val="none"/>
                      <w:lang w:val="en-US" w:eastAsia="zh-CN"/>
                      <w14:textFill>
                        <w14:solidFill>
                          <w14:schemeClr w14:val="tx1"/>
                        </w14:solidFill>
                      </w14:textFill>
                    </w:rPr>
                    <w:t>平台</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，用于对货运车辆的清洗，</w:t>
                  </w:r>
                  <w:r>
                    <w:rPr>
                      <w:rFonts w:hint="eastAsia" w:ascii="Times New Roman" w:hAnsi="Times New Roman" w:eastAsia="宋体" w:cs="Times New Roman"/>
                      <w:color w:val="000000" w:themeColor="text1"/>
                      <w:spacing w:val="0"/>
                      <w:sz w:val="21"/>
                      <w:szCs w:val="21"/>
                      <w:highlight w:val="none"/>
                      <w14:textFill>
                        <w14:solidFill>
                          <w14:schemeClr w14:val="tx1"/>
                        </w14:solidFill>
                      </w14:textFill>
                    </w:rPr>
                    <w:t>长度6米、高度2.5米</w:t>
                  </w:r>
                  <w:r>
                    <w:rPr>
                      <w:rFonts w:hint="eastAsia" w:cs="Times New Roman"/>
                      <w:color w:val="000000" w:themeColor="text1"/>
                      <w:spacing w:val="0"/>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highlight w:val="none"/>
                      <w14:textFill>
                        <w14:solidFill>
                          <w14:schemeClr w14:val="tx1"/>
                        </w14:solidFill>
                      </w14:textFill>
                    </w:rPr>
                    <w:t>地面设置</w:t>
                  </w: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多</w:t>
                  </w:r>
                  <w:r>
                    <w:rPr>
                      <w:rFonts w:hint="eastAsia" w:ascii="Times New Roman" w:hAnsi="Times New Roman" w:eastAsia="宋体" w:cs="Times New Roman"/>
                      <w:color w:val="000000" w:themeColor="text1"/>
                      <w:spacing w:val="0"/>
                      <w:sz w:val="21"/>
                      <w:szCs w:val="21"/>
                      <w:highlight w:val="none"/>
                      <w14:textFill>
                        <w14:solidFill>
                          <w14:schemeClr w14:val="tx1"/>
                        </w14:solidFill>
                      </w14:textFill>
                    </w:rPr>
                    <w:t>排花式喷射喷头</w:t>
                  </w: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w:t>
                  </w:r>
                  <w:r>
                    <w:rPr>
                      <w:rFonts w:hint="eastAsia" w:cs="Times New Roman"/>
                      <w:color w:val="000000" w:themeColor="text1"/>
                      <w:spacing w:val="0"/>
                      <w:sz w:val="21"/>
                      <w:szCs w:val="21"/>
                      <w:highlight w:val="none"/>
                      <w:lang w:val="en-US" w:eastAsia="zh-CN"/>
                      <w14:textFill>
                        <w14:solidFill>
                          <w14:schemeClr w14:val="tx1"/>
                        </w14:solidFill>
                      </w14:textFill>
                    </w:rPr>
                    <w:t>洗车平台</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冲</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洗介质使用温水、添加防冻物质等有效防冻措施；冲洗水循环利用，不外排。</w:t>
                  </w:r>
                </w:p>
              </w:tc>
              <w:tc>
                <w:tcPr>
                  <w:tcW w:w="676" w:type="dxa"/>
                  <w:tcBorders>
                    <w:tl2br w:val="nil"/>
                    <w:tr2bl w:val="nil"/>
                  </w:tcBorders>
                  <w:noWrap w:val="0"/>
                  <w:vAlign w:val="center"/>
                </w:tcPr>
                <w:p w14:paraId="006814F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r w14:paraId="1AEBB8F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0CABBD6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8</w:t>
                  </w:r>
                </w:p>
              </w:tc>
              <w:tc>
                <w:tcPr>
                  <w:tcW w:w="1195" w:type="dxa"/>
                  <w:tcBorders>
                    <w:tl2br w:val="nil"/>
                    <w:tr2bl w:val="nil"/>
                  </w:tcBorders>
                  <w:noWrap w:val="0"/>
                  <w:vAlign w:val="center"/>
                </w:tcPr>
                <w:p w14:paraId="7BD7746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运输方式和运输监管</w:t>
                  </w:r>
                </w:p>
              </w:tc>
              <w:tc>
                <w:tcPr>
                  <w:tcW w:w="6133" w:type="dxa"/>
                  <w:tcBorders>
                    <w:tl2br w:val="nil"/>
                    <w:tr2bl w:val="nil"/>
                  </w:tcBorders>
                  <w:noWrap w:val="0"/>
                  <w:vAlign w:val="center"/>
                </w:tcPr>
                <w:p w14:paraId="5288486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各企业参照《重污染天气重点行业移动源应急管理技术指南》建立门禁系统和电子台账。厂区所有车辆出入口全部安装重型货车门禁系统，运输车辆全部使用国五及以上排放标准(含燃气)或新能源车辆，严禁私开偏门进行车辆运输。厂内非道路移动机械全部使用经环保登记管理及备案的国三及以上排放标准或新能源机械。</w:t>
                  </w:r>
                </w:p>
              </w:tc>
              <w:tc>
                <w:tcPr>
                  <w:tcW w:w="3926" w:type="dxa"/>
                  <w:tcBorders>
                    <w:tl2br w:val="nil"/>
                    <w:tr2bl w:val="nil"/>
                  </w:tcBorders>
                  <w:noWrap w:val="0"/>
                  <w:vAlign w:val="center"/>
                </w:tcPr>
                <w:p w14:paraId="307F958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项目</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建立门禁系统和电子台账</w:t>
                  </w:r>
                  <w:r>
                    <w:rPr>
                      <w:rFonts w:hint="eastAsia" w:ascii="Times New Roman" w:hAnsi="Times New Roman" w:eastAsia="宋体" w:cs="Times New Roman"/>
                      <w:color w:val="000000" w:themeColor="text1"/>
                      <w:spacing w:val="0"/>
                      <w:sz w:val="21"/>
                      <w:szCs w:val="21"/>
                      <w:highlight w:val="none"/>
                      <w14:textFill>
                        <w14:solidFill>
                          <w14:schemeClr w14:val="tx1"/>
                        </w14:solidFill>
                      </w14:textFill>
                    </w:rPr>
                    <w:t>物料</w:t>
                  </w: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highlight w:val="none"/>
                      <w14:textFill>
                        <w14:solidFill>
                          <w14:schemeClr w14:val="tx1"/>
                        </w14:solidFill>
                      </w14:textFill>
                    </w:rPr>
                    <w:t>公路运输全部使用国五及以上排放标准重型载货车辆（含燃气）或新能源车辆；厂内运输车辆全部使用国五及以上排放标准（含燃气）或使用新能源车辆</w:t>
                  </w: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highlight w:val="none"/>
                      <w14:textFill>
                        <w14:solidFill>
                          <w14:schemeClr w14:val="tx1"/>
                        </w14:solidFill>
                      </w14:textFill>
                    </w:rPr>
                    <w:t>厂内非道路移动机械全部使用国三及以上排放标准或新能源机械</w:t>
                  </w: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highlight w:val="none"/>
                      <w14:textFill>
                        <w14:solidFill>
                          <w14:schemeClr w14:val="tx1"/>
                        </w14:solidFill>
                      </w14:textFill>
                    </w:rPr>
                    <w:t>厂区内所有燃油非道路移动机械</w:t>
                  </w:r>
                  <w:r>
                    <w:rPr>
                      <w:rFonts w:hint="eastAsia" w:ascii="Times New Roman" w:hAnsi="Times New Roman" w:eastAsia="宋体" w:cs="Times New Roman"/>
                      <w:color w:val="000000" w:themeColor="text1"/>
                      <w:spacing w:val="0"/>
                      <w:sz w:val="21"/>
                      <w:szCs w:val="21"/>
                      <w:highlight w:val="none"/>
                      <w:lang w:eastAsia="zh-CN"/>
                      <w14:textFill>
                        <w14:solidFill>
                          <w14:schemeClr w14:val="tx1"/>
                        </w14:solidFill>
                      </w14:textFill>
                    </w:rPr>
                    <w:t>按要求</w:t>
                  </w:r>
                  <w:r>
                    <w:rPr>
                      <w:rFonts w:hint="eastAsia" w:ascii="Times New Roman" w:hAnsi="Times New Roman" w:eastAsia="宋体" w:cs="Times New Roman"/>
                      <w:color w:val="000000" w:themeColor="text1"/>
                      <w:spacing w:val="0"/>
                      <w:sz w:val="21"/>
                      <w:szCs w:val="21"/>
                      <w:highlight w:val="none"/>
                      <w14:textFill>
                        <w14:solidFill>
                          <w14:schemeClr w14:val="tx1"/>
                        </w14:solidFill>
                      </w14:textFill>
                    </w:rPr>
                    <w:t>进行环保登记备案管理，防止尾气超标污染。</w:t>
                  </w:r>
                </w:p>
              </w:tc>
              <w:tc>
                <w:tcPr>
                  <w:tcW w:w="676" w:type="dxa"/>
                  <w:tcBorders>
                    <w:tl2br w:val="nil"/>
                    <w:tr2bl w:val="nil"/>
                  </w:tcBorders>
                  <w:noWrap w:val="0"/>
                  <w:vAlign w:val="center"/>
                </w:tcPr>
                <w:p w14:paraId="1C37941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52245D3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tcBorders>
                    <w:tl2br w:val="nil"/>
                    <w:tr2bl w:val="nil"/>
                  </w:tcBorders>
                  <w:noWrap w:val="0"/>
                  <w:vAlign w:val="center"/>
                </w:tcPr>
                <w:p w14:paraId="6C72857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9</w:t>
                  </w:r>
                </w:p>
              </w:tc>
              <w:tc>
                <w:tcPr>
                  <w:tcW w:w="1195" w:type="dxa"/>
                  <w:tcBorders>
                    <w:tl2br w:val="nil"/>
                    <w:tr2bl w:val="nil"/>
                  </w:tcBorders>
                  <w:noWrap w:val="0"/>
                  <w:vAlign w:val="center"/>
                </w:tcPr>
                <w:p w14:paraId="065DFC9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危险废物储存及管理</w:t>
                  </w:r>
                </w:p>
              </w:tc>
              <w:tc>
                <w:tcPr>
                  <w:tcW w:w="6133" w:type="dxa"/>
                  <w:tcBorders>
                    <w:tl2br w:val="nil"/>
                    <w:tr2bl w:val="nil"/>
                  </w:tcBorders>
                  <w:noWrap w:val="0"/>
                  <w:vAlign w:val="center"/>
                </w:tcPr>
                <w:p w14:paraId="41E51FD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危废间应满足“四防”（防风、防雨、防晒、防渗漏）标准，地面与裙角要用坚固防渗的材料建造，用以存放装载液体半固体危废容器的地方必须有耐腐蚀的硬化地面，达到环保要求。危废间设立危险废物警示标志并建立健全危废管理制度，由专人进行管理，做好危险废物处置记录</w:t>
                  </w:r>
                </w:p>
              </w:tc>
              <w:tc>
                <w:tcPr>
                  <w:tcW w:w="3926" w:type="dxa"/>
                  <w:tcBorders>
                    <w:tl2br w:val="nil"/>
                    <w:tr2bl w:val="nil"/>
                  </w:tcBorders>
                  <w:noWrap w:val="0"/>
                  <w:vAlign w:val="center"/>
                </w:tcPr>
                <w:p w14:paraId="5A3CBC2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危废间建设符合</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《危险废物贮存污染控制标准》</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的要求。危废间设立危险废物警示标志并建立健全危废管理制度，由专人进行管理，做好危险废物处置记录.</w:t>
                  </w:r>
                </w:p>
              </w:tc>
              <w:tc>
                <w:tcPr>
                  <w:tcW w:w="676" w:type="dxa"/>
                  <w:tcBorders>
                    <w:tl2br w:val="nil"/>
                    <w:tr2bl w:val="nil"/>
                  </w:tcBorders>
                  <w:noWrap w:val="0"/>
                  <w:vAlign w:val="center"/>
                </w:tcPr>
                <w:p w14:paraId="3FD479A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72E12B3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restart"/>
                  <w:tcBorders>
                    <w:tl2br w:val="nil"/>
                    <w:tr2bl w:val="nil"/>
                  </w:tcBorders>
                  <w:noWrap w:val="0"/>
                  <w:vAlign w:val="center"/>
                </w:tcPr>
                <w:p w14:paraId="2219EF2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10</w:t>
                  </w:r>
                </w:p>
              </w:tc>
              <w:tc>
                <w:tcPr>
                  <w:tcW w:w="1195" w:type="dxa"/>
                  <w:vMerge w:val="restart"/>
                  <w:tcBorders>
                    <w:tl2br w:val="nil"/>
                    <w:tr2bl w:val="nil"/>
                  </w:tcBorders>
                  <w:noWrap w:val="0"/>
                  <w:vAlign w:val="center"/>
                </w:tcPr>
                <w:p w14:paraId="27728D3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其他</w:t>
                  </w:r>
                </w:p>
              </w:tc>
              <w:tc>
                <w:tcPr>
                  <w:tcW w:w="6133" w:type="dxa"/>
                  <w:tcBorders>
                    <w:tl2br w:val="nil"/>
                    <w:tr2bl w:val="nil"/>
                  </w:tcBorders>
                  <w:noWrap w:val="0"/>
                  <w:vAlign w:val="center"/>
                </w:tcPr>
                <w:p w14:paraId="08040EB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排</w:t>
                  </w:r>
                  <w:r>
                    <w:rPr>
                      <w:rFonts w:hint="eastAsia" w:cs="Times New Roman"/>
                      <w:color w:val="000000" w:themeColor="text1"/>
                      <w:spacing w:val="0"/>
                      <w:sz w:val="21"/>
                      <w:szCs w:val="21"/>
                      <w:highlight w:val="none"/>
                      <w:lang w:val="en-US" w:eastAsia="zh-CN"/>
                      <w14:textFill>
                        <w14:solidFill>
                          <w14:schemeClr w14:val="tx1"/>
                        </w14:solidFill>
                      </w14:textFill>
                    </w:rPr>
                    <w:t>气筒</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高度应不低于15米。</w:t>
                  </w:r>
                </w:p>
              </w:tc>
              <w:tc>
                <w:tcPr>
                  <w:tcW w:w="3926" w:type="dxa"/>
                  <w:tcBorders>
                    <w:tl2br w:val="nil"/>
                    <w:tr2bl w:val="nil"/>
                  </w:tcBorders>
                  <w:noWrap w:val="0"/>
                  <w:vAlign w:val="center"/>
                </w:tcPr>
                <w:p w14:paraId="546E683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排</w:t>
                  </w:r>
                  <w:r>
                    <w:rPr>
                      <w:rFonts w:hint="eastAsia" w:cs="Times New Roman"/>
                      <w:color w:val="000000" w:themeColor="text1"/>
                      <w:spacing w:val="0"/>
                      <w:sz w:val="21"/>
                      <w:szCs w:val="21"/>
                      <w:highlight w:val="none"/>
                      <w:lang w:val="en-US" w:eastAsia="zh-CN"/>
                      <w14:textFill>
                        <w14:solidFill>
                          <w14:schemeClr w14:val="tx1"/>
                        </w14:solidFill>
                      </w14:textFill>
                    </w:rPr>
                    <w:t>气筒</w:t>
                  </w: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高度15米。</w:t>
                  </w:r>
                </w:p>
              </w:tc>
              <w:tc>
                <w:tcPr>
                  <w:tcW w:w="676" w:type="dxa"/>
                  <w:tcBorders>
                    <w:tl2br w:val="nil"/>
                    <w:tr2bl w:val="nil"/>
                  </w:tcBorders>
                  <w:noWrap w:val="0"/>
                  <w:vAlign w:val="center"/>
                </w:tcPr>
                <w:p w14:paraId="7087BD9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67AE2D1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776A57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1195" w:type="dxa"/>
                  <w:vMerge w:val="continue"/>
                  <w:tcBorders>
                    <w:tl2br w:val="nil"/>
                    <w:tr2bl w:val="nil"/>
                  </w:tcBorders>
                  <w:noWrap w:val="0"/>
                  <w:vAlign w:val="center"/>
                </w:tcPr>
                <w:p w14:paraId="4E00F39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6133" w:type="dxa"/>
                  <w:tcBorders>
                    <w:tl2br w:val="nil"/>
                    <w:tr2bl w:val="nil"/>
                  </w:tcBorders>
                  <w:noWrap w:val="0"/>
                  <w:vAlign w:val="center"/>
                </w:tcPr>
                <w:p w14:paraId="7158E40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排污口规范化建设，设置明显标识，注明排污口编号、污染物排放种类、排放浓度等相关信息。</w:t>
                  </w:r>
                </w:p>
              </w:tc>
              <w:tc>
                <w:tcPr>
                  <w:tcW w:w="3926" w:type="dxa"/>
                  <w:tcBorders>
                    <w:tl2br w:val="nil"/>
                    <w:tr2bl w:val="nil"/>
                  </w:tcBorders>
                  <w:noWrap w:val="0"/>
                  <w:vAlign w:val="center"/>
                </w:tcPr>
                <w:p w14:paraId="2904A2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排污口规范化建设，设置明显标识，注明排污口编号、污染物排放种类、排放浓度等相关信息。</w:t>
                  </w:r>
                </w:p>
              </w:tc>
              <w:tc>
                <w:tcPr>
                  <w:tcW w:w="676" w:type="dxa"/>
                  <w:tcBorders>
                    <w:tl2br w:val="nil"/>
                    <w:tr2bl w:val="nil"/>
                  </w:tcBorders>
                  <w:noWrap w:val="0"/>
                  <w:vAlign w:val="center"/>
                </w:tcPr>
                <w:p w14:paraId="42078E1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zh-TW"/>
                      <w14:textFill>
                        <w14:solidFill>
                          <w14:schemeClr w14:val="tx1"/>
                        </w14:solidFill>
                      </w14:textFill>
                    </w:rPr>
                    <w:t>符合</w:t>
                  </w:r>
                </w:p>
              </w:tc>
            </w:tr>
            <w:tr w14:paraId="1F821C2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568" w:type="dxa"/>
                  <w:vMerge w:val="continue"/>
                  <w:tcBorders>
                    <w:tl2br w:val="nil"/>
                    <w:tr2bl w:val="nil"/>
                  </w:tcBorders>
                  <w:noWrap w:val="0"/>
                  <w:vAlign w:val="center"/>
                </w:tcPr>
                <w:p w14:paraId="5FA264C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1195" w:type="dxa"/>
                  <w:vMerge w:val="continue"/>
                  <w:tcBorders>
                    <w:tl2br w:val="nil"/>
                    <w:tr2bl w:val="nil"/>
                  </w:tcBorders>
                  <w:noWrap w:val="0"/>
                  <w:vAlign w:val="center"/>
                </w:tcPr>
                <w:p w14:paraId="1987B98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p>
              </w:tc>
              <w:tc>
                <w:tcPr>
                  <w:tcW w:w="6133" w:type="dxa"/>
                  <w:tcBorders>
                    <w:tl2br w:val="nil"/>
                    <w:tr2bl w:val="nil"/>
                  </w:tcBorders>
                  <w:noWrap w:val="0"/>
                  <w:vAlign w:val="center"/>
                </w:tcPr>
                <w:p w14:paraId="02D87C6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left"/>
                    <w:textAlignment w:val="auto"/>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各企业在厂区门口或明显位置设置电子显示屏，实时发布主要污染物排放信息</w:t>
                  </w:r>
                </w:p>
              </w:tc>
              <w:tc>
                <w:tcPr>
                  <w:tcW w:w="3926" w:type="dxa"/>
                  <w:tcBorders>
                    <w:tl2br w:val="nil"/>
                    <w:tr2bl w:val="nil"/>
                  </w:tcBorders>
                  <w:noWrap w:val="0"/>
                  <w:vAlign w:val="center"/>
                </w:tcPr>
                <w:p w14:paraId="07D4706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项目在厂区门口设置电子显示屏，实时发布主要污染物排放信息。</w:t>
                  </w:r>
                </w:p>
              </w:tc>
              <w:tc>
                <w:tcPr>
                  <w:tcW w:w="676" w:type="dxa"/>
                  <w:tcBorders>
                    <w:tl2br w:val="nil"/>
                    <w:tr2bl w:val="nil"/>
                  </w:tcBorders>
                  <w:noWrap w:val="0"/>
                  <w:vAlign w:val="center"/>
                </w:tcPr>
                <w:p w14:paraId="3AB6E76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符合</w:t>
                  </w:r>
                </w:p>
              </w:tc>
            </w:tr>
          </w:tbl>
          <w:p w14:paraId="41E8CA9B">
            <w:pPr>
              <w:pStyle w:val="30"/>
              <w:shd w:val="clear"/>
              <w:rPr>
                <w:rFonts w:hint="default"/>
                <w:color w:val="000000" w:themeColor="text1"/>
                <w:highlight w:val="none"/>
                <w14:textFill>
                  <w14:solidFill>
                    <w14:schemeClr w14:val="tx1"/>
                  </w14:solidFill>
                </w14:textFill>
              </w:rPr>
            </w:pPr>
          </w:p>
        </w:tc>
      </w:tr>
    </w:tbl>
    <w:p w14:paraId="45CD67B1">
      <w:pPr>
        <w:shd w:val="clea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br w:type="page"/>
      </w:r>
    </w:p>
    <w:p w14:paraId="3711495C">
      <w:pPr>
        <w:pStyle w:val="29"/>
        <w:keepNext w:val="0"/>
        <w:keepLines w:val="0"/>
        <w:pageBreakBefore w:val="0"/>
        <w:widowControl/>
        <w:shd w:val="clear"/>
        <w:kinsoku/>
        <w:wordWrap/>
        <w:overflowPunct/>
        <w:topLinePunct w:val="0"/>
        <w:autoSpaceDE/>
        <w:autoSpaceDN/>
        <w:bidi w:val="0"/>
        <w:adjustRightInd/>
        <w:snapToGrid/>
        <w:ind w:firstLine="0" w:firstLineChars="0"/>
        <w:jc w:val="center"/>
        <w:textAlignment w:val="auto"/>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D05CC8">
      <w:pPr>
        <w:pStyle w:val="29"/>
        <w:keepNext w:val="0"/>
        <w:keepLines w:val="0"/>
        <w:pageBreakBefore w:val="0"/>
        <w:widowControl/>
        <w:numPr>
          <w:ilvl w:val="0"/>
          <w:numId w:val="5"/>
        </w:numPr>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建设项目工程分析</w:t>
      </w: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868"/>
        <w:gridCol w:w="8311"/>
      </w:tblGrid>
      <w:tr w14:paraId="1DD4BA56">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13305" w:hRule="atLeast"/>
          <w:jc w:val="center"/>
        </w:trPr>
        <w:tc>
          <w:tcPr>
            <w:tcW w:w="868" w:type="dxa"/>
            <w:tcBorders>
              <w:tl2br w:val="nil"/>
              <w:tr2bl w:val="nil"/>
            </w:tcBorders>
            <w:vAlign w:val="center"/>
          </w:tcPr>
          <w:p w14:paraId="3ECB2254">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line="0" w:lineRule="atLeast"/>
              <w:ind w:firstLine="0" w:firstLineChars="0"/>
              <w:jc w:val="center"/>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建设内容</w:t>
            </w:r>
          </w:p>
        </w:tc>
        <w:tc>
          <w:tcPr>
            <w:tcW w:w="8311" w:type="dxa"/>
            <w:tcBorders>
              <w:tl2br w:val="nil"/>
              <w:tr2bl w:val="nil"/>
            </w:tcBorders>
          </w:tcPr>
          <w:p w14:paraId="086A7873">
            <w:pPr>
              <w:keepNext w:val="0"/>
              <w:keepLines w:val="0"/>
              <w:pageBreakBefore w:val="0"/>
              <w:widowControl w:val="0"/>
              <w:numPr>
                <w:ilvl w:val="0"/>
                <w:numId w:val="6"/>
              </w:numPr>
              <w:suppressLineNumbers w:val="0"/>
              <w:shd w:val="clear"/>
              <w:kinsoku/>
              <w:wordWrap/>
              <w:overflowPunct/>
              <w:topLinePunct w:val="0"/>
              <w:autoSpaceDE w:val="0"/>
              <w:autoSpaceDN w:val="0"/>
              <w:bidi w:val="0"/>
              <w:adjustRightInd w:val="0"/>
              <w:snapToGrid/>
              <w:spacing w:beforeAutospacing="0" w:after="0" w:afterAutospacing="0" w:line="480" w:lineRule="exact"/>
              <w:ind w:right="0" w:rightChars="0"/>
              <w:textAlignment w:val="auto"/>
              <w:rPr>
                <w:rFonts w:hint="default"/>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项目由来</w:t>
            </w:r>
          </w:p>
          <w:p w14:paraId="361497E9">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cs="Times New Roman"/>
                <w:color w:val="000000" w:themeColor="text1"/>
                <w:highlight w:val="none"/>
                <w:lang w:val="en-US" w:eastAsia="zh-CN"/>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项目原料来源矿山经多年持续开采，现已开采至矿床底板区域</w:t>
            </w: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受开采条件及矿体赋存状态影响，当前采出原矿品质显著下降，不合格矿石占比偏高，矿石中普遍夹杂大量土渣，原矿品位及原料纯度均无法满足正常生产加工要求。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t>为实现资源节约、合理、最大化利用，提高矿石综合利用率，本次项目拟对不合格</w:t>
            </w:r>
            <w:r>
              <w:rPr>
                <w:rFonts w:hint="eastAsia" w:cs="Times New Roman"/>
                <w:color w:val="000000" w:themeColor="text1"/>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增设预处理工序。因此</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滦州市耀隆宝峰矿业有限公司</w:t>
            </w:r>
            <w:r>
              <w:rPr>
                <w:rFonts w:hint="default" w:ascii="Times New Roman" w:hAnsi="Times New Roman" w:cs="Times New Roman"/>
                <w:color w:val="000000" w:themeColor="text1"/>
                <w:highlight w:val="none"/>
                <w:lang w:val="en-US" w:eastAsia="zh-CN"/>
                <w14:textFill>
                  <w14:solidFill>
                    <w14:schemeClr w14:val="tx1"/>
                  </w14:solidFill>
                </w14:textFill>
              </w:rPr>
              <w:t>在</w:t>
            </w:r>
            <w:r>
              <w:rPr>
                <w:rFonts w:hint="eastAsia"/>
                <w:color w:val="000000" w:themeColor="text1"/>
                <w:highlight w:val="none"/>
                <w:lang w:val="en-US" w:eastAsia="zh-CN"/>
                <w14:textFill>
                  <w14:solidFill>
                    <w14:schemeClr w14:val="tx1"/>
                  </w14:solidFill>
                </w14:textFill>
              </w:rPr>
              <w:t>河北省唐山市滦州市雷庄镇耀隆宝峰矿业有限公司院内</w:t>
            </w:r>
            <w:r>
              <w:rPr>
                <w:rFonts w:hint="default" w:ascii="Times New Roman" w:hAnsi="Times New Roman" w:cs="Times New Roman"/>
                <w:color w:val="000000" w:themeColor="text1"/>
                <w:highlight w:val="none"/>
                <w:lang w:val="en-US" w:eastAsia="zh-CN"/>
                <w14:textFill>
                  <w14:solidFill>
                    <w14:schemeClr w14:val="tx1"/>
                  </w14:solidFill>
                </w14:textFill>
              </w:rPr>
              <w:t>投资</w:t>
            </w:r>
            <w:r>
              <w:rPr>
                <w:rFonts w:hint="eastAsia" w:cs="Times New Roman"/>
                <w:color w:val="000000" w:themeColor="text1"/>
                <w:highlight w:val="none"/>
                <w:lang w:val="en-US" w:eastAsia="zh-CN"/>
                <w14:textFill>
                  <w14:solidFill>
                    <w14:schemeClr w14:val="tx1"/>
                  </w14:solidFill>
                </w14:textFill>
              </w:rPr>
              <w:t>300</w:t>
            </w:r>
            <w:r>
              <w:rPr>
                <w:rFonts w:hint="default" w:ascii="Times New Roman" w:hAnsi="Times New Roman" w:cs="Times New Roman"/>
                <w:color w:val="000000" w:themeColor="text1"/>
                <w:highlight w:val="none"/>
                <w:lang w:val="en-US" w:eastAsia="zh-CN"/>
                <w14:textFill>
                  <w14:solidFill>
                    <w14:schemeClr w14:val="tx1"/>
                  </w14:solidFill>
                </w14:textFill>
              </w:rPr>
              <w:t>万元建设</w:t>
            </w:r>
            <w:r>
              <w:rPr>
                <w:rFonts w:hint="eastAsia" w:cs="Times New Roman"/>
                <w:color w:val="000000" w:themeColor="text1"/>
                <w:sz w:val="24"/>
                <w:szCs w:val="24"/>
                <w:highlight w:val="none"/>
                <w:lang w:val="en-US" w:eastAsia="zh-CN"/>
                <w14:textFill>
                  <w14:solidFill>
                    <w14:schemeClr w14:val="tx1"/>
                  </w14:solidFill>
                </w14:textFill>
              </w:rPr>
              <w:t>滦州市耀隆宝峰矿业有限公司新增破碎筛分设备技术改造项目</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项目建成后，产品产能保持不变，仍为年产10万吨硅砂。</w:t>
            </w:r>
          </w:p>
          <w:p w14:paraId="6879F2D2">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根据《中华人民共和国环境保护法》、《中华人民共和国环境影响评价法》、《建设项目环境保护管理条例》（国务</w:t>
            </w:r>
            <w:r>
              <w:rPr>
                <w:rFonts w:hint="eastAsia" w:ascii="Times New Roman" w:hAnsi="Times New Roman" w:eastAsia="宋体" w:cs="Times New Roman"/>
                <w:color w:val="000000" w:themeColor="text1"/>
                <w:highlight w:val="none"/>
                <w:lang w:val="en-US" w:eastAsia="zh-CN"/>
                <w14:textFill>
                  <w14:solidFill>
                    <w14:schemeClr w14:val="tx1"/>
                  </w14:solidFill>
                </w14:textFill>
              </w:rPr>
              <w:t>院第</w:t>
            </w:r>
            <w:r>
              <w:rPr>
                <w:rFonts w:hint="default" w:ascii="Times New Roman" w:hAnsi="Times New Roman" w:eastAsia="宋体" w:cs="Times New Roman"/>
                <w:color w:val="000000" w:themeColor="text1"/>
                <w:highlight w:val="none"/>
                <w:lang w:val="en-US" w:eastAsia="zh-CN"/>
                <w14:textFill>
                  <w14:solidFill>
                    <w14:schemeClr w14:val="tx1"/>
                  </w14:solidFill>
                </w14:textFill>
              </w:rPr>
              <w:t>682号令）的要求，以及《建设项目环境影响评价分类管理名录》（2021年版）（部令第16号）等环保法律法规的相关规定，本项目属于“二十七、非金属矿物制品业30-6</w:t>
            </w:r>
            <w:r>
              <w:rPr>
                <w:rFonts w:hint="eastAsia" w:ascii="Times New Roman" w:hAnsi="Times New Roman" w:eastAsia="宋体" w:cs="Times New Roman"/>
                <w:color w:val="000000" w:themeColor="text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highlight w:val="none"/>
                <w:lang w:val="en-US" w:eastAsia="zh-CN"/>
                <w14:textFill>
                  <w14:solidFill>
                    <w14:schemeClr w14:val="tx1"/>
                  </w14:solidFill>
                </w14:textFill>
              </w:rPr>
              <w:t>石墨及其他非金属矿物制品制造309-其他”之列，应编制环境影响报告表。</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滦州市耀隆宝峰矿业有限公司</w:t>
            </w:r>
            <w:r>
              <w:rPr>
                <w:rFonts w:hint="default" w:ascii="Times New Roman" w:hAnsi="Times New Roman" w:eastAsia="宋体" w:cs="Times New Roman"/>
                <w:color w:val="000000" w:themeColor="text1"/>
                <w:highlight w:val="none"/>
                <w:lang w:val="en-US" w:eastAsia="zh-CN"/>
                <w14:textFill>
                  <w14:solidFill>
                    <w14:schemeClr w14:val="tx1"/>
                  </w14:solidFill>
                </w14:textFill>
              </w:rPr>
              <w:t>委托我公司承担该项目的环境影响报告表的编制工作，接受委托后，我单位立即开展了现场踏勘、资料收集等工作，按照《建设项目环境影响报告表编制技术指南（污染影响类）（试行）》的要求编制了本项目环境影响报告表，供上级部门决策。</w:t>
            </w:r>
          </w:p>
          <w:p w14:paraId="42809352">
            <w:pPr>
              <w:keepNext w:val="0"/>
              <w:keepLines w:val="0"/>
              <w:pageBreakBefore w:val="0"/>
              <w:widowControl w:val="0"/>
              <w:numPr>
                <w:ilvl w:val="0"/>
                <w:numId w:val="6"/>
              </w:numPr>
              <w:suppressLineNumbers w:val="0"/>
              <w:shd w:val="clear"/>
              <w:kinsoku/>
              <w:wordWrap/>
              <w:overflowPunct/>
              <w:topLinePunct w:val="0"/>
              <w:autoSpaceDE w:val="0"/>
              <w:autoSpaceDN w:val="0"/>
              <w:bidi w:val="0"/>
              <w:adjustRightInd w:val="0"/>
              <w:snapToGrid/>
              <w:spacing w:beforeAutospacing="0" w:after="0" w:afterAutospacing="0" w:line="480" w:lineRule="exact"/>
              <w:ind w:right="0" w:rightChars="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现有工程概况</w:t>
            </w:r>
          </w:p>
          <w:p w14:paraId="452AF6FC">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滦州市耀隆宝峰矿业有限公司现有工程主要建设有年产10万吨精制硅砂加工生产线一条，现有工程主要建成内容情况如下表所示。</w:t>
            </w:r>
          </w:p>
          <w:p w14:paraId="462C2475">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1、建设单位：滦州市耀隆宝峰矿业有限公司</w:t>
            </w:r>
          </w:p>
          <w:p w14:paraId="432E5545">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2、建设地点：</w:t>
            </w:r>
            <w:r>
              <w:rPr>
                <w:rFonts w:hint="eastAsia"/>
                <w:color w:val="000000" w:themeColor="text1"/>
                <w:highlight w:val="none"/>
                <w:lang w:val="en-US" w:eastAsia="zh-CN"/>
                <w14:textFill>
                  <w14:solidFill>
                    <w14:schemeClr w14:val="tx1"/>
                  </w14:solidFill>
                </w14:textFill>
              </w:rPr>
              <w:t>河北省唐山市滦州市雷庄镇耀隆宝峰矿业有限公司院内</w:t>
            </w:r>
          </w:p>
          <w:p w14:paraId="5D83AAA7">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3、工作制度及劳动定员：劳动定员30人，年工作300天，每天3班，每班8h</w:t>
            </w:r>
            <w:r>
              <w:rPr>
                <w:rFonts w:hint="eastAsia" w:cs="Times New Roman"/>
                <w:color w:val="000000" w:themeColor="text1"/>
                <w:highlight w:val="none"/>
                <w:lang w:val="en-US" w:eastAsia="zh-CN"/>
                <w14:textFill>
                  <w14:solidFill>
                    <w14:schemeClr w14:val="tx1"/>
                  </w14:solidFill>
                </w14:textFill>
              </w:rPr>
              <w:t>。</w:t>
            </w:r>
          </w:p>
          <w:p w14:paraId="42CE1FCC">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4、产品规模：年产10万吨精制硅砂。</w:t>
            </w:r>
          </w:p>
          <w:p w14:paraId="50994CFA">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5E3C41B7">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产品方案</w:t>
            </w:r>
          </w:p>
          <w:tbl>
            <w:tblPr>
              <w:tblStyle w:val="33"/>
              <w:tblW w:w="7766"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195"/>
              <w:gridCol w:w="916"/>
              <w:gridCol w:w="2858"/>
              <w:gridCol w:w="1935"/>
              <w:gridCol w:w="862"/>
            </w:tblGrid>
            <w:tr w14:paraId="027F258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77" w:hRule="atLeast"/>
                <w:jc w:val="center"/>
              </w:trPr>
              <w:tc>
                <w:tcPr>
                  <w:tcW w:w="1195" w:type="dxa"/>
                  <w:tcBorders>
                    <w:tl2br w:val="nil"/>
                    <w:tr2bl w:val="nil"/>
                  </w:tcBorders>
                  <w:vAlign w:val="center"/>
                </w:tcPr>
                <w:p w14:paraId="3F07CA6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产品名称</w:t>
                  </w:r>
                </w:p>
              </w:tc>
              <w:tc>
                <w:tcPr>
                  <w:tcW w:w="916" w:type="dxa"/>
                  <w:tcBorders>
                    <w:tl2br w:val="nil"/>
                    <w:tr2bl w:val="nil"/>
                  </w:tcBorders>
                  <w:vAlign w:val="center"/>
                </w:tcPr>
                <w:p w14:paraId="7C96B8B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产能</w:t>
                  </w:r>
                </w:p>
              </w:tc>
              <w:tc>
                <w:tcPr>
                  <w:tcW w:w="2858" w:type="dxa"/>
                  <w:tcBorders>
                    <w:tl2br w:val="nil"/>
                    <w:tr2bl w:val="nil"/>
                  </w:tcBorders>
                  <w:vAlign w:val="center"/>
                </w:tcPr>
                <w:p w14:paraId="6FD1DB9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产品规格</w:t>
                  </w:r>
                </w:p>
              </w:tc>
              <w:tc>
                <w:tcPr>
                  <w:tcW w:w="1935" w:type="dxa"/>
                  <w:tcBorders>
                    <w:tl2br w:val="nil"/>
                    <w:tr2bl w:val="nil"/>
                  </w:tcBorders>
                  <w:vAlign w:val="center"/>
                </w:tcPr>
                <w:p w14:paraId="57C7346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执行标准</w:t>
                  </w:r>
                </w:p>
              </w:tc>
              <w:tc>
                <w:tcPr>
                  <w:tcW w:w="862" w:type="dxa"/>
                  <w:tcBorders>
                    <w:tl2br w:val="nil"/>
                    <w:tr2bl w:val="nil"/>
                  </w:tcBorders>
                  <w:vAlign w:val="center"/>
                </w:tcPr>
                <w:p w14:paraId="2F92711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用途</w:t>
                  </w:r>
                </w:p>
              </w:tc>
            </w:tr>
            <w:tr w14:paraId="625EEAD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23" w:hRule="atLeast"/>
                <w:jc w:val="center"/>
              </w:trPr>
              <w:tc>
                <w:tcPr>
                  <w:tcW w:w="1195" w:type="dxa"/>
                  <w:tcBorders>
                    <w:tl2br w:val="nil"/>
                    <w:tr2bl w:val="nil"/>
                  </w:tcBorders>
                  <w:vAlign w:val="center"/>
                </w:tcPr>
                <w:p w14:paraId="06EE49C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精制硅砂</w:t>
                  </w:r>
                </w:p>
              </w:tc>
              <w:tc>
                <w:tcPr>
                  <w:tcW w:w="916" w:type="dxa"/>
                  <w:tcBorders>
                    <w:tl2br w:val="nil"/>
                    <w:tr2bl w:val="nil"/>
                  </w:tcBorders>
                  <w:vAlign w:val="center"/>
                </w:tcPr>
                <w:p w14:paraId="64D9265A">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10万t/a</w:t>
                  </w:r>
                </w:p>
              </w:tc>
              <w:tc>
                <w:tcPr>
                  <w:tcW w:w="2858" w:type="dxa"/>
                  <w:tcBorders>
                    <w:tl2br w:val="nil"/>
                    <w:tr2bl w:val="nil"/>
                  </w:tcBorders>
                  <w:vAlign w:val="center"/>
                </w:tcPr>
                <w:p w14:paraId="3DC129B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粒径0.1</w:t>
                  </w:r>
                  <w:r>
                    <w:rPr>
                      <w:rFonts w:hint="eastAsia" w:eastAsia="宋体" w:cs="Times New Roman"/>
                      <w:color w:val="000000" w:themeColor="text1"/>
                      <w:kern w:val="0"/>
                      <w:sz w:val="21"/>
                      <w:szCs w:val="21"/>
                      <w:highlight w:val="none"/>
                      <w:lang w:val="en-US" w:eastAsia="zh-CN"/>
                      <w14:textFill>
                        <w14:solidFill>
                          <w14:schemeClr w14:val="tx1"/>
                        </w14:solidFill>
                      </w14:textFill>
                    </w:rPr>
                    <w:t>mm</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-0.7</w:t>
                  </w:r>
                  <w:r>
                    <w:rPr>
                      <w:rFonts w:hint="eastAsia" w:eastAsia="宋体" w:cs="Times New Roman"/>
                      <w:color w:val="000000" w:themeColor="text1"/>
                      <w:kern w:val="0"/>
                      <w:sz w:val="21"/>
                      <w:szCs w:val="21"/>
                      <w:highlight w:val="none"/>
                      <w:lang w:val="en-US" w:eastAsia="zh-CN"/>
                      <w14:textFill>
                        <w14:solidFill>
                          <w14:schemeClr w14:val="tx1"/>
                        </w14:solidFill>
                      </w14:textFill>
                    </w:rPr>
                    <w:t>mm；</w:t>
                  </w:r>
                  <w:r>
                    <w:rPr>
                      <w:rFonts w:hint="eastAsia" w:eastAsia="宋体" w:cs="Times New Roman"/>
                      <w:b w:val="0"/>
                      <w:color w:val="000000" w:themeColor="text1"/>
                      <w:sz w:val="21"/>
                      <w:szCs w:val="21"/>
                      <w:highlight w:val="none"/>
                      <w:lang w:val="en-US" w:eastAsia="zh-CN"/>
                      <w14:textFill>
                        <w14:solidFill>
                          <w14:schemeClr w14:val="tx1"/>
                        </w14:solidFill>
                      </w14:textFill>
                    </w:rPr>
                    <w:t>SiO</w:t>
                  </w:r>
                  <w:r>
                    <w:rPr>
                      <w:rFonts w:hint="eastAsia" w:eastAsia="宋体" w:cs="Times New Roman"/>
                      <w:b w:val="0"/>
                      <w:color w:val="000000" w:themeColor="text1"/>
                      <w:sz w:val="21"/>
                      <w:szCs w:val="21"/>
                      <w:highlight w:val="none"/>
                      <w:vertAlign w:val="subscript"/>
                      <w:lang w:val="en-US" w:eastAsia="zh-CN"/>
                      <w14:textFill>
                        <w14:solidFill>
                          <w14:schemeClr w14:val="tx1"/>
                        </w14:solidFill>
                      </w14:textFill>
                    </w:rPr>
                    <w:t>2</w:t>
                  </w:r>
                  <w:r>
                    <w:rPr>
                      <w:rFonts w:hint="eastAsia" w:eastAsia="宋体" w:cs="Times New Roman"/>
                      <w:b w:val="0"/>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98.</w:t>
                  </w:r>
                  <w:r>
                    <w:rPr>
                      <w:rFonts w:hint="eastAsia" w:eastAsia="宋体" w:cs="Times New Roman"/>
                      <w:b w:val="0"/>
                      <w:color w:val="000000" w:themeColor="text1"/>
                      <w:sz w:val="21"/>
                      <w:szCs w:val="21"/>
                      <w:highlight w:val="none"/>
                      <w:lang w:val="en-US" w:eastAsia="zh-CN"/>
                      <w14:textFill>
                        <w14:solidFill>
                          <w14:schemeClr w14:val="tx1"/>
                        </w14:solidFill>
                      </w14:textFill>
                    </w:rPr>
                    <w:t>5</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r>
                    <w:rPr>
                      <w:rFonts w:hint="eastAsia" w:eastAsia="宋体" w:cs="Times New Roman"/>
                      <w:b w:val="0"/>
                      <w:color w:val="000000" w:themeColor="text1"/>
                      <w:sz w:val="21"/>
                      <w:szCs w:val="21"/>
                      <w:highlight w:val="none"/>
                      <w:lang w:val="en-US" w:eastAsia="zh-CN"/>
                      <w14:textFill>
                        <w14:solidFill>
                          <w14:schemeClr w14:val="tx1"/>
                        </w14:solidFill>
                      </w14:textFill>
                    </w:rPr>
                    <w:t>Al</w:t>
                  </w:r>
                  <w:r>
                    <w:rPr>
                      <w:rFonts w:hint="eastAsia" w:eastAsia="宋体" w:cs="Times New Roman"/>
                      <w:b w:val="0"/>
                      <w:color w:val="000000" w:themeColor="text1"/>
                      <w:sz w:val="21"/>
                      <w:szCs w:val="21"/>
                      <w:highlight w:val="none"/>
                      <w:vertAlign w:val="subscript"/>
                      <w:lang w:val="en-US" w:eastAsia="zh-CN"/>
                      <w14:textFill>
                        <w14:solidFill>
                          <w14:schemeClr w14:val="tx1"/>
                        </w14:solidFill>
                      </w14:textFill>
                    </w:rPr>
                    <w:t>2</w:t>
                  </w:r>
                  <w:r>
                    <w:rPr>
                      <w:rFonts w:hint="eastAsia" w:eastAsia="宋体" w:cs="Times New Roman"/>
                      <w:b w:val="0"/>
                      <w:color w:val="000000" w:themeColor="text1"/>
                      <w:sz w:val="21"/>
                      <w:szCs w:val="21"/>
                      <w:highlight w:val="none"/>
                      <w:lang w:val="en-US" w:eastAsia="zh-CN"/>
                      <w14:textFill>
                        <w14:solidFill>
                          <w14:schemeClr w14:val="tx1"/>
                        </w14:solidFill>
                      </w14:textFill>
                    </w:rPr>
                    <w:t>O</w:t>
                  </w:r>
                  <w:r>
                    <w:rPr>
                      <w:rFonts w:hint="eastAsia" w:eastAsia="宋体" w:cs="Times New Roman"/>
                      <w:b w:val="0"/>
                      <w:color w:val="000000" w:themeColor="text1"/>
                      <w:sz w:val="21"/>
                      <w:szCs w:val="21"/>
                      <w:highlight w:val="none"/>
                      <w:vertAlign w:val="subscript"/>
                      <w:lang w:val="en-US" w:eastAsia="zh-CN"/>
                      <w14:textFill>
                        <w14:solidFill>
                          <w14:schemeClr w14:val="tx1"/>
                        </w14:solidFill>
                      </w14:textFill>
                    </w:rPr>
                    <w:t>3</w:t>
                  </w:r>
                  <w:r>
                    <w:rPr>
                      <w:rFonts w:hint="eastAsia" w:eastAsia="宋体" w:cs="Times New Roman"/>
                      <w:b w:val="0"/>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0.</w:t>
                  </w:r>
                  <w:r>
                    <w:rPr>
                      <w:rFonts w:hint="eastAsia" w:eastAsia="宋体" w:cs="Times New Roman"/>
                      <w:b w:val="0"/>
                      <w:color w:val="000000" w:themeColor="text1"/>
                      <w:sz w:val="21"/>
                      <w:szCs w:val="21"/>
                      <w:highlight w:val="none"/>
                      <w:lang w:val="en-US" w:eastAsia="zh-CN"/>
                      <w14:textFill>
                        <w14:solidFill>
                          <w14:schemeClr w14:val="tx1"/>
                        </w14:solidFill>
                      </w14:textFill>
                    </w:rPr>
                    <w:t>70</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r>
                    <w:rPr>
                      <w:rFonts w:hint="eastAsia" w:eastAsia="宋体" w:cs="Times New Roman"/>
                      <w:b w:val="0"/>
                      <w:color w:val="000000" w:themeColor="text1"/>
                      <w:sz w:val="21"/>
                      <w:szCs w:val="21"/>
                      <w:highlight w:val="none"/>
                      <w:lang w:val="en-US" w:eastAsia="zh-CN"/>
                      <w14:textFill>
                        <w14:solidFill>
                          <w14:schemeClr w14:val="tx1"/>
                        </w14:solidFill>
                      </w14:textFill>
                    </w:rPr>
                    <w:t>，Fe</w:t>
                  </w:r>
                  <w:r>
                    <w:rPr>
                      <w:rFonts w:hint="eastAsia" w:eastAsia="宋体" w:cs="Times New Roman"/>
                      <w:b w:val="0"/>
                      <w:color w:val="000000" w:themeColor="text1"/>
                      <w:sz w:val="21"/>
                      <w:szCs w:val="21"/>
                      <w:highlight w:val="none"/>
                      <w:vertAlign w:val="subscript"/>
                      <w:lang w:val="en-US" w:eastAsia="zh-CN"/>
                      <w14:textFill>
                        <w14:solidFill>
                          <w14:schemeClr w14:val="tx1"/>
                        </w14:solidFill>
                      </w14:textFill>
                    </w:rPr>
                    <w:t>2</w:t>
                  </w:r>
                  <w:r>
                    <w:rPr>
                      <w:rFonts w:hint="eastAsia" w:eastAsia="宋体" w:cs="Times New Roman"/>
                      <w:b w:val="0"/>
                      <w:color w:val="000000" w:themeColor="text1"/>
                      <w:sz w:val="21"/>
                      <w:szCs w:val="21"/>
                      <w:highlight w:val="none"/>
                      <w:lang w:val="en-US" w:eastAsia="zh-CN"/>
                      <w14:textFill>
                        <w14:solidFill>
                          <w14:schemeClr w14:val="tx1"/>
                        </w14:solidFill>
                      </w14:textFill>
                    </w:rPr>
                    <w:t>O</w:t>
                  </w:r>
                  <w:r>
                    <w:rPr>
                      <w:rFonts w:hint="eastAsia" w:eastAsia="宋体" w:cs="Times New Roman"/>
                      <w:b w:val="0"/>
                      <w:color w:val="000000" w:themeColor="text1"/>
                      <w:sz w:val="21"/>
                      <w:szCs w:val="21"/>
                      <w:highlight w:val="none"/>
                      <w:vertAlign w:val="subscript"/>
                      <w:lang w:val="en-US" w:eastAsia="zh-CN"/>
                      <w14:textFill>
                        <w14:solidFill>
                          <w14:schemeClr w14:val="tx1"/>
                        </w14:solidFill>
                      </w14:textFill>
                    </w:rPr>
                    <w:t>3</w:t>
                  </w:r>
                  <w:r>
                    <w:rPr>
                      <w:rFonts w:hint="eastAsia" w:eastAsia="宋体" w:cs="Times New Roman"/>
                      <w:b w:val="0"/>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0.</w:t>
                  </w:r>
                  <w:r>
                    <w:rPr>
                      <w:rFonts w:hint="eastAsia" w:eastAsia="宋体" w:cs="Times New Roman"/>
                      <w:b w:val="0"/>
                      <w:color w:val="000000" w:themeColor="text1"/>
                      <w:sz w:val="21"/>
                      <w:szCs w:val="21"/>
                      <w:highlight w:val="none"/>
                      <w:lang w:val="en-US" w:eastAsia="zh-CN"/>
                      <w14:textFill>
                        <w14:solidFill>
                          <w14:schemeClr w14:val="tx1"/>
                        </w14:solidFill>
                      </w14:textFill>
                    </w:rPr>
                    <w:t>10</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r>
                    <w:rPr>
                      <w:rFonts w:hint="eastAsia" w:eastAsia="宋体" w:cs="Times New Roman"/>
                      <w:b w:val="0"/>
                      <w:color w:val="000000" w:themeColor="text1"/>
                      <w:sz w:val="21"/>
                      <w:szCs w:val="21"/>
                      <w:highlight w:val="none"/>
                      <w:lang w:val="en-US" w:eastAsia="zh-CN"/>
                      <w14:textFill>
                        <w14:solidFill>
                          <w14:schemeClr w14:val="tx1"/>
                        </w14:solidFill>
                      </w14:textFill>
                    </w:rPr>
                    <w:t>；水分含量≤5%</w:t>
                  </w:r>
                </w:p>
              </w:tc>
              <w:tc>
                <w:tcPr>
                  <w:tcW w:w="1935" w:type="dxa"/>
                  <w:tcBorders>
                    <w:tl2br w:val="nil"/>
                    <w:tr2bl w:val="nil"/>
                  </w:tcBorders>
                  <w:vAlign w:val="center"/>
                </w:tcPr>
                <w:p w14:paraId="15C0668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《平板玻璃用硅质原料》（JC/T529-2000）</w:t>
                  </w:r>
                </w:p>
              </w:tc>
              <w:tc>
                <w:tcPr>
                  <w:tcW w:w="862" w:type="dxa"/>
                  <w:tcBorders>
                    <w:tl2br w:val="nil"/>
                    <w:tr2bl w:val="nil"/>
                  </w:tcBorders>
                  <w:vAlign w:val="center"/>
                </w:tcPr>
                <w:p w14:paraId="75EB5A4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eastAsia="宋体" w:cs="Times New Roman"/>
                      <w:color w:val="000000" w:themeColor="text1"/>
                      <w:kern w:val="0"/>
                      <w:sz w:val="21"/>
                      <w:szCs w:val="21"/>
                      <w:highlight w:val="none"/>
                      <w:lang w:val="en-US" w:eastAsia="zh-CN"/>
                      <w14:textFill>
                        <w14:solidFill>
                          <w14:schemeClr w14:val="tx1"/>
                        </w14:solidFill>
                      </w14:textFill>
                    </w:rPr>
                    <w:t>玻璃原料</w:t>
                  </w:r>
                </w:p>
              </w:tc>
            </w:tr>
          </w:tbl>
          <w:p w14:paraId="1AA216F5">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现有工程</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主要建设内容一览表</w:t>
            </w:r>
          </w:p>
          <w:tbl>
            <w:tblPr>
              <w:tblStyle w:val="32"/>
              <w:tblW w:w="7853"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796"/>
              <w:gridCol w:w="1320"/>
              <w:gridCol w:w="789"/>
              <w:gridCol w:w="3234"/>
              <w:gridCol w:w="1714"/>
            </w:tblGrid>
            <w:tr w14:paraId="530142E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tcBorders>
                    <w:tl2br w:val="nil"/>
                    <w:tr2bl w:val="nil"/>
                  </w:tcBorders>
                  <w:vAlign w:val="center"/>
                </w:tcPr>
                <w:p w14:paraId="462C62FD">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项目</w:t>
                  </w:r>
                </w:p>
                <w:p w14:paraId="720326BC">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类别</w:t>
                  </w:r>
                </w:p>
              </w:tc>
              <w:tc>
                <w:tcPr>
                  <w:tcW w:w="1320" w:type="dxa"/>
                  <w:tcBorders>
                    <w:tl2br w:val="nil"/>
                    <w:tr2bl w:val="nil"/>
                  </w:tcBorders>
                  <w:vAlign w:val="center"/>
                </w:tcPr>
                <w:p w14:paraId="1A4C7A55">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名称</w:t>
                  </w:r>
                </w:p>
              </w:tc>
              <w:tc>
                <w:tcPr>
                  <w:tcW w:w="5737" w:type="dxa"/>
                  <w:gridSpan w:val="3"/>
                  <w:tcBorders>
                    <w:tl2br w:val="nil"/>
                    <w:tr2bl w:val="nil"/>
                  </w:tcBorders>
                  <w:vAlign w:val="center"/>
                </w:tcPr>
                <w:p w14:paraId="2B3EE3AA">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工程内容及规模</w:t>
                  </w:r>
                </w:p>
              </w:tc>
            </w:tr>
            <w:tr w14:paraId="23F38A0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7" w:hRule="atLeast"/>
                <w:jc w:val="center"/>
              </w:trPr>
              <w:tc>
                <w:tcPr>
                  <w:tcW w:w="796" w:type="dxa"/>
                  <w:vMerge w:val="restart"/>
                  <w:tcBorders>
                    <w:tl2br w:val="nil"/>
                    <w:tr2bl w:val="nil"/>
                  </w:tcBorders>
                  <w:vAlign w:val="center"/>
                </w:tcPr>
                <w:p w14:paraId="04060D8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主体</w:t>
                  </w:r>
                </w:p>
                <w:p w14:paraId="57E98B3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工程</w:t>
                  </w:r>
                </w:p>
              </w:tc>
              <w:tc>
                <w:tcPr>
                  <w:tcW w:w="1320" w:type="dxa"/>
                  <w:tcBorders>
                    <w:tl2br w:val="nil"/>
                    <w:tr2bl w:val="nil"/>
                  </w:tcBorders>
                  <w:vAlign w:val="center"/>
                </w:tcPr>
                <w:p w14:paraId="1853914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受料仓及颚破间</w:t>
                  </w:r>
                </w:p>
              </w:tc>
              <w:tc>
                <w:tcPr>
                  <w:tcW w:w="4023" w:type="dxa"/>
                  <w:gridSpan w:val="2"/>
                  <w:tcBorders>
                    <w:tl2br w:val="nil"/>
                    <w:tr2bl w:val="nil"/>
                  </w:tcBorders>
                  <w:vAlign w:val="center"/>
                </w:tcPr>
                <w:p w14:paraId="72789D7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left"/>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w:t>
                  </w:r>
                  <w:r>
                    <w:rPr>
                      <w:rFonts w:hint="eastAsia" w:cs="Times New Roman"/>
                      <w:color w:val="000000" w:themeColor="text1"/>
                      <w:kern w:val="0"/>
                      <w:sz w:val="21"/>
                      <w:szCs w:val="21"/>
                      <w:highlight w:val="none"/>
                      <w:lang w:val="en-US" w:eastAsia="zh-CN"/>
                      <w14:textFill>
                        <w14:solidFill>
                          <w14:schemeClr w14:val="tx1"/>
                        </w14:solidFill>
                      </w14:textFill>
                    </w:rPr>
                    <w:t>57</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r>
                    <w:rPr>
                      <w:rFonts w:hint="eastAsia" w:cs="Times New Roman"/>
                      <w:color w:val="000000" w:themeColor="text1"/>
                      <w:kern w:val="0"/>
                      <w:sz w:val="21"/>
                      <w:szCs w:val="21"/>
                      <w:highlight w:val="none"/>
                      <w:lang w:val="en-US" w:eastAsia="zh-CN"/>
                      <w14:textFill>
                        <w14:solidFill>
                          <w14:schemeClr w14:val="tx1"/>
                        </w14:solidFill>
                      </w14:textFill>
                    </w:rPr>
                    <w:t>围护结构为</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混凝土基础墙+单层彩钢</w:t>
                  </w:r>
                  <w:r>
                    <w:rPr>
                      <w:rFonts w:hint="eastAsia" w:cs="Times New Roman"/>
                      <w:color w:val="000000" w:themeColor="text1"/>
                      <w:kern w:val="0"/>
                      <w:sz w:val="21"/>
                      <w:szCs w:val="21"/>
                      <w:highlight w:val="none"/>
                      <w:lang w:val="en-US" w:eastAsia="zh-CN"/>
                      <w14:textFill>
                        <w14:solidFill>
                          <w14:schemeClr w14:val="tx1"/>
                        </w14:solidFill>
                      </w14:textFill>
                    </w:rPr>
                    <w:t>板。</w:t>
                  </w:r>
                </w:p>
              </w:tc>
              <w:tc>
                <w:tcPr>
                  <w:tcW w:w="1714" w:type="dxa"/>
                  <w:vMerge w:val="restart"/>
                  <w:tcBorders>
                    <w:tl2br w:val="nil"/>
                    <w:tr2bl w:val="nil"/>
                  </w:tcBorders>
                  <w:vAlign w:val="center"/>
                </w:tcPr>
                <w:p w14:paraId="296445A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10万吨精制硅砂加工生产线一条，各个建构筑物之间通过密闭的输送通廊连接。</w:t>
                  </w:r>
                </w:p>
              </w:tc>
            </w:tr>
            <w:tr w14:paraId="7DEE1B8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54" w:hRule="atLeast"/>
                <w:jc w:val="center"/>
              </w:trPr>
              <w:tc>
                <w:tcPr>
                  <w:tcW w:w="796" w:type="dxa"/>
                  <w:vMerge w:val="continue"/>
                  <w:tcBorders>
                    <w:tl2br w:val="nil"/>
                    <w:tr2bl w:val="nil"/>
                  </w:tcBorders>
                  <w:vAlign w:val="center"/>
                </w:tcPr>
                <w:p w14:paraId="5D64AAA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2D35FDE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圆锥破碎间</w:t>
                  </w:r>
                </w:p>
              </w:tc>
              <w:tc>
                <w:tcPr>
                  <w:tcW w:w="4023" w:type="dxa"/>
                  <w:gridSpan w:val="2"/>
                  <w:tcBorders>
                    <w:tl2br w:val="nil"/>
                    <w:tr2bl w:val="nil"/>
                  </w:tcBorders>
                  <w:vAlign w:val="center"/>
                </w:tcPr>
                <w:p w14:paraId="3F35516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left"/>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建筑面积1</w:t>
                  </w:r>
                  <w:r>
                    <w:rPr>
                      <w:rFonts w:hint="eastAsia" w:cs="Times New Roman"/>
                      <w:color w:val="000000" w:themeColor="text1"/>
                      <w:kern w:val="0"/>
                      <w:sz w:val="21"/>
                      <w:szCs w:val="21"/>
                      <w:highlight w:val="none"/>
                      <w:lang w:val="en-US" w:eastAsia="zh-CN"/>
                      <w14:textFill>
                        <w14:solidFill>
                          <w14:schemeClr w14:val="tx1"/>
                        </w14:solidFill>
                      </w14:textFill>
                    </w:rPr>
                    <w:t>12.5</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r>
                    <w:rPr>
                      <w:rFonts w:hint="eastAsia" w:cs="Times New Roman"/>
                      <w:color w:val="000000" w:themeColor="text1"/>
                      <w:kern w:val="0"/>
                      <w:sz w:val="21"/>
                      <w:szCs w:val="21"/>
                      <w:highlight w:val="none"/>
                      <w:lang w:val="en-US" w:eastAsia="zh-CN"/>
                      <w14:textFill>
                        <w14:solidFill>
                          <w14:schemeClr w14:val="tx1"/>
                        </w14:solidFill>
                      </w14:textFill>
                    </w:rPr>
                    <w:t>围护结构为</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混凝土基础墙+单层彩钢</w:t>
                  </w:r>
                  <w:r>
                    <w:rPr>
                      <w:rFonts w:hint="eastAsia" w:cs="Times New Roman"/>
                      <w:color w:val="000000" w:themeColor="text1"/>
                      <w:kern w:val="0"/>
                      <w:sz w:val="21"/>
                      <w:szCs w:val="21"/>
                      <w:highlight w:val="none"/>
                      <w:lang w:val="en-US" w:eastAsia="zh-CN"/>
                      <w14:textFill>
                        <w14:solidFill>
                          <w14:schemeClr w14:val="tx1"/>
                        </w14:solidFill>
                      </w14:textFill>
                    </w:rPr>
                    <w:t>板。</w:t>
                  </w:r>
                </w:p>
              </w:tc>
              <w:tc>
                <w:tcPr>
                  <w:tcW w:w="1714" w:type="dxa"/>
                  <w:vMerge w:val="continue"/>
                  <w:tcBorders>
                    <w:tl2br w:val="nil"/>
                    <w:tr2bl w:val="nil"/>
                  </w:tcBorders>
                  <w:vAlign w:val="center"/>
                </w:tcPr>
                <w:p w14:paraId="4331684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r>
            <w:tr w14:paraId="6FD8A86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7" w:hRule="atLeast"/>
                <w:jc w:val="center"/>
              </w:trPr>
              <w:tc>
                <w:tcPr>
                  <w:tcW w:w="796" w:type="dxa"/>
                  <w:vMerge w:val="continue"/>
                  <w:tcBorders>
                    <w:tl2br w:val="nil"/>
                    <w:tr2bl w:val="nil"/>
                  </w:tcBorders>
                  <w:vAlign w:val="center"/>
                </w:tcPr>
                <w:p w14:paraId="28627D6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29F7684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中间仓</w:t>
                  </w:r>
                </w:p>
              </w:tc>
              <w:tc>
                <w:tcPr>
                  <w:tcW w:w="4023" w:type="dxa"/>
                  <w:gridSpan w:val="2"/>
                  <w:tcBorders>
                    <w:tl2br w:val="nil"/>
                    <w:tr2bl w:val="nil"/>
                  </w:tcBorders>
                  <w:vAlign w:val="center"/>
                </w:tcPr>
                <w:p w14:paraId="0239BED7">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left"/>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建筑面积64m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r>
                    <w:rPr>
                      <w:rFonts w:hint="eastAsia" w:cs="Times New Roman"/>
                      <w:color w:val="000000" w:themeColor="text1"/>
                      <w:kern w:val="0"/>
                      <w:sz w:val="21"/>
                      <w:szCs w:val="21"/>
                      <w:highlight w:val="none"/>
                      <w:lang w:val="en-US" w:eastAsia="zh-CN"/>
                      <w14:textFill>
                        <w14:solidFill>
                          <w14:schemeClr w14:val="tx1"/>
                        </w14:solidFill>
                      </w14:textFill>
                    </w:rPr>
                    <w:t>围护结构为</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混凝土基础墙+单层彩钢</w:t>
                  </w:r>
                  <w:r>
                    <w:rPr>
                      <w:rFonts w:hint="eastAsia" w:cs="Times New Roman"/>
                      <w:color w:val="000000" w:themeColor="text1"/>
                      <w:kern w:val="0"/>
                      <w:sz w:val="21"/>
                      <w:szCs w:val="21"/>
                      <w:highlight w:val="none"/>
                      <w:lang w:val="en-US" w:eastAsia="zh-CN"/>
                      <w14:textFill>
                        <w14:solidFill>
                          <w14:schemeClr w14:val="tx1"/>
                        </w14:solidFill>
                      </w14:textFill>
                    </w:rPr>
                    <w:t>板。</w:t>
                  </w:r>
                </w:p>
              </w:tc>
              <w:tc>
                <w:tcPr>
                  <w:tcW w:w="1714" w:type="dxa"/>
                  <w:vMerge w:val="continue"/>
                  <w:tcBorders>
                    <w:tl2br w:val="nil"/>
                    <w:tr2bl w:val="nil"/>
                  </w:tcBorders>
                  <w:vAlign w:val="center"/>
                </w:tcPr>
                <w:p w14:paraId="1412790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r>
            <w:tr w14:paraId="6FFAAC8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17" w:hRule="atLeast"/>
                <w:jc w:val="center"/>
              </w:trPr>
              <w:tc>
                <w:tcPr>
                  <w:tcW w:w="796" w:type="dxa"/>
                  <w:vMerge w:val="continue"/>
                  <w:tcBorders>
                    <w:tl2br w:val="nil"/>
                    <w:tr2bl w:val="nil"/>
                  </w:tcBorders>
                  <w:vAlign w:val="center"/>
                </w:tcPr>
                <w:p w14:paraId="0EBBA43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6F0A9ED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联合车间</w:t>
                  </w:r>
                </w:p>
              </w:tc>
              <w:tc>
                <w:tcPr>
                  <w:tcW w:w="4023" w:type="dxa"/>
                  <w:gridSpan w:val="2"/>
                  <w:tcBorders>
                    <w:tl2br w:val="nil"/>
                    <w:tr2bl w:val="nil"/>
                  </w:tcBorders>
                  <w:vAlign w:val="center"/>
                </w:tcPr>
                <w:p w14:paraId="3B6EDAE5">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left"/>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w:t>
                  </w:r>
                  <w:r>
                    <w:rPr>
                      <w:rFonts w:hint="eastAsia" w:cs="Times New Roman"/>
                      <w:color w:val="000000" w:themeColor="text1"/>
                      <w:kern w:val="0"/>
                      <w:sz w:val="21"/>
                      <w:szCs w:val="21"/>
                      <w:highlight w:val="none"/>
                      <w:lang w:val="en-US" w:eastAsia="zh-CN"/>
                      <w14:textFill>
                        <w14:solidFill>
                          <w14:schemeClr w14:val="tx1"/>
                        </w14:solidFill>
                      </w14:textFill>
                    </w:rPr>
                    <w:t>468</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，混凝土框架结构</w:t>
                  </w:r>
                  <w:r>
                    <w:rPr>
                      <w:rFonts w:hint="eastAsia" w:cs="Times New Roman"/>
                      <w:color w:val="000000" w:themeColor="text1"/>
                      <w:kern w:val="0"/>
                      <w:sz w:val="21"/>
                      <w:szCs w:val="21"/>
                      <w:highlight w:val="none"/>
                      <w:lang w:val="en-US" w:eastAsia="zh-CN"/>
                      <w14:textFill>
                        <w14:solidFill>
                          <w14:schemeClr w14:val="tx1"/>
                        </w14:solidFill>
                      </w14:textFill>
                    </w:rPr>
                    <w:t>。</w:t>
                  </w:r>
                </w:p>
              </w:tc>
              <w:tc>
                <w:tcPr>
                  <w:tcW w:w="1714" w:type="dxa"/>
                  <w:vMerge w:val="continue"/>
                  <w:tcBorders>
                    <w:tl2br w:val="nil"/>
                    <w:tr2bl w:val="nil"/>
                  </w:tcBorders>
                  <w:vAlign w:val="center"/>
                </w:tcPr>
                <w:p w14:paraId="720AECC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r>
            <w:tr w14:paraId="30D8327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4" w:hRule="atLeast"/>
                <w:jc w:val="center"/>
              </w:trPr>
              <w:tc>
                <w:tcPr>
                  <w:tcW w:w="796" w:type="dxa"/>
                  <w:vMerge w:val="restart"/>
                  <w:tcBorders>
                    <w:tl2br w:val="nil"/>
                    <w:tr2bl w:val="nil"/>
                  </w:tcBorders>
                  <w:vAlign w:val="center"/>
                </w:tcPr>
                <w:p w14:paraId="63C9020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辅助</w:t>
                  </w:r>
                </w:p>
                <w:p w14:paraId="2649BC9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工程</w:t>
                  </w:r>
                </w:p>
              </w:tc>
              <w:tc>
                <w:tcPr>
                  <w:tcW w:w="1320" w:type="dxa"/>
                  <w:tcBorders>
                    <w:tl2br w:val="nil"/>
                    <w:tr2bl w:val="nil"/>
                  </w:tcBorders>
                  <w:vAlign w:val="center"/>
                </w:tcPr>
                <w:p w14:paraId="7AD728C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办公室</w:t>
                  </w:r>
                </w:p>
              </w:tc>
              <w:tc>
                <w:tcPr>
                  <w:tcW w:w="5737" w:type="dxa"/>
                  <w:gridSpan w:val="3"/>
                  <w:tcBorders>
                    <w:tl2br w:val="nil"/>
                    <w:tr2bl w:val="nil"/>
                  </w:tcBorders>
                  <w:vAlign w:val="center"/>
                </w:tcPr>
                <w:p w14:paraId="22A7D59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w:t>
                  </w:r>
                  <w:r>
                    <w:rPr>
                      <w:rFonts w:hint="eastAsia" w:cs="Times New Roman"/>
                      <w:color w:val="000000" w:themeColor="text1"/>
                      <w:kern w:val="0"/>
                      <w:sz w:val="21"/>
                      <w:szCs w:val="21"/>
                      <w:highlight w:val="none"/>
                      <w:lang w:val="en-US" w:eastAsia="zh-CN"/>
                      <w14:textFill>
                        <w14:solidFill>
                          <w14:schemeClr w14:val="tx1"/>
                        </w14:solidFill>
                      </w14:textFill>
                    </w:rPr>
                    <w:t>59.4</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，用于人员办公</w:t>
                  </w:r>
                  <w:r>
                    <w:rPr>
                      <w:rFonts w:hint="eastAsia" w:cs="Times New Roman"/>
                      <w:color w:val="000000" w:themeColor="text1"/>
                      <w:kern w:val="0"/>
                      <w:sz w:val="21"/>
                      <w:szCs w:val="21"/>
                      <w:highlight w:val="none"/>
                      <w:lang w:val="en-US" w:eastAsia="zh-CN"/>
                      <w14:textFill>
                        <w14:solidFill>
                          <w14:schemeClr w14:val="tx1"/>
                        </w14:solidFill>
                      </w14:textFill>
                    </w:rPr>
                    <w:t>。</w:t>
                  </w:r>
                </w:p>
              </w:tc>
            </w:tr>
            <w:tr w14:paraId="090368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4" w:hRule="atLeast"/>
                <w:jc w:val="center"/>
              </w:trPr>
              <w:tc>
                <w:tcPr>
                  <w:tcW w:w="796" w:type="dxa"/>
                  <w:vMerge w:val="continue"/>
                  <w:tcBorders>
                    <w:tl2br w:val="nil"/>
                    <w:tr2bl w:val="nil"/>
                  </w:tcBorders>
                  <w:vAlign w:val="center"/>
                </w:tcPr>
                <w:p w14:paraId="6E6D6BF6">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1BFB10C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压滤厂房</w:t>
                  </w:r>
                </w:p>
              </w:tc>
              <w:tc>
                <w:tcPr>
                  <w:tcW w:w="5737" w:type="dxa"/>
                  <w:gridSpan w:val="3"/>
                  <w:tcBorders>
                    <w:tl2br w:val="nil"/>
                    <w:tr2bl w:val="nil"/>
                  </w:tcBorders>
                  <w:vAlign w:val="center"/>
                </w:tcPr>
                <w:p w14:paraId="2844C9E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w:t>
                  </w:r>
                  <w:r>
                    <w:rPr>
                      <w:rFonts w:hint="eastAsia" w:cs="Times New Roman"/>
                      <w:color w:val="000000" w:themeColor="text1"/>
                      <w:kern w:val="0"/>
                      <w:sz w:val="21"/>
                      <w:szCs w:val="21"/>
                      <w:highlight w:val="none"/>
                      <w:lang w:val="en-US" w:eastAsia="zh-CN"/>
                      <w14:textFill>
                        <w14:solidFill>
                          <w14:schemeClr w14:val="tx1"/>
                        </w14:solidFill>
                      </w14:textFill>
                    </w:rPr>
                    <w:t>810</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，用于处理尾砂。</w:t>
                  </w:r>
                </w:p>
              </w:tc>
            </w:tr>
            <w:tr w14:paraId="3CC74D3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4" w:hRule="atLeast"/>
                <w:jc w:val="center"/>
              </w:trPr>
              <w:tc>
                <w:tcPr>
                  <w:tcW w:w="796" w:type="dxa"/>
                  <w:vMerge w:val="continue"/>
                  <w:tcBorders>
                    <w:tl2br w:val="nil"/>
                    <w:tr2bl w:val="nil"/>
                  </w:tcBorders>
                  <w:vAlign w:val="center"/>
                </w:tcPr>
                <w:p w14:paraId="16CC830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2EA1D86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闲置厂房</w:t>
                  </w:r>
                </w:p>
              </w:tc>
              <w:tc>
                <w:tcPr>
                  <w:tcW w:w="5737" w:type="dxa"/>
                  <w:gridSpan w:val="3"/>
                  <w:tcBorders>
                    <w:tl2br w:val="nil"/>
                    <w:tr2bl w:val="nil"/>
                  </w:tcBorders>
                  <w:vAlign w:val="center"/>
                </w:tcPr>
                <w:p w14:paraId="3EDE92F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建筑面积1164m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，现状闲置，不作为固定生产用房，仅不定期临时停放场内工程机械及运输车辆。</w:t>
                  </w:r>
                </w:p>
              </w:tc>
            </w:tr>
            <w:tr w14:paraId="11791A9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69" w:hRule="atLeast"/>
                <w:jc w:val="center"/>
              </w:trPr>
              <w:tc>
                <w:tcPr>
                  <w:tcW w:w="796" w:type="dxa"/>
                  <w:vMerge w:val="continue"/>
                  <w:tcBorders>
                    <w:tl2br w:val="nil"/>
                    <w:tr2bl w:val="nil"/>
                  </w:tcBorders>
                  <w:vAlign w:val="center"/>
                </w:tcPr>
                <w:p w14:paraId="795F9E37">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color w:val="000000" w:themeColor="text1"/>
                      <w:highlight w:val="none"/>
                      <w14:textFill>
                        <w14:solidFill>
                          <w14:schemeClr w14:val="tx1"/>
                        </w14:solidFill>
                      </w14:textFill>
                    </w:rPr>
                  </w:pPr>
                </w:p>
              </w:tc>
              <w:tc>
                <w:tcPr>
                  <w:tcW w:w="1320" w:type="dxa"/>
                  <w:tcBorders>
                    <w:tl2br w:val="nil"/>
                    <w:tr2bl w:val="nil"/>
                  </w:tcBorders>
                  <w:vAlign w:val="center"/>
                </w:tcPr>
                <w:p w14:paraId="4D5BCFF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杂品库</w:t>
                  </w:r>
                </w:p>
              </w:tc>
              <w:tc>
                <w:tcPr>
                  <w:tcW w:w="5737" w:type="dxa"/>
                  <w:gridSpan w:val="3"/>
                  <w:tcBorders>
                    <w:tl2br w:val="nil"/>
                    <w:tr2bl w:val="nil"/>
                  </w:tcBorders>
                  <w:vAlign w:val="center"/>
                </w:tcPr>
                <w:p w14:paraId="4B0F9ED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w:t>
                  </w:r>
                  <w:r>
                    <w:rPr>
                      <w:rFonts w:hint="eastAsia" w:cs="Times New Roman"/>
                      <w:color w:val="000000" w:themeColor="text1"/>
                      <w:kern w:val="0"/>
                      <w:sz w:val="21"/>
                      <w:szCs w:val="21"/>
                      <w:highlight w:val="none"/>
                      <w:lang w:val="en-US" w:eastAsia="zh-CN"/>
                      <w14:textFill>
                        <w14:solidFill>
                          <w14:schemeClr w14:val="tx1"/>
                        </w14:solidFill>
                      </w14:textFill>
                    </w:rPr>
                    <w:t>320</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，存放杂物</w:t>
                  </w:r>
                  <w:r>
                    <w:rPr>
                      <w:rFonts w:hint="eastAsia" w:cs="Times New Roman"/>
                      <w:color w:val="000000" w:themeColor="text1"/>
                      <w:kern w:val="0"/>
                      <w:sz w:val="21"/>
                      <w:szCs w:val="21"/>
                      <w:highlight w:val="none"/>
                      <w:lang w:val="en-US" w:eastAsia="zh-CN"/>
                      <w14:textFill>
                        <w14:solidFill>
                          <w14:schemeClr w14:val="tx1"/>
                        </w14:solidFill>
                      </w14:textFill>
                    </w:rPr>
                    <w:t>。</w:t>
                  </w:r>
                </w:p>
              </w:tc>
            </w:tr>
            <w:tr w14:paraId="2A29145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31" w:hRule="atLeast"/>
                <w:jc w:val="center"/>
              </w:trPr>
              <w:tc>
                <w:tcPr>
                  <w:tcW w:w="796" w:type="dxa"/>
                  <w:vMerge w:val="restart"/>
                  <w:tcBorders>
                    <w:tl2br w:val="nil"/>
                    <w:tr2bl w:val="nil"/>
                  </w:tcBorders>
                  <w:vAlign w:val="center"/>
                </w:tcPr>
                <w:p w14:paraId="0013C257">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储运</w:t>
                  </w:r>
                </w:p>
                <w:p w14:paraId="79CD34B9">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工程</w:t>
                  </w:r>
                </w:p>
              </w:tc>
              <w:tc>
                <w:tcPr>
                  <w:tcW w:w="1320" w:type="dxa"/>
                  <w:tcBorders>
                    <w:tl2br w:val="nil"/>
                    <w:tr2bl w:val="nil"/>
                  </w:tcBorders>
                  <w:vAlign w:val="center"/>
                </w:tcPr>
                <w:p w14:paraId="21FD3D76">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原料库</w:t>
                  </w:r>
                </w:p>
              </w:tc>
              <w:tc>
                <w:tcPr>
                  <w:tcW w:w="5737" w:type="dxa"/>
                  <w:gridSpan w:val="3"/>
                  <w:tcBorders>
                    <w:tl2br w:val="nil"/>
                    <w:tr2bl w:val="nil"/>
                  </w:tcBorders>
                  <w:vAlign w:val="center"/>
                </w:tcPr>
                <w:p w14:paraId="304628A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建筑面积5258.2m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r>
                    <w:rPr>
                      <w:rFonts w:hint="eastAsia" w:cs="Times New Roman"/>
                      <w:color w:val="000000" w:themeColor="text1"/>
                      <w:kern w:val="0"/>
                      <w:sz w:val="21"/>
                      <w:szCs w:val="21"/>
                      <w:highlight w:val="none"/>
                      <w:lang w:val="en-US" w:eastAsia="zh-CN"/>
                      <w14:textFill>
                        <w14:solidFill>
                          <w14:schemeClr w14:val="tx1"/>
                        </w14:solidFill>
                      </w14:textFill>
                    </w:rPr>
                    <w:t>围护结构为</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混凝土基础墙+单层彩钢</w:t>
                  </w:r>
                  <w:r>
                    <w:rPr>
                      <w:rFonts w:hint="eastAsia" w:cs="Times New Roman"/>
                      <w:color w:val="000000" w:themeColor="text1"/>
                      <w:kern w:val="0"/>
                      <w:sz w:val="21"/>
                      <w:szCs w:val="21"/>
                      <w:highlight w:val="none"/>
                      <w:lang w:val="en-US" w:eastAsia="zh-CN"/>
                      <w14:textFill>
                        <w14:solidFill>
                          <w14:schemeClr w14:val="tx1"/>
                        </w14:solidFill>
                      </w14:textFill>
                    </w:rPr>
                    <w:t>板，与受料仓及</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颚破间通过密闭的输送通廊连接，用于储存合格的</w:t>
                  </w:r>
                  <w:r>
                    <w:rPr>
                      <w:rFonts w:hint="eastAsia" w:cs="Times New Roman"/>
                      <w:color w:val="000000" w:themeColor="text1"/>
                      <w:kern w:val="0"/>
                      <w:sz w:val="21"/>
                      <w:szCs w:val="21"/>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r>
            <w:tr w14:paraId="23110F7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06" w:hRule="atLeast"/>
                <w:jc w:val="center"/>
              </w:trPr>
              <w:tc>
                <w:tcPr>
                  <w:tcW w:w="796" w:type="dxa"/>
                  <w:vMerge w:val="continue"/>
                  <w:tcBorders>
                    <w:tl2br w:val="nil"/>
                    <w:tr2bl w:val="nil"/>
                  </w:tcBorders>
                  <w:vAlign w:val="center"/>
                </w:tcPr>
                <w:p w14:paraId="6E42A35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381EA14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成品库</w:t>
                  </w:r>
                </w:p>
              </w:tc>
              <w:tc>
                <w:tcPr>
                  <w:tcW w:w="5737" w:type="dxa"/>
                  <w:gridSpan w:val="3"/>
                  <w:tcBorders>
                    <w:tl2br w:val="nil"/>
                    <w:tr2bl w:val="nil"/>
                  </w:tcBorders>
                  <w:vAlign w:val="center"/>
                </w:tcPr>
                <w:p w14:paraId="7E10FE56">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建筑面积6818.8m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，混凝土框架结构，用于储存成品。</w:t>
                  </w:r>
                </w:p>
              </w:tc>
            </w:tr>
            <w:tr w14:paraId="6110F2D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4" w:hRule="atLeast"/>
                <w:jc w:val="center"/>
              </w:trPr>
              <w:tc>
                <w:tcPr>
                  <w:tcW w:w="796" w:type="dxa"/>
                  <w:vMerge w:val="continue"/>
                  <w:tcBorders>
                    <w:tl2br w:val="nil"/>
                    <w:tr2bl w:val="nil"/>
                  </w:tcBorders>
                  <w:vAlign w:val="center"/>
                </w:tcPr>
                <w:p w14:paraId="65CC4FE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7AA601B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一般固废</w:t>
                  </w:r>
                  <w:r>
                    <w:rPr>
                      <w:rFonts w:hint="eastAsia" w:cs="Times New Roman"/>
                      <w:color w:val="000000" w:themeColor="text1"/>
                      <w:kern w:val="0"/>
                      <w:sz w:val="21"/>
                      <w:szCs w:val="21"/>
                      <w:highlight w:val="none"/>
                      <w:lang w:val="en-US" w:eastAsia="zh-CN"/>
                      <w14:textFill>
                        <w14:solidFill>
                          <w14:schemeClr w14:val="tx1"/>
                        </w14:solidFill>
                      </w14:textFill>
                    </w:rPr>
                    <w:t>暂存间</w:t>
                  </w:r>
                </w:p>
              </w:tc>
              <w:tc>
                <w:tcPr>
                  <w:tcW w:w="5737" w:type="dxa"/>
                  <w:gridSpan w:val="3"/>
                  <w:tcBorders>
                    <w:tl2br w:val="nil"/>
                    <w:tr2bl w:val="nil"/>
                  </w:tcBorders>
                  <w:vAlign w:val="center"/>
                </w:tcPr>
                <w:p w14:paraId="7F864EA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建筑面积810m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主要储存压滤后的尾砂、除尘灰以及铁精粉。</w:t>
                  </w:r>
                </w:p>
              </w:tc>
            </w:tr>
            <w:tr w14:paraId="42DE99E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7" w:hRule="atLeast"/>
                <w:jc w:val="center"/>
              </w:trPr>
              <w:tc>
                <w:tcPr>
                  <w:tcW w:w="796" w:type="dxa"/>
                  <w:vMerge w:val="continue"/>
                  <w:tcBorders>
                    <w:tl2br w:val="nil"/>
                    <w:tr2bl w:val="nil"/>
                  </w:tcBorders>
                  <w:vAlign w:val="center"/>
                </w:tcPr>
                <w:p w14:paraId="23BC7EF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024B335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危废暂存间</w:t>
                  </w:r>
                </w:p>
              </w:tc>
              <w:tc>
                <w:tcPr>
                  <w:tcW w:w="5737" w:type="dxa"/>
                  <w:gridSpan w:val="3"/>
                  <w:tcBorders>
                    <w:tl2br w:val="nil"/>
                    <w:tr2bl w:val="nil"/>
                  </w:tcBorders>
                  <w:vAlign w:val="center"/>
                </w:tcPr>
                <w:p w14:paraId="3E8131F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建筑面积</w:t>
                  </w:r>
                  <w:r>
                    <w:rPr>
                      <w:rFonts w:hint="eastAsia" w:cs="Times New Roman"/>
                      <w:color w:val="000000" w:themeColor="text1"/>
                      <w:kern w:val="0"/>
                      <w:sz w:val="21"/>
                      <w:szCs w:val="21"/>
                      <w:highlight w:val="none"/>
                      <w:lang w:val="en-US" w:eastAsia="zh-CN"/>
                      <w14:textFill>
                        <w14:solidFill>
                          <w14:schemeClr w14:val="tx1"/>
                        </w14:solidFill>
                      </w14:textFill>
                    </w:rPr>
                    <w:t>8.75</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，砖混结构</w:t>
                  </w:r>
                  <w:r>
                    <w:rPr>
                      <w:rFonts w:hint="eastAsia"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t>，用于暂存危险废物。</w:t>
                  </w:r>
                </w:p>
              </w:tc>
            </w:tr>
            <w:tr w14:paraId="4EF6DC3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7" w:hRule="atLeast"/>
                <w:jc w:val="center"/>
              </w:trPr>
              <w:tc>
                <w:tcPr>
                  <w:tcW w:w="796" w:type="dxa"/>
                  <w:vMerge w:val="restart"/>
                  <w:tcBorders>
                    <w:tl2br w:val="nil"/>
                    <w:tr2bl w:val="nil"/>
                  </w:tcBorders>
                  <w:vAlign w:val="center"/>
                </w:tcPr>
                <w:p w14:paraId="0E9A9A7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公用</w:t>
                  </w:r>
                </w:p>
                <w:p w14:paraId="53045D9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工程</w:t>
                  </w:r>
                </w:p>
              </w:tc>
              <w:tc>
                <w:tcPr>
                  <w:tcW w:w="1320" w:type="dxa"/>
                  <w:tcBorders>
                    <w:tl2br w:val="nil"/>
                    <w:tr2bl w:val="nil"/>
                  </w:tcBorders>
                  <w:vAlign w:val="center"/>
                </w:tcPr>
                <w:p w14:paraId="558780B1">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供水系统</w:t>
                  </w:r>
                </w:p>
              </w:tc>
              <w:tc>
                <w:tcPr>
                  <w:tcW w:w="5737" w:type="dxa"/>
                  <w:gridSpan w:val="3"/>
                  <w:tcBorders>
                    <w:tl2br w:val="nil"/>
                    <w:tr2bl w:val="nil"/>
                  </w:tcBorders>
                  <w:vAlign w:val="center"/>
                </w:tcPr>
                <w:p w14:paraId="663F00C1">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项目用水由</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自备水井提供</w:t>
                  </w:r>
                  <w:r>
                    <w:rPr>
                      <w:rFonts w:hint="eastAsia" w:cs="Times New Roman"/>
                      <w:color w:val="000000" w:themeColor="text1"/>
                      <w:kern w:val="0"/>
                      <w:sz w:val="21"/>
                      <w:szCs w:val="21"/>
                      <w:highlight w:val="none"/>
                      <w:lang w:val="en-US" w:eastAsia="zh-CN"/>
                      <w14:textFill>
                        <w14:solidFill>
                          <w14:schemeClr w14:val="tx1"/>
                        </w14:solidFill>
                      </w14:textFill>
                    </w:rPr>
                    <w:t>。</w:t>
                  </w:r>
                </w:p>
              </w:tc>
            </w:tr>
            <w:tr w14:paraId="0A3C447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5E72533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16535525">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排水系统</w:t>
                  </w:r>
                </w:p>
              </w:tc>
              <w:tc>
                <w:tcPr>
                  <w:tcW w:w="5737" w:type="dxa"/>
                  <w:gridSpan w:val="3"/>
                  <w:tcBorders>
                    <w:tl2br w:val="nil"/>
                    <w:tr2bl w:val="nil"/>
                  </w:tcBorders>
                  <w:vAlign w:val="center"/>
                </w:tcPr>
                <w:p w14:paraId="477FFBC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生产废水循环使用，不外排</w:t>
                  </w:r>
                  <w:r>
                    <w:rPr>
                      <w:rFonts w:hint="eastAsia" w:cs="Times New Roman"/>
                      <w:color w:val="000000" w:themeColor="text1"/>
                      <w:kern w:val="0"/>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洗车废水循环使用，不外排；少量生活污水</w:t>
                  </w:r>
                  <w:r>
                    <w:rPr>
                      <w:rFonts w:hint="eastAsia" w:cs="Times New Roman"/>
                      <w:color w:val="000000" w:themeColor="text1"/>
                      <w:kern w:val="0"/>
                      <w:sz w:val="21"/>
                      <w:szCs w:val="21"/>
                      <w:highlight w:val="none"/>
                      <w:lang w:val="en-US" w:eastAsia="zh-CN"/>
                      <w14:textFill>
                        <w14:solidFill>
                          <w14:schemeClr w14:val="tx1"/>
                        </w14:solidFill>
                      </w14:textFill>
                    </w:rPr>
                    <w:t>泼洒抑尘</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r>
            <w:tr w14:paraId="1B86377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7" w:hRule="atLeast"/>
                <w:jc w:val="center"/>
              </w:trPr>
              <w:tc>
                <w:tcPr>
                  <w:tcW w:w="796" w:type="dxa"/>
                  <w:vMerge w:val="continue"/>
                  <w:tcBorders>
                    <w:tl2br w:val="nil"/>
                    <w:tr2bl w:val="nil"/>
                  </w:tcBorders>
                  <w:vAlign w:val="center"/>
                </w:tcPr>
                <w:p w14:paraId="7C2AC69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2554F85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供电系统</w:t>
                  </w:r>
                </w:p>
              </w:tc>
              <w:tc>
                <w:tcPr>
                  <w:tcW w:w="5737" w:type="dxa"/>
                  <w:gridSpan w:val="3"/>
                  <w:tcBorders>
                    <w:tl2br w:val="nil"/>
                    <w:tr2bl w:val="nil"/>
                  </w:tcBorders>
                  <w:vAlign w:val="center"/>
                </w:tcPr>
                <w:p w14:paraId="158114E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由当地供电电网提供。</w:t>
                  </w:r>
                </w:p>
              </w:tc>
            </w:tr>
            <w:tr w14:paraId="2C33FBC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7" w:hRule="atLeast"/>
                <w:jc w:val="center"/>
              </w:trPr>
              <w:tc>
                <w:tcPr>
                  <w:tcW w:w="796" w:type="dxa"/>
                  <w:vMerge w:val="continue"/>
                  <w:tcBorders>
                    <w:tl2br w:val="nil"/>
                    <w:tr2bl w:val="nil"/>
                  </w:tcBorders>
                  <w:vAlign w:val="center"/>
                </w:tcPr>
                <w:p w14:paraId="758C18E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51C0121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冷暖系统</w:t>
                  </w:r>
                </w:p>
              </w:tc>
              <w:tc>
                <w:tcPr>
                  <w:tcW w:w="5737" w:type="dxa"/>
                  <w:gridSpan w:val="3"/>
                  <w:tcBorders>
                    <w:tl2br w:val="nil"/>
                    <w:tr2bl w:val="nil"/>
                  </w:tcBorders>
                  <w:vAlign w:val="center"/>
                </w:tcPr>
                <w:p w14:paraId="2404BDB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生产车间不需采暖，</w:t>
                  </w:r>
                  <w:r>
                    <w:rPr>
                      <w:rFonts w:hint="eastAsia" w:cs="Times New Roman"/>
                      <w:b w:val="0"/>
                      <w:color w:val="000000" w:themeColor="text1"/>
                      <w:sz w:val="21"/>
                      <w:szCs w:val="21"/>
                      <w:highlight w:val="none"/>
                      <w:lang w:val="en-US" w:eastAsia="zh-CN"/>
                      <w14:textFill>
                        <w14:solidFill>
                          <w14:schemeClr w14:val="tx1"/>
                        </w14:solidFill>
                      </w14:textFill>
                    </w:rPr>
                    <w:t>办公室</w:t>
                  </w:r>
                  <w:r>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t>取暖采用</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单体</w:t>
                  </w:r>
                  <w:r>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t>空调</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，以电为能源</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r>
            <w:tr w14:paraId="295FB86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7" w:hRule="atLeast"/>
                <w:jc w:val="center"/>
              </w:trPr>
              <w:tc>
                <w:tcPr>
                  <w:tcW w:w="796" w:type="dxa"/>
                  <w:vMerge w:val="continue"/>
                  <w:tcBorders>
                    <w:tl2br w:val="nil"/>
                    <w:tr2bl w:val="nil"/>
                  </w:tcBorders>
                  <w:vAlign w:val="center"/>
                </w:tcPr>
                <w:p w14:paraId="27D52CB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255879D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应急池</w:t>
                  </w:r>
                </w:p>
              </w:tc>
              <w:tc>
                <w:tcPr>
                  <w:tcW w:w="5737" w:type="dxa"/>
                  <w:gridSpan w:val="3"/>
                  <w:tcBorders>
                    <w:tl2br w:val="nil"/>
                    <w:tr2bl w:val="nil"/>
                  </w:tcBorders>
                  <w:vAlign w:val="center"/>
                </w:tcPr>
                <w:p w14:paraId="6F86604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设有应急池4座。</w:t>
                  </w:r>
                </w:p>
              </w:tc>
            </w:tr>
            <w:tr w14:paraId="3248103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restart"/>
                  <w:tcBorders>
                    <w:tl2br w:val="nil"/>
                    <w:tr2bl w:val="nil"/>
                  </w:tcBorders>
                  <w:vAlign w:val="center"/>
                </w:tcPr>
                <w:p w14:paraId="00BBFCD1">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环保</w:t>
                  </w:r>
                </w:p>
                <w:p w14:paraId="2825430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工程</w:t>
                  </w:r>
                </w:p>
              </w:tc>
              <w:tc>
                <w:tcPr>
                  <w:tcW w:w="1320" w:type="dxa"/>
                  <w:vMerge w:val="restart"/>
                  <w:tcBorders>
                    <w:tl2br w:val="nil"/>
                    <w:tr2bl w:val="nil"/>
                  </w:tcBorders>
                  <w:vAlign w:val="center"/>
                </w:tcPr>
                <w:p w14:paraId="37240E8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废气</w:t>
                  </w:r>
                </w:p>
              </w:tc>
              <w:tc>
                <w:tcPr>
                  <w:tcW w:w="5737" w:type="dxa"/>
                  <w:gridSpan w:val="3"/>
                  <w:tcBorders>
                    <w:tl2br w:val="nil"/>
                    <w:tr2bl w:val="nil"/>
                  </w:tcBorders>
                  <w:vAlign w:val="center"/>
                </w:tcPr>
                <w:p w14:paraId="369810B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项目设置原料库、成品库、尾矿砂库各1座，用于存储原料、成品、尾矿砂，原料库设置</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雾炮、</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喷雾抑尘措施；</w:t>
                  </w:r>
                  <w:r>
                    <w:rPr>
                      <w:rFonts w:hint="eastAsia" w:cs="Times New Roman"/>
                      <w:color w:val="000000" w:themeColor="text1"/>
                      <w:kern w:val="0"/>
                      <w:sz w:val="21"/>
                      <w:szCs w:val="21"/>
                      <w:highlight w:val="none"/>
                      <w:lang w:val="en-US" w:eastAsia="zh-CN"/>
                      <w14:textFill>
                        <w14:solidFill>
                          <w14:schemeClr w14:val="tx1"/>
                        </w14:solidFill>
                      </w14:textFill>
                    </w:rPr>
                    <w:t>原料库设置自动感应门；</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受料仓置于封闭廊道内，并采取喷雾抑尘； 物料转运设置封闭的皮带通廊；车间及厂区道路地面全部硬化，</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未硬化的区域采取绿化措施。</w:t>
                  </w:r>
                </w:p>
              </w:tc>
            </w:tr>
            <w:tr w14:paraId="140C651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67B4F0B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vMerge w:val="continue"/>
                  <w:tcBorders>
                    <w:tl2br w:val="nil"/>
                    <w:tr2bl w:val="nil"/>
                  </w:tcBorders>
                  <w:vAlign w:val="center"/>
                </w:tcPr>
                <w:p w14:paraId="6A4644D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5737" w:type="dxa"/>
                  <w:gridSpan w:val="3"/>
                  <w:tcBorders>
                    <w:tl2br w:val="nil"/>
                    <w:tr2bl w:val="nil"/>
                  </w:tcBorders>
                  <w:vAlign w:val="center"/>
                </w:tcPr>
                <w:p w14:paraId="672A2BB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破碎、筛分</w:t>
                  </w:r>
                  <w:r>
                    <w:rPr>
                      <w:rFonts w:hint="eastAsia" w:cs="Times New Roman"/>
                      <w:color w:val="000000" w:themeColor="text1"/>
                      <w:kern w:val="0"/>
                      <w:sz w:val="21"/>
                      <w:szCs w:val="21"/>
                      <w:highlight w:val="none"/>
                      <w:lang w:val="en-US" w:eastAsia="zh-CN"/>
                      <w14:textFill>
                        <w14:solidFill>
                          <w14:schemeClr w14:val="tx1"/>
                        </w14:solidFill>
                      </w14:textFill>
                    </w:rPr>
                    <w:t>、中间仓</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配有集气</w:t>
                  </w:r>
                  <w:r>
                    <w:rPr>
                      <w:rFonts w:hint="eastAsia" w:cs="Times New Roman"/>
                      <w:color w:val="000000" w:themeColor="text1"/>
                      <w:kern w:val="0"/>
                      <w:sz w:val="21"/>
                      <w:szCs w:val="21"/>
                      <w:highlight w:val="none"/>
                      <w:lang w:val="en-US" w:eastAsia="zh-CN"/>
                      <w14:textFill>
                        <w14:solidFill>
                          <w14:schemeClr w14:val="tx1"/>
                        </w14:solidFill>
                      </w14:textFill>
                    </w:rPr>
                    <w:t>装置，废气经收集后，由1套</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脉冲布袋除尘器</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r>
                    <w:rPr>
                      <w:rFonts w:hint="eastAsia" w:cs="Times New Roman"/>
                      <w:color w:val="000000" w:themeColor="text1"/>
                      <w:kern w:val="0"/>
                      <w:sz w:val="21"/>
                      <w:szCs w:val="21"/>
                      <w:highlight w:val="none"/>
                      <w:lang w:val="en-US" w:eastAsia="zh-CN"/>
                      <w14:textFill>
                        <w14:solidFill>
                          <w14:schemeClr w14:val="tx1"/>
                        </w14:solidFill>
                      </w14:textFill>
                    </w:rPr>
                    <w:t>38000</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/h）</w:t>
                  </w:r>
                  <w:r>
                    <w:rPr>
                      <w:rFonts w:hint="eastAsia" w:cs="Times New Roman"/>
                      <w:color w:val="000000" w:themeColor="text1"/>
                      <w:kern w:val="0"/>
                      <w:sz w:val="21"/>
                      <w:szCs w:val="21"/>
                      <w:highlight w:val="none"/>
                      <w:lang w:val="en-US" w:eastAsia="zh-CN"/>
                      <w14:textFill>
                        <w14:solidFill>
                          <w14:schemeClr w14:val="tx1"/>
                        </w14:solidFill>
                      </w14:textFill>
                    </w:rPr>
                    <w:t>处理，由</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1根</w:t>
                  </w:r>
                  <w:r>
                    <w:rPr>
                      <w:rFonts w:hint="eastAsia" w:cs="Times New Roman"/>
                      <w:color w:val="000000" w:themeColor="text1"/>
                      <w:kern w:val="0"/>
                      <w:sz w:val="21"/>
                      <w:szCs w:val="21"/>
                      <w:highlight w:val="none"/>
                      <w:lang w:val="en-US" w:eastAsia="zh-CN"/>
                      <w14:textFill>
                        <w14:solidFill>
                          <w14:schemeClr w14:val="tx1"/>
                        </w14:solidFill>
                      </w14:textFill>
                    </w:rPr>
                    <w:t>21.5</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m高排气筒</w:t>
                  </w:r>
                  <w:r>
                    <w:rPr>
                      <w:rFonts w:hint="eastAsia" w:cs="Times New Roman"/>
                      <w:color w:val="000000" w:themeColor="text1"/>
                      <w:kern w:val="0"/>
                      <w:sz w:val="21"/>
                      <w:szCs w:val="21"/>
                      <w:highlight w:val="none"/>
                      <w:lang w:val="en-US" w:eastAsia="zh-CN"/>
                      <w14:textFill>
                        <w14:solidFill>
                          <w14:schemeClr w14:val="tx1"/>
                        </w14:solidFill>
                      </w14:textFill>
                    </w:rPr>
                    <w:t>（DA001）</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排放。</w:t>
                  </w:r>
                </w:p>
              </w:tc>
            </w:tr>
            <w:tr w14:paraId="4C557CF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55120EE5">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5A1657C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废水</w:t>
                  </w:r>
                </w:p>
              </w:tc>
              <w:tc>
                <w:tcPr>
                  <w:tcW w:w="5737" w:type="dxa"/>
                  <w:gridSpan w:val="3"/>
                  <w:tcBorders>
                    <w:tl2br w:val="nil"/>
                    <w:tr2bl w:val="nil"/>
                  </w:tcBorders>
                  <w:vAlign w:val="center"/>
                </w:tcPr>
                <w:p w14:paraId="500E6BC8">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生产废水循环使用，不外排</w:t>
                  </w:r>
                  <w:r>
                    <w:rPr>
                      <w:rFonts w:hint="eastAsia" w:cs="Times New Roman"/>
                      <w:color w:val="000000" w:themeColor="text1"/>
                      <w:kern w:val="0"/>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洗车废水循环使用，不外排；少量生活污水</w:t>
                  </w:r>
                  <w:r>
                    <w:rPr>
                      <w:rFonts w:hint="eastAsia" w:cs="Times New Roman"/>
                      <w:color w:val="000000" w:themeColor="text1"/>
                      <w:kern w:val="0"/>
                      <w:sz w:val="21"/>
                      <w:szCs w:val="21"/>
                      <w:highlight w:val="none"/>
                      <w:lang w:val="en-US" w:eastAsia="zh-CN"/>
                      <w14:textFill>
                        <w14:solidFill>
                          <w14:schemeClr w14:val="tx1"/>
                        </w14:solidFill>
                      </w14:textFill>
                    </w:rPr>
                    <w:t>泼洒抑尘</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r>
            <w:tr w14:paraId="4F61954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52" w:hRule="atLeast"/>
                <w:jc w:val="center"/>
              </w:trPr>
              <w:tc>
                <w:tcPr>
                  <w:tcW w:w="796" w:type="dxa"/>
                  <w:vMerge w:val="continue"/>
                  <w:tcBorders>
                    <w:tl2br w:val="nil"/>
                    <w:tr2bl w:val="nil"/>
                  </w:tcBorders>
                  <w:vAlign w:val="center"/>
                </w:tcPr>
                <w:p w14:paraId="4FA8FAC2">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70E0CE0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噪声</w:t>
                  </w:r>
                </w:p>
              </w:tc>
              <w:tc>
                <w:tcPr>
                  <w:tcW w:w="5737" w:type="dxa"/>
                  <w:gridSpan w:val="3"/>
                  <w:tcBorders>
                    <w:tl2br w:val="nil"/>
                    <w:tr2bl w:val="nil"/>
                  </w:tcBorders>
                  <w:vAlign w:val="center"/>
                </w:tcPr>
                <w:p w14:paraId="2A073291">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选用低噪声设备、合理布局，隔声、减振等措施。</w:t>
                  </w:r>
                </w:p>
              </w:tc>
            </w:tr>
            <w:tr w14:paraId="7DB86FB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507AFDF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vMerge w:val="restart"/>
                  <w:tcBorders>
                    <w:tl2br w:val="nil"/>
                    <w:tr2bl w:val="nil"/>
                  </w:tcBorders>
                  <w:vAlign w:val="center"/>
                </w:tcPr>
                <w:p w14:paraId="0232DCDD">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固废</w:t>
                  </w:r>
                </w:p>
              </w:tc>
              <w:tc>
                <w:tcPr>
                  <w:tcW w:w="789" w:type="dxa"/>
                  <w:tcBorders>
                    <w:tl2br w:val="nil"/>
                    <w:tr2bl w:val="nil"/>
                  </w:tcBorders>
                  <w:vAlign w:val="center"/>
                </w:tcPr>
                <w:p w14:paraId="1AA9D79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一般</w:t>
                  </w:r>
                </w:p>
                <w:p w14:paraId="7BCC3F0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固废</w:t>
                  </w:r>
                </w:p>
              </w:tc>
              <w:tc>
                <w:tcPr>
                  <w:tcW w:w="4948" w:type="dxa"/>
                  <w:gridSpan w:val="2"/>
                  <w:tcBorders>
                    <w:tl2br w:val="nil"/>
                    <w:tr2bl w:val="nil"/>
                  </w:tcBorders>
                  <w:vAlign w:val="center"/>
                </w:tcPr>
                <w:p w14:paraId="0D52815E">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布袋除尘器产生的废布袋，</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更换后，直接外售废品回收站</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除尘灰</w:t>
                  </w:r>
                  <w:r>
                    <w:rPr>
                      <w:rFonts w:hint="eastAsia" w:cs="Times New Roman"/>
                      <w:b w:val="0"/>
                      <w:bCs/>
                      <w:color w:val="000000" w:themeColor="text1"/>
                      <w:sz w:val="21"/>
                      <w:szCs w:val="21"/>
                      <w:highlight w:val="none"/>
                      <w:lang w:val="en-US" w:eastAsia="zh-CN"/>
                      <w14:textFill>
                        <w14:solidFill>
                          <w14:schemeClr w14:val="tx1"/>
                        </w14:solidFill>
                      </w14:textFill>
                    </w:rPr>
                    <w:t>集中</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收集</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eastAsia="zh-CN"/>
                      <w14:textFill>
                        <w14:solidFill>
                          <w14:schemeClr w14:val="tx1"/>
                        </w14:solidFill>
                      </w14:textFill>
                    </w:rPr>
                    <w:t>暂存于一般固废暂存间，定期外售水泥厂</w:t>
                  </w:r>
                  <w:r>
                    <w:rPr>
                      <w:rFonts w:hint="eastAsia" w:ascii="Times New Roman" w:hAnsi="Times New Roman" w:eastAsia="宋体" w:cs="Times New Roman"/>
                      <w:b w:val="0"/>
                      <w:bCs/>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沉淀池污泥定期清理，清理后</w:t>
                  </w:r>
                  <w:r>
                    <w:rPr>
                      <w:rFonts w:hint="eastAsia" w:cs="Times New Roman"/>
                      <w:b w:val="0"/>
                      <w:bCs/>
                      <w:color w:val="000000" w:themeColor="text1"/>
                      <w:sz w:val="21"/>
                      <w:szCs w:val="21"/>
                      <w:highlight w:val="none"/>
                      <w:lang w:val="en-US" w:eastAsia="zh-CN"/>
                      <w14:textFill>
                        <w14:solidFill>
                          <w14:schemeClr w14:val="tx1"/>
                        </w14:solidFill>
                      </w14:textFill>
                    </w:rPr>
                    <w:t>直接外售水泥厂</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尾矿砂</w:t>
                  </w: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集中收集，</w:t>
                  </w:r>
                  <w:r>
                    <w:rPr>
                      <w:rFonts w:hint="eastAsia" w:cs="Times New Roman"/>
                      <w:b w:val="0"/>
                      <w:bCs/>
                      <w:color w:val="000000" w:themeColor="text1"/>
                      <w:sz w:val="21"/>
                      <w:szCs w:val="21"/>
                      <w:highlight w:val="none"/>
                      <w:lang w:eastAsia="zh-CN"/>
                      <w14:textFill>
                        <w14:solidFill>
                          <w14:schemeClr w14:val="tx1"/>
                        </w14:solidFill>
                      </w14:textFill>
                    </w:rPr>
                    <w:t>暂存于一般固废暂存间，</w:t>
                  </w:r>
                  <w:r>
                    <w:rPr>
                      <w:rFonts w:hint="eastAsia" w:cs="Times New Roman"/>
                      <w:b w:val="0"/>
                      <w:bCs w:val="0"/>
                      <w:color w:val="000000" w:themeColor="text1"/>
                      <w:w w:val="100"/>
                      <w:kern w:val="2"/>
                      <w:sz w:val="21"/>
                      <w:szCs w:val="21"/>
                      <w:highlight w:val="none"/>
                      <w:lang w:val="en-US" w:eastAsia="zh-CN" w:bidi="ar-SA"/>
                      <w14:textFill>
                        <w14:solidFill>
                          <w14:schemeClr w14:val="tx1"/>
                        </w14:solidFill>
                      </w14:textFill>
                    </w:rPr>
                    <w:t>定期</w:t>
                  </w: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外售至水泥厂</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val="en-US" w:eastAsia="zh-CN"/>
                      <w14:textFill>
                        <w14:solidFill>
                          <w14:schemeClr w14:val="tx1"/>
                        </w14:solidFill>
                      </w14:textFill>
                    </w:rPr>
                    <w:t>铁精粉</w:t>
                  </w: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集中收集，</w:t>
                  </w:r>
                  <w:r>
                    <w:rPr>
                      <w:rFonts w:hint="eastAsia" w:cs="Times New Roman"/>
                      <w:b w:val="0"/>
                      <w:bCs/>
                      <w:color w:val="000000" w:themeColor="text1"/>
                      <w:sz w:val="21"/>
                      <w:szCs w:val="21"/>
                      <w:highlight w:val="none"/>
                      <w:lang w:eastAsia="zh-CN"/>
                      <w14:textFill>
                        <w14:solidFill>
                          <w14:schemeClr w14:val="tx1"/>
                        </w14:solidFill>
                      </w14:textFill>
                    </w:rPr>
                    <w:t>暂存于一般固废暂存间，</w:t>
                  </w:r>
                  <w:r>
                    <w:rPr>
                      <w:rFonts w:hint="eastAsia" w:cs="Times New Roman"/>
                      <w:b w:val="0"/>
                      <w:bCs w:val="0"/>
                      <w:color w:val="000000" w:themeColor="text1"/>
                      <w:w w:val="100"/>
                      <w:kern w:val="2"/>
                      <w:sz w:val="21"/>
                      <w:szCs w:val="21"/>
                      <w:highlight w:val="none"/>
                      <w:lang w:val="en-US" w:eastAsia="zh-CN" w:bidi="ar-SA"/>
                      <w14:textFill>
                        <w14:solidFill>
                          <w14:schemeClr w14:val="tx1"/>
                        </w14:solidFill>
                      </w14:textFill>
                    </w:rPr>
                    <w:t>定期</w:t>
                  </w: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外售铁粉厂</w:t>
                  </w:r>
                  <w:r>
                    <w:rPr>
                      <w:rFonts w:hint="eastAsia" w:cs="Times New Roman"/>
                      <w:b w:val="0"/>
                      <w:bCs w:val="0"/>
                      <w:color w:val="000000" w:themeColor="text1"/>
                      <w:w w:val="100"/>
                      <w:kern w:val="2"/>
                      <w:sz w:val="21"/>
                      <w:szCs w:val="21"/>
                      <w:highlight w:val="none"/>
                      <w:lang w:val="en-US" w:eastAsia="zh-CN" w:bidi="ar-SA"/>
                      <w14:textFill>
                        <w14:solidFill>
                          <w14:schemeClr w14:val="tx1"/>
                        </w14:solidFill>
                      </w14:textFill>
                    </w:rPr>
                    <w:t>。</w:t>
                  </w:r>
                </w:p>
              </w:tc>
            </w:tr>
            <w:tr w14:paraId="1D91F53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796" w:type="dxa"/>
                  <w:vMerge w:val="continue"/>
                  <w:tcBorders>
                    <w:tl2br w:val="nil"/>
                    <w:tr2bl w:val="nil"/>
                  </w:tcBorders>
                  <w:vAlign w:val="center"/>
                </w:tcPr>
                <w:p w14:paraId="2B79DCD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vMerge w:val="continue"/>
                  <w:tcBorders>
                    <w:tl2br w:val="nil"/>
                    <w:tr2bl w:val="nil"/>
                  </w:tcBorders>
                  <w:vAlign w:val="center"/>
                </w:tcPr>
                <w:p w14:paraId="4EFA71B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789" w:type="dxa"/>
                  <w:tcBorders>
                    <w:tl2br w:val="nil"/>
                    <w:tr2bl w:val="nil"/>
                  </w:tcBorders>
                  <w:vAlign w:val="center"/>
                </w:tcPr>
                <w:p w14:paraId="5483C3B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危险</w:t>
                  </w:r>
                </w:p>
                <w:p w14:paraId="30103D94">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废物</w:t>
                  </w:r>
                </w:p>
              </w:tc>
              <w:tc>
                <w:tcPr>
                  <w:tcW w:w="4948" w:type="dxa"/>
                  <w:gridSpan w:val="2"/>
                  <w:tcBorders>
                    <w:tl2br w:val="nil"/>
                    <w:tr2bl w:val="nil"/>
                  </w:tcBorders>
                  <w:vAlign w:val="center"/>
                </w:tcPr>
                <w:p w14:paraId="602F7B53">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废润滑油、废油桶</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暂存于危废暂存间，定期交由有资质单位处理。</w:t>
                  </w:r>
                </w:p>
              </w:tc>
            </w:tr>
            <w:tr w14:paraId="5368070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3F365E1F">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vMerge w:val="continue"/>
                  <w:tcBorders>
                    <w:tl2br w:val="nil"/>
                    <w:tr2bl w:val="nil"/>
                  </w:tcBorders>
                  <w:vAlign w:val="center"/>
                </w:tcPr>
                <w:p w14:paraId="6FFADE6C">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5737" w:type="dxa"/>
                  <w:gridSpan w:val="3"/>
                  <w:tcBorders>
                    <w:tl2br w:val="nil"/>
                    <w:tr2bl w:val="nil"/>
                  </w:tcBorders>
                  <w:vAlign w:val="center"/>
                </w:tcPr>
                <w:p w14:paraId="7BB1498A">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both"/>
                    <w:textAlignment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职工生活垃圾集中收集后由当地环卫部门统一处理</w:t>
                  </w:r>
                  <w:r>
                    <w:rPr>
                      <w:rFonts w:hint="eastAsia" w:cs="Times New Roman"/>
                      <w:color w:val="000000" w:themeColor="text1"/>
                      <w:kern w:val="0"/>
                      <w:sz w:val="21"/>
                      <w:szCs w:val="21"/>
                      <w:highlight w:val="none"/>
                      <w:lang w:val="en-US" w:eastAsia="zh-CN"/>
                      <w14:textFill>
                        <w14:solidFill>
                          <w14:schemeClr w14:val="tx1"/>
                        </w14:solidFill>
                      </w14:textFill>
                    </w:rPr>
                    <w:t>。</w:t>
                  </w:r>
                </w:p>
              </w:tc>
            </w:tr>
            <w:tr w14:paraId="5967383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5" w:hRule="atLeast"/>
                <w:jc w:val="center"/>
              </w:trPr>
              <w:tc>
                <w:tcPr>
                  <w:tcW w:w="796" w:type="dxa"/>
                  <w:vMerge w:val="continue"/>
                  <w:tcBorders>
                    <w:tl2br w:val="nil"/>
                    <w:tr2bl w:val="nil"/>
                  </w:tcBorders>
                  <w:vAlign w:val="center"/>
                </w:tcPr>
                <w:p w14:paraId="68FEA0FB">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2F493575">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风险</w:t>
                  </w:r>
                </w:p>
              </w:tc>
              <w:tc>
                <w:tcPr>
                  <w:tcW w:w="5737" w:type="dxa"/>
                  <w:gridSpan w:val="3"/>
                  <w:tcBorders>
                    <w:tl2br w:val="nil"/>
                    <w:tr2bl w:val="nil"/>
                  </w:tcBorders>
                  <w:vAlign w:val="center"/>
                </w:tcPr>
                <w:p w14:paraId="2622F97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textAlignment w:val="auto"/>
                    <w:rPr>
                      <w:rFonts w:hint="eastAsia"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各风险单元按要求进行了防腐防渗，配备必要的应急物资；设置应急组织机构，并定期进行培训和演练。</w:t>
                  </w:r>
                </w:p>
              </w:tc>
            </w:tr>
            <w:tr w14:paraId="15CDD29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796" w:type="dxa"/>
                  <w:vMerge w:val="continue"/>
                  <w:tcBorders>
                    <w:tl2br w:val="nil"/>
                    <w:tr2bl w:val="nil"/>
                  </w:tcBorders>
                  <w:vAlign w:val="center"/>
                </w:tcPr>
                <w:p w14:paraId="16F63150">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p>
              </w:tc>
              <w:tc>
                <w:tcPr>
                  <w:tcW w:w="1320" w:type="dxa"/>
                  <w:tcBorders>
                    <w:tl2br w:val="nil"/>
                    <w:tr2bl w:val="nil"/>
                  </w:tcBorders>
                  <w:vAlign w:val="center"/>
                </w:tcPr>
                <w:p w14:paraId="21ECE627">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0" w:lineRule="atLeast"/>
                    <w:ind w:left="0" w:leftChars="0" w:right="0" w:rightChars="0" w:firstLine="0" w:firstLineChars="0"/>
                    <w:jc w:val="center"/>
                    <w:textAlignment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防渗</w:t>
                  </w:r>
                </w:p>
              </w:tc>
              <w:tc>
                <w:tcPr>
                  <w:tcW w:w="5737" w:type="dxa"/>
                  <w:gridSpan w:val="3"/>
                  <w:tcBorders>
                    <w:tl2br w:val="nil"/>
                    <w:tr2bl w:val="nil"/>
                  </w:tcBorders>
                  <w:vAlign w:val="center"/>
                </w:tcPr>
                <w:p w14:paraId="39583D3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危废暂存间</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地面采用抗渗混凝土浇筑，防渗层厚度为15cm，危废暂存间设有堵截泄漏的裙脚，地面与裙脚采用坚固防渗的材料建造，地面与裙脚</w:t>
                  </w:r>
                  <w:r>
                    <w:rPr>
                      <w:rFonts w:hint="eastAsia" w:cs="Times New Roman"/>
                      <w:color w:val="000000" w:themeColor="text1"/>
                      <w:sz w:val="21"/>
                      <w:szCs w:val="21"/>
                      <w:highlight w:val="none"/>
                      <w:lang w:val="en-US" w:eastAsia="zh-CN"/>
                      <w14:textFill>
                        <w14:solidFill>
                          <w14:schemeClr w14:val="tx1"/>
                        </w14:solidFill>
                      </w14:textFill>
                    </w:rPr>
                    <w:t>涂覆</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3层环氧树脂胶，2层玻璃纤维布进行防腐防渗，渗透系数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1.0×10</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-10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cm/s</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1538AE45">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5、现有工程生产工艺流程简述</w:t>
            </w:r>
          </w:p>
          <w:p w14:paraId="52A6BBE6">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⑴原料进厂</w:t>
            </w:r>
          </w:p>
          <w:p w14:paraId="3B1D6F27">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本项目原料硅砂岩汽运入厂，于原料库房卸车暂存。</w:t>
            </w:r>
          </w:p>
          <w:p w14:paraId="32FF6F8B">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⑵粗破</w:t>
            </w:r>
          </w:p>
          <w:p w14:paraId="7492808F">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原料由铲车下料至受料仓内，受料仓内物料经给料机进入</w:t>
            </w:r>
            <w:r>
              <w:rPr>
                <w:rFonts w:hint="eastAsia" w:cs="Times New Roman"/>
                <w:color w:val="000000" w:themeColor="text1"/>
                <w:highlight w:val="none"/>
                <w:lang w:val="en-US" w:eastAsia="zh-CN"/>
                <w14:textFill>
                  <w14:solidFill>
                    <w14:schemeClr w14:val="tx1"/>
                  </w14:solidFill>
                </w14:textFill>
              </w:rPr>
              <w:t>颚式破碎机</w:t>
            </w:r>
            <w:r>
              <w:rPr>
                <w:rFonts w:hint="default" w:ascii="Times New Roman" w:hAnsi="Times New Roman" w:eastAsia="宋体" w:cs="Times New Roman"/>
                <w:color w:val="000000" w:themeColor="text1"/>
                <w:highlight w:val="none"/>
                <w:lang w:val="en-US" w:eastAsia="zh-CN"/>
                <w14:textFill>
                  <w14:solidFill>
                    <w14:schemeClr w14:val="tx1"/>
                  </w14:solidFill>
                </w14:textFill>
              </w:rPr>
              <w:t>进行一级破碎。一级破碎后的物料下料至皮带，由皮带送入圆锥破碎机进行二次破碎。</w:t>
            </w:r>
          </w:p>
          <w:p w14:paraId="3C95533E">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⑶二级破碎</w:t>
            </w:r>
          </w:p>
          <w:p w14:paraId="29005A7C">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经一级破碎后的物料通过皮带输送至圆锥破碎机进行二级破碎，破碎后物料进入中间仓，之后进入联合车间。</w:t>
            </w:r>
          </w:p>
          <w:p w14:paraId="5D99500F">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⑷棒磨及筛分</w:t>
            </w:r>
          </w:p>
          <w:p w14:paraId="01501784">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破碎后由皮带机直接输送至联合车间，以水为介质进行磨矿，棒磨机排矿经胶泵打入滚笼筛进行筛分，筛上物料返回棒磨机重新磨矿，筛下矿浆进入水力分级机。</w:t>
            </w:r>
          </w:p>
          <w:p w14:paraId="779AFD1B">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⑸水力分级、磁选、成品暂存</w:t>
            </w:r>
          </w:p>
          <w:p w14:paraId="40C19A7A">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滚笼筛筛下物料进入水力分级机进行水力分级，溢流水排入浓缩罐，矿浆进入中磁机进行磁选，选出含磁物料，磁选后矿浆进入高效分级机进行高效分级，溢流水排入浓缩罐，矿浆由泵打入旋流器，旋流分级后即为成品，输送至成品库暂存。</w:t>
            </w:r>
          </w:p>
          <w:p w14:paraId="1A2E4C20">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⑹尾矿处理及贮存</w:t>
            </w:r>
          </w:p>
          <w:p w14:paraId="51C60322">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尾矿矿浆排入浓缩罐，经浓缩罐浓缩后，沉淀在浓缩罐底部的浓矿浆由泵打入压滤机进行压滤后，尾矿砂进入尾砂库暂存，之后外售。浓缩罐上清液及成品库溢流水一起排入清水池后回用于生产。</w:t>
            </w:r>
          </w:p>
          <w:p w14:paraId="2238A97F">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现有生产工艺流程如下：</w:t>
            </w:r>
          </w:p>
          <w:p w14:paraId="18F6D306">
            <w:pPr>
              <w:pStyle w:val="15"/>
              <w:keepNext w:val="0"/>
              <w:keepLines w:val="0"/>
              <w:pageBreakBefore w:val="0"/>
              <w:widowControl w:val="0"/>
              <w:shd w:val="clear"/>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drawing>
                <wp:inline distT="0" distB="0" distL="114300" distR="114300">
                  <wp:extent cx="4424680" cy="5942965"/>
                  <wp:effectExtent l="0" t="0" r="13970" b="635"/>
                  <wp:docPr id="3" name="图片 3"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标题-1"/>
                          <pic:cNvPicPr>
                            <a:picLocks noChangeAspect="1"/>
                          </pic:cNvPicPr>
                        </pic:nvPicPr>
                        <pic:blipFill>
                          <a:blip r:embed="rId9"/>
                          <a:srcRect l="11760" t="8847" r="11155" b="17965"/>
                          <a:stretch>
                            <a:fillRect/>
                          </a:stretch>
                        </pic:blipFill>
                        <pic:spPr>
                          <a:xfrm>
                            <a:off x="0" y="0"/>
                            <a:ext cx="4424680" cy="5942965"/>
                          </a:xfrm>
                          <a:prstGeom prst="rect">
                            <a:avLst/>
                          </a:prstGeom>
                        </pic:spPr>
                      </pic:pic>
                    </a:graphicData>
                  </a:graphic>
                </wp:inline>
              </w:drawing>
            </w:r>
          </w:p>
          <w:p w14:paraId="01EB71E9">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color w:val="000000" w:themeColor="text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现有工程工艺流程图</w:t>
            </w:r>
          </w:p>
          <w:p w14:paraId="0AF65A81">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6、</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现有工程现状</w:t>
            </w:r>
          </w:p>
          <w:p w14:paraId="2E62F9EC">
            <w:pPr>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default"/>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现有工程于2024年4月停产至今，停产期间生产设备及生产设施均处于停用状态，未开展生产活动，厂区仅保留必要的日常维护及安保值守，无废水、废气、噪声等污染物排放。</w:t>
            </w:r>
          </w:p>
        </w:tc>
      </w:tr>
      <w:tr w14:paraId="78C131BB">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13305" w:hRule="atLeast"/>
          <w:jc w:val="center"/>
        </w:trPr>
        <w:tc>
          <w:tcPr>
            <w:tcW w:w="868" w:type="dxa"/>
            <w:tcBorders>
              <w:tl2br w:val="nil"/>
              <w:tr2bl w:val="nil"/>
            </w:tcBorders>
            <w:vAlign w:val="center"/>
          </w:tcPr>
          <w:p w14:paraId="507AE33A">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line="0" w:lineRule="atLeast"/>
              <w:ind w:firstLine="0" w:firstLineChars="0"/>
              <w:jc w:val="center"/>
              <w:textAlignment w:val="auto"/>
              <w:outlineLvl w:val="0"/>
              <w:rPr>
                <w:rFonts w:hint="default" w:ascii="Times New Roman" w:hAnsi="Times New Roman" w:cs="Times New Roman"/>
                <w:color w:val="000000" w:themeColor="text1"/>
                <w:sz w:val="24"/>
                <w:szCs w:val="24"/>
                <w:highlight w:val="none"/>
                <w14:textFill>
                  <w14:solidFill>
                    <w14:schemeClr w14:val="tx1"/>
                  </w14:solidFill>
                </w14:textFill>
              </w:rPr>
            </w:pPr>
          </w:p>
        </w:tc>
        <w:tc>
          <w:tcPr>
            <w:tcW w:w="8311" w:type="dxa"/>
            <w:tcBorders>
              <w:tl2br w:val="nil"/>
              <w:tr2bl w:val="nil"/>
            </w:tcBorders>
          </w:tcPr>
          <w:p w14:paraId="73E8863F">
            <w:pPr>
              <w:keepNext w:val="0"/>
              <w:keepLines w:val="0"/>
              <w:pageBreakBefore w:val="0"/>
              <w:widowControl w:val="0"/>
              <w:numPr>
                <w:ilvl w:val="0"/>
                <w:numId w:val="6"/>
              </w:numPr>
              <w:suppressLineNumbers w:val="0"/>
              <w:shd w:val="clear"/>
              <w:kinsoku/>
              <w:wordWrap/>
              <w:overflowPunct/>
              <w:topLinePunct w:val="0"/>
              <w:autoSpaceDE w:val="0"/>
              <w:autoSpaceDN w:val="0"/>
              <w:bidi w:val="0"/>
              <w:adjustRightInd w:val="0"/>
              <w:snapToGrid/>
              <w:spacing w:beforeAutospacing="0" w:after="0" w:afterAutospacing="0" w:line="480" w:lineRule="exact"/>
              <w:ind w:right="0" w:rightChars="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本项目工程概况</w:t>
            </w:r>
          </w:p>
          <w:p w14:paraId="1864F5A7">
            <w:pPr>
              <w:shd w:val="clear"/>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项目名称：</w:t>
            </w:r>
            <w:r>
              <w:rPr>
                <w:rFonts w:hint="eastAsia" w:cs="Times New Roman"/>
                <w:color w:val="000000" w:themeColor="text1"/>
                <w:sz w:val="24"/>
                <w:szCs w:val="24"/>
                <w:highlight w:val="none"/>
                <w:lang w:val="en-US" w:eastAsia="zh-CN"/>
                <w14:textFill>
                  <w14:solidFill>
                    <w14:schemeClr w14:val="tx1"/>
                  </w14:solidFill>
                </w14:textFill>
              </w:rPr>
              <w:t>滦州市耀隆宝峰矿业有限公司新增破碎筛分设备技术改造项目</w:t>
            </w:r>
            <w:r>
              <w:rPr>
                <w:rFonts w:hint="default" w:ascii="Times New Roman" w:hAnsi="Times New Roman" w:cs="Times New Roman"/>
                <w:color w:val="000000" w:themeColor="text1"/>
                <w:highlight w:val="none"/>
                <w14:textFill>
                  <w14:solidFill>
                    <w14:schemeClr w14:val="tx1"/>
                  </w14:solidFill>
                </w14:textFill>
              </w:rPr>
              <w:t>。</w:t>
            </w:r>
          </w:p>
          <w:p w14:paraId="0B5282E9">
            <w:pPr>
              <w:shd w:val="clear"/>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建设单位：</w:t>
            </w:r>
            <w:r>
              <w:rPr>
                <w:rFonts w:hint="eastAsia" w:cs="Times New Roman"/>
                <w:color w:val="000000" w:themeColor="text1"/>
                <w:sz w:val="24"/>
                <w:szCs w:val="24"/>
                <w:highlight w:val="none"/>
                <w:lang w:val="en-US" w:eastAsia="zh-CN"/>
                <w14:textFill>
                  <w14:solidFill>
                    <w14:schemeClr w14:val="tx1"/>
                  </w14:solidFill>
                </w14:textFill>
              </w:rPr>
              <w:t>滦州市耀隆宝峰矿业有限公司</w:t>
            </w:r>
            <w:r>
              <w:rPr>
                <w:rFonts w:hint="default" w:ascii="Times New Roman" w:hAnsi="Times New Roman" w:cs="Times New Roman"/>
                <w:color w:val="000000" w:themeColor="text1"/>
                <w:highlight w:val="none"/>
                <w14:textFill>
                  <w14:solidFill>
                    <w14:schemeClr w14:val="tx1"/>
                  </w14:solidFill>
                </w14:textFill>
              </w:rPr>
              <w:t>。</w:t>
            </w:r>
          </w:p>
          <w:p w14:paraId="4E4494C2">
            <w:pPr>
              <w:shd w:val="clear"/>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建设性质：</w:t>
            </w:r>
            <w:r>
              <w:rPr>
                <w:rFonts w:hint="eastAsia" w:cs="Times New Roman"/>
                <w:color w:val="000000" w:themeColor="text1"/>
                <w:highlight w:val="none"/>
                <w:lang w:eastAsia="zh-CN"/>
                <w14:textFill>
                  <w14:solidFill>
                    <w14:schemeClr w14:val="tx1"/>
                  </w14:solidFill>
                </w14:textFill>
              </w:rPr>
              <w:t>技术改造</w:t>
            </w:r>
            <w:r>
              <w:rPr>
                <w:rFonts w:hint="default" w:ascii="Times New Roman" w:hAnsi="Times New Roman" w:cs="Times New Roman"/>
                <w:color w:val="000000" w:themeColor="text1"/>
                <w:highlight w:val="none"/>
                <w14:textFill>
                  <w14:solidFill>
                    <w14:schemeClr w14:val="tx1"/>
                  </w14:solidFill>
                </w14:textFill>
              </w:rPr>
              <w:t>。</w:t>
            </w:r>
          </w:p>
          <w:p w14:paraId="02AB691F">
            <w:pPr>
              <w:shd w:val="clear"/>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4、</w:t>
            </w:r>
            <w:r>
              <w:rPr>
                <w:rFonts w:hint="default" w:ascii="Times New Roman" w:hAnsi="Times New Roman" w:cs="Times New Roman"/>
                <w:color w:val="000000" w:themeColor="text1"/>
                <w:highlight w:val="none"/>
                <w14:textFill>
                  <w14:solidFill>
                    <w14:schemeClr w14:val="tx1"/>
                  </w14:solidFill>
                </w14:textFill>
              </w:rPr>
              <w:t>建设地点：</w:t>
            </w:r>
            <w:r>
              <w:rPr>
                <w:rFonts w:hint="eastAsia" w:cs="Times New Roman"/>
                <w:color w:val="000000" w:themeColor="text1"/>
                <w:sz w:val="24"/>
                <w:szCs w:val="24"/>
                <w:highlight w:val="none"/>
                <w:lang w:val="en-US" w:eastAsia="zh-CN"/>
                <w14:textFill>
                  <w14:solidFill>
                    <w14:schemeClr w14:val="tx1"/>
                  </w14:solidFill>
                </w14:textFill>
              </w:rPr>
              <w:t>河北省唐山市滦州市雷庄镇耀隆宝峰矿业有限公司院内</w:t>
            </w:r>
            <w:r>
              <w:rPr>
                <w:rFonts w:hint="default" w:ascii="Times New Roman" w:hAnsi="Times New Roman" w:cs="Times New Roman"/>
                <w:color w:val="000000" w:themeColor="text1"/>
                <w:highlight w:val="none"/>
                <w14:textFill>
                  <w14:solidFill>
                    <w14:schemeClr w14:val="tx1"/>
                  </w14:solidFill>
                </w14:textFill>
              </w:rPr>
              <w:t>。</w:t>
            </w:r>
          </w:p>
          <w:p w14:paraId="28B6ED7F">
            <w:pPr>
              <w:shd w:val="clear"/>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5、项目组成：本项目利用原有建设用地，新建厂房5000m</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highlight w:val="none"/>
                <w:lang w:val="en-US" w:eastAsia="zh-CN"/>
                <w14:textFill>
                  <w14:solidFill>
                    <w14:schemeClr w14:val="tx1"/>
                  </w14:solidFill>
                </w14:textFill>
              </w:rPr>
              <w:t>，新增设备500</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750mm颚式破碎机1台</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1200mm圆锥破碎机1台</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650mm皮带输送机</w:t>
            </w:r>
            <w:r>
              <w:rPr>
                <w:rFonts w:hint="eastAsia" w:cs="Times New Roman"/>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台</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2</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6m</w:t>
            </w:r>
            <w:r>
              <w:rPr>
                <w:rFonts w:hint="eastAsia" w:cs="Times New Roman"/>
                <w:color w:val="000000" w:themeColor="text1"/>
                <w:highlight w:val="none"/>
                <w:lang w:val="en-US" w:eastAsia="zh-CN"/>
                <w14:textFill>
                  <w14:solidFill>
                    <w14:schemeClr w14:val="tx1"/>
                  </w14:solidFill>
                </w14:textFill>
              </w:rPr>
              <w:t>往复式摇筛</w:t>
            </w:r>
            <w:r>
              <w:rPr>
                <w:rFonts w:hint="default" w:ascii="Times New Roman" w:hAnsi="Times New Roman" w:eastAsia="宋体" w:cs="Times New Roman"/>
                <w:color w:val="000000" w:themeColor="text1"/>
                <w:highlight w:val="none"/>
                <w:lang w:val="en-US" w:eastAsia="zh-CN"/>
                <w14:textFill>
                  <w14:solidFill>
                    <w14:schemeClr w14:val="tx1"/>
                  </w14:solidFill>
                </w14:textFill>
              </w:rPr>
              <w:t>1台</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布袋除尘器1台，提高了预先产品筛分质量。技改完成后，产能不变。</w:t>
            </w:r>
          </w:p>
          <w:p w14:paraId="2685A512">
            <w:pPr>
              <w:shd w:val="clear"/>
              <w:bidi w:val="0"/>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本项目建设内容一览表</w:t>
            </w:r>
            <w:r>
              <w:rPr>
                <w:rFonts w:hint="eastAsia" w:ascii="Times New Roman" w:hAnsi="Times New Roman" w:eastAsia="宋体" w:cs="Times New Roman"/>
                <w:color w:val="000000" w:themeColor="text1"/>
                <w:highlight w:val="none"/>
                <w:lang w:val="en-US" w:eastAsia="zh-CN"/>
                <w14:textFill>
                  <w14:solidFill>
                    <w14:schemeClr w14:val="tx1"/>
                  </w14:solidFill>
                </w14:textFill>
              </w:rPr>
              <w:t>见</w:t>
            </w:r>
            <w:r>
              <w:rPr>
                <w:rFonts w:hint="eastAsia" w:cs="Times New Roman"/>
                <w:color w:val="000000" w:themeColor="text1"/>
                <w:highlight w:val="none"/>
                <w:lang w:val="en-US" w:eastAsia="zh-CN"/>
                <w14:textFill>
                  <w14:solidFill>
                    <w14:schemeClr w14:val="tx1"/>
                  </w14:solidFill>
                </w14:textFill>
              </w:rPr>
              <w:t>下</w:t>
            </w:r>
            <w:r>
              <w:rPr>
                <w:rFonts w:hint="eastAsia" w:ascii="Times New Roman" w:hAnsi="Times New Roman" w:eastAsia="宋体" w:cs="Times New Roman"/>
                <w:color w:val="000000" w:themeColor="text1"/>
                <w:highlight w:val="none"/>
                <w:lang w:val="en-US" w:eastAsia="zh-CN"/>
                <w14:textFill>
                  <w14:solidFill>
                    <w14:schemeClr w14:val="tx1"/>
                  </w14:solidFill>
                </w14:textFill>
              </w:rPr>
              <w:t>表。</w:t>
            </w:r>
          </w:p>
          <w:p w14:paraId="1857BE32">
            <w:pPr>
              <w:pStyle w:val="2"/>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7A5EA46A">
            <w:pPr>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112BD004">
            <w:pPr>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1257D9F6">
            <w:pPr>
              <w:pStyle w:val="2"/>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2BC242C6">
            <w:pPr>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20952711">
            <w:pPr>
              <w:pStyle w:val="2"/>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6B5D8521">
            <w:pPr>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11618A24">
            <w:pPr>
              <w:pStyle w:val="2"/>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1739BAC4">
            <w:pPr>
              <w:shd w:val="clear"/>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4DB22851">
            <w:pPr>
              <w:pStyle w:val="2"/>
              <w:shd w:val="clear"/>
              <w:ind w:left="0" w:leftChars="0" w:firstLine="0" w:firstLineChars="0"/>
              <w:rPr>
                <w:rFonts w:hint="default"/>
                <w:color w:val="000000" w:themeColor="text1"/>
                <w:highlight w:val="none"/>
                <w:lang w:val="en-US" w:eastAsia="zh-CN"/>
                <w14:textFill>
                  <w14:solidFill>
                    <w14:schemeClr w14:val="tx1"/>
                  </w14:solidFill>
                </w14:textFill>
              </w:rPr>
            </w:pPr>
          </w:p>
        </w:tc>
      </w:tr>
    </w:tbl>
    <w:p w14:paraId="6D3D5EA0">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autofit"/>
        <w:tblCellMar>
          <w:top w:w="0" w:type="dxa"/>
          <w:left w:w="108" w:type="dxa"/>
          <w:bottom w:w="0" w:type="dxa"/>
          <w:right w:w="108" w:type="dxa"/>
        </w:tblCellMar>
      </w:tblPr>
      <w:tblGrid>
        <w:gridCol w:w="902"/>
        <w:gridCol w:w="13272"/>
      </w:tblGrid>
      <w:tr w14:paraId="6FE7F2B0">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c>
          <w:tcPr>
            <w:tcW w:w="902" w:type="dxa"/>
            <w:tcBorders>
              <w:tl2br w:val="nil"/>
              <w:tr2bl w:val="nil"/>
            </w:tcBorders>
          </w:tcPr>
          <w:p w14:paraId="09378DB8">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tc>
        <w:tc>
          <w:tcPr>
            <w:tcW w:w="13272" w:type="dxa"/>
            <w:tcBorders>
              <w:tl2br w:val="nil"/>
              <w:tr2bl w:val="nil"/>
            </w:tcBorders>
          </w:tcPr>
          <w:p w14:paraId="518A6381">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本项目建设内容一览表</w:t>
            </w:r>
          </w:p>
          <w:tbl>
            <w:tblPr>
              <w:tblStyle w:val="32"/>
              <w:tblW w:w="1286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autofit"/>
              <w:tblCellMar>
                <w:top w:w="0" w:type="dxa"/>
                <w:left w:w="108" w:type="dxa"/>
                <w:bottom w:w="0" w:type="dxa"/>
                <w:right w:w="108" w:type="dxa"/>
              </w:tblCellMar>
            </w:tblPr>
            <w:tblGrid>
              <w:gridCol w:w="1059"/>
              <w:gridCol w:w="1688"/>
              <w:gridCol w:w="769"/>
              <w:gridCol w:w="8205"/>
              <w:gridCol w:w="1146"/>
            </w:tblGrid>
            <w:tr w14:paraId="5CF79FA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PrEx>
              <w:trPr>
                <w:trHeight w:val="442" w:hRule="atLeast"/>
                <w:jc w:val="center"/>
              </w:trPr>
              <w:tc>
                <w:tcPr>
                  <w:tcW w:w="1059" w:type="dxa"/>
                  <w:tcBorders>
                    <w:tl2br w:val="nil"/>
                    <w:tr2bl w:val="nil"/>
                  </w:tcBorders>
                  <w:noWrap w:val="0"/>
                  <w:vAlign w:val="center"/>
                </w:tcPr>
                <w:p w14:paraId="0866E68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工程类别</w:t>
                  </w:r>
                </w:p>
              </w:tc>
              <w:tc>
                <w:tcPr>
                  <w:tcW w:w="1688" w:type="dxa"/>
                  <w:tcBorders>
                    <w:tl2br w:val="nil"/>
                    <w:tr2bl w:val="nil"/>
                  </w:tcBorders>
                  <w:noWrap w:val="0"/>
                  <w:vAlign w:val="center"/>
                </w:tcPr>
                <w:p w14:paraId="70B16A7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项目名称</w:t>
                  </w:r>
                </w:p>
              </w:tc>
              <w:tc>
                <w:tcPr>
                  <w:tcW w:w="8974" w:type="dxa"/>
                  <w:gridSpan w:val="2"/>
                  <w:tcBorders>
                    <w:tl2br w:val="nil"/>
                    <w:tr2bl w:val="nil"/>
                  </w:tcBorders>
                  <w:noWrap w:val="0"/>
                  <w:vAlign w:val="center"/>
                </w:tcPr>
                <w:p w14:paraId="5B3A485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建设内容</w:t>
                  </w:r>
                </w:p>
              </w:tc>
              <w:tc>
                <w:tcPr>
                  <w:tcW w:w="1146" w:type="dxa"/>
                  <w:tcBorders>
                    <w:tl2br w:val="nil"/>
                    <w:tr2bl w:val="nil"/>
                  </w:tcBorders>
                  <w:noWrap w:val="0"/>
                  <w:vAlign w:val="center"/>
                </w:tcPr>
                <w:p w14:paraId="793A55B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备注</w:t>
                  </w:r>
                </w:p>
              </w:tc>
            </w:tr>
            <w:tr w14:paraId="31FED09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911" w:hRule="atLeast"/>
                <w:jc w:val="center"/>
              </w:trPr>
              <w:tc>
                <w:tcPr>
                  <w:tcW w:w="1059" w:type="dxa"/>
                  <w:tcBorders>
                    <w:tl2br w:val="nil"/>
                    <w:tr2bl w:val="nil"/>
                  </w:tcBorders>
                  <w:noWrap w:val="0"/>
                  <w:vAlign w:val="center"/>
                </w:tcPr>
                <w:p w14:paraId="01BFA4B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主体工程</w:t>
                  </w:r>
                </w:p>
              </w:tc>
              <w:tc>
                <w:tcPr>
                  <w:tcW w:w="1688" w:type="dxa"/>
                  <w:tcBorders>
                    <w:tl2br w:val="nil"/>
                    <w:tr2bl w:val="nil"/>
                  </w:tcBorders>
                  <w:noWrap w:val="0"/>
                  <w:vAlign w:val="center"/>
                </w:tcPr>
                <w:p w14:paraId="524BD1E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预处理车间</w:t>
                  </w:r>
                </w:p>
              </w:tc>
              <w:tc>
                <w:tcPr>
                  <w:tcW w:w="8974" w:type="dxa"/>
                  <w:gridSpan w:val="2"/>
                  <w:tcBorders>
                    <w:tl2br w:val="nil"/>
                    <w:tr2bl w:val="nil"/>
                  </w:tcBorders>
                  <w:noWrap w:val="0"/>
                  <w:vAlign w:val="center"/>
                </w:tcPr>
                <w:p w14:paraId="2D617E95">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新建厂房建筑面积为</w:t>
                  </w:r>
                  <w:r>
                    <w:rPr>
                      <w:rStyle w:val="35"/>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5000</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，建筑尺寸</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（长×宽×高）：100m×50m×8m</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，新增生产设备布置</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于该厂房内。该厂房主要功能为原料预处理，同时用于不合格矿石原料的暂存；通过预处理工序将不合格矿石原料加工为合格原料，</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预处理车间与原料库连通布置，不单独设置对外门，统一利用原料库门进行人员及物料通行，</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合格</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矿石原料可密闭输送</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至现有工程原料库，实现与现有工程的衔接。</w:t>
                  </w:r>
                </w:p>
              </w:tc>
              <w:tc>
                <w:tcPr>
                  <w:tcW w:w="1146" w:type="dxa"/>
                  <w:tcBorders>
                    <w:tl2br w:val="nil"/>
                    <w:tr2bl w:val="nil"/>
                  </w:tcBorders>
                  <w:noWrap w:val="0"/>
                  <w:vAlign w:val="center"/>
                </w:tcPr>
                <w:p w14:paraId="518C3E60">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新增</w:t>
                  </w:r>
                </w:p>
              </w:tc>
            </w:tr>
            <w:tr w14:paraId="54930BE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2" w:hRule="atLeast"/>
                <w:jc w:val="center"/>
              </w:trPr>
              <w:tc>
                <w:tcPr>
                  <w:tcW w:w="1059" w:type="dxa"/>
                  <w:tcBorders>
                    <w:tl2br w:val="nil"/>
                    <w:tr2bl w:val="nil"/>
                  </w:tcBorders>
                  <w:noWrap w:val="0"/>
                  <w:vAlign w:val="center"/>
                </w:tcPr>
                <w:p w14:paraId="423F2D4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辅助</w:t>
                  </w:r>
                  <w:r>
                    <w:rPr>
                      <w:rFonts w:hint="default" w:ascii="Times New Roman" w:hAnsi="Times New Roman" w:cs="Times New Roman"/>
                      <w:color w:val="000000" w:themeColor="text1"/>
                      <w:sz w:val="21"/>
                      <w:szCs w:val="21"/>
                      <w:highlight w:val="none"/>
                      <w14:textFill>
                        <w14:solidFill>
                          <w14:schemeClr w14:val="tx1"/>
                        </w14:solidFill>
                      </w14:textFill>
                    </w:rPr>
                    <w:t>工程</w:t>
                  </w:r>
                </w:p>
              </w:tc>
              <w:tc>
                <w:tcPr>
                  <w:tcW w:w="1688" w:type="dxa"/>
                  <w:tcBorders>
                    <w:tl2br w:val="nil"/>
                    <w:tr2bl w:val="nil"/>
                  </w:tcBorders>
                  <w:noWrap w:val="0"/>
                  <w:vAlign w:val="center"/>
                </w:tcPr>
                <w:p w14:paraId="4E9C117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办公区</w:t>
                  </w:r>
                </w:p>
              </w:tc>
              <w:tc>
                <w:tcPr>
                  <w:tcW w:w="8974" w:type="dxa"/>
                  <w:gridSpan w:val="2"/>
                  <w:tcBorders>
                    <w:tl2br w:val="nil"/>
                    <w:tr2bl w:val="nil"/>
                  </w:tcBorders>
                  <w:noWrap w:val="0"/>
                  <w:vAlign w:val="center"/>
                </w:tcPr>
                <w:p w14:paraId="5BB1A31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依托原有办公室</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7592DF0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依托现有</w:t>
                  </w:r>
                </w:p>
              </w:tc>
            </w:tr>
            <w:tr w14:paraId="68129D3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2" w:hRule="atLeast"/>
                <w:jc w:val="center"/>
              </w:trPr>
              <w:tc>
                <w:tcPr>
                  <w:tcW w:w="1059" w:type="dxa"/>
                  <w:vMerge w:val="restart"/>
                  <w:tcBorders>
                    <w:tl2br w:val="nil"/>
                    <w:tr2bl w:val="nil"/>
                  </w:tcBorders>
                  <w:noWrap w:val="0"/>
                  <w:vAlign w:val="center"/>
                </w:tcPr>
                <w:p w14:paraId="2DD5BB3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公用</w:t>
                  </w:r>
                  <w:r>
                    <w:rPr>
                      <w:rFonts w:hint="default" w:ascii="Times New Roman" w:hAnsi="Times New Roman" w:cs="Times New Roman"/>
                      <w:color w:val="000000" w:themeColor="text1"/>
                      <w:sz w:val="21"/>
                      <w:szCs w:val="21"/>
                      <w:highlight w:val="none"/>
                      <w14:textFill>
                        <w14:solidFill>
                          <w14:schemeClr w14:val="tx1"/>
                        </w14:solidFill>
                      </w14:textFill>
                    </w:rPr>
                    <w:t>工程</w:t>
                  </w:r>
                </w:p>
              </w:tc>
              <w:tc>
                <w:tcPr>
                  <w:tcW w:w="1688" w:type="dxa"/>
                  <w:tcBorders>
                    <w:tl2br w:val="nil"/>
                    <w:tr2bl w:val="nil"/>
                  </w:tcBorders>
                  <w:noWrap w:val="0"/>
                  <w:vAlign w:val="center"/>
                </w:tcPr>
                <w:p w14:paraId="41770FB3">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z w:val="21"/>
                      <w:szCs w:val="21"/>
                      <w:highlight w:val="none"/>
                      <w14:textFill>
                        <w14:solidFill>
                          <w14:schemeClr w14:val="tx1"/>
                        </w14:solidFill>
                      </w14:textFill>
                    </w:rPr>
                    <w:t>取暖</w:t>
                  </w:r>
                </w:p>
              </w:tc>
              <w:tc>
                <w:tcPr>
                  <w:tcW w:w="8974" w:type="dxa"/>
                  <w:gridSpan w:val="2"/>
                  <w:tcBorders>
                    <w:tl2br w:val="nil"/>
                    <w:tr2bl w:val="nil"/>
                  </w:tcBorders>
                  <w:noWrap w:val="0"/>
                  <w:vAlign w:val="center"/>
                </w:tcPr>
                <w:p w14:paraId="19093DAB">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办公室</w:t>
                  </w:r>
                  <w:r>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t>取暖采用</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单体</w:t>
                  </w:r>
                  <w:r>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t>空调</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，以电为能源，</w:t>
                  </w:r>
                  <w:r>
                    <w:rPr>
                      <w:rFonts w:hint="eastAsia" w:cs="Times New Roman"/>
                      <w:color w:val="000000" w:themeColor="text1"/>
                      <w:sz w:val="21"/>
                      <w:szCs w:val="21"/>
                      <w:highlight w:val="none"/>
                      <w:lang w:val="en-US" w:eastAsia="zh-CN"/>
                      <w14:textFill>
                        <w14:solidFill>
                          <w14:schemeClr w14:val="tx1"/>
                        </w14:solidFill>
                      </w14:textFill>
                    </w:rPr>
                    <w:t>预处理车间</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不设取暖设施</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6274BF89">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eastAsia" w:cs="Times New Roman"/>
                      <w:b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54AE597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09" w:hRule="atLeast"/>
                <w:jc w:val="center"/>
              </w:trPr>
              <w:tc>
                <w:tcPr>
                  <w:tcW w:w="1059" w:type="dxa"/>
                  <w:vMerge w:val="continue"/>
                  <w:tcBorders>
                    <w:tl2br w:val="nil"/>
                    <w:tr2bl w:val="nil"/>
                  </w:tcBorders>
                  <w:noWrap w:val="0"/>
                  <w:vAlign w:val="center"/>
                </w:tcPr>
                <w:p w14:paraId="0C524E5D">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88" w:type="dxa"/>
                  <w:tcBorders>
                    <w:tl2br w:val="nil"/>
                    <w:tr2bl w:val="nil"/>
                  </w:tcBorders>
                  <w:noWrap w:val="0"/>
                  <w:vAlign w:val="center"/>
                </w:tcPr>
                <w:p w14:paraId="32762AA7">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t>给水</w:t>
                  </w:r>
                </w:p>
              </w:tc>
              <w:tc>
                <w:tcPr>
                  <w:tcW w:w="8974" w:type="dxa"/>
                  <w:gridSpan w:val="2"/>
                  <w:tcBorders>
                    <w:tl2br w:val="nil"/>
                    <w:tr2bl w:val="nil"/>
                  </w:tcBorders>
                  <w:noWrap w:val="0"/>
                  <w:vAlign w:val="center"/>
                </w:tcPr>
                <w:p w14:paraId="3EDA202F">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left"/>
                    <w:textAlignment w:val="auto"/>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本项目用水为生活用水</w:t>
                  </w:r>
                  <w:r>
                    <w:rPr>
                      <w:rFonts w:hint="eastAsia" w:cs="Times New Roman"/>
                      <w:b w:val="0"/>
                      <w:color w:val="000000" w:themeColor="text1"/>
                      <w:sz w:val="21"/>
                      <w:szCs w:val="21"/>
                      <w:highlight w:val="none"/>
                      <w:lang w:val="en-US" w:eastAsia="zh-CN"/>
                      <w14:textFill>
                        <w14:solidFill>
                          <w14:schemeClr w14:val="tx1"/>
                        </w14:solidFill>
                      </w14:textFill>
                    </w:rPr>
                    <w:t>、喷淋抑尘水以及洗车用水，由企业自备水井供给，</w:t>
                  </w:r>
                  <w:r>
                    <w:rPr>
                      <w:rFonts w:hint="eastAsia"/>
                      <w:color w:val="000000" w:themeColor="text1"/>
                      <w:sz w:val="21"/>
                      <w:szCs w:val="21"/>
                      <w:highlight w:val="none"/>
                      <w:lang w:eastAsia="zh-CN"/>
                      <w14:textFill>
                        <w14:solidFill>
                          <w14:schemeClr w14:val="tx1"/>
                        </w14:solidFill>
                      </w14:textFill>
                    </w:rPr>
                    <w:t>企业已取得取水许可证（编号 B130284G2021-18116），许可取水量</w:t>
                  </w:r>
                  <w:r>
                    <w:rPr>
                      <w:rFonts w:hint="eastAsia"/>
                      <w:color w:val="000000" w:themeColor="text1"/>
                      <w:sz w:val="21"/>
                      <w:szCs w:val="21"/>
                      <w:highlight w:val="none"/>
                      <w:lang w:val="en-US" w:eastAsia="zh-CN"/>
                      <w14:textFill>
                        <w14:solidFill>
                          <w14:schemeClr w14:val="tx1"/>
                        </w14:solidFill>
                      </w14:textFill>
                    </w:rPr>
                    <w:t>2.34万m</w:t>
                  </w:r>
                  <w:r>
                    <w:rPr>
                      <w:rFonts w:hint="eastAsia"/>
                      <w:color w:val="000000" w:themeColor="text1"/>
                      <w:sz w:val="21"/>
                      <w:szCs w:val="21"/>
                      <w:highlight w:val="none"/>
                      <w:vertAlign w:val="superscript"/>
                      <w:lang w:val="en-US" w:eastAsia="zh-CN"/>
                      <w14:textFill>
                        <w14:solidFill>
                          <w14:schemeClr w14:val="tx1"/>
                        </w14:solidFill>
                      </w14:textFill>
                    </w:rPr>
                    <w:t>3</w:t>
                  </w:r>
                  <w:r>
                    <w:rPr>
                      <w:rFonts w:hint="eastAsia"/>
                      <w:color w:val="000000" w:themeColor="text1"/>
                      <w:sz w:val="21"/>
                      <w:szCs w:val="21"/>
                      <w:highlight w:val="none"/>
                      <w:lang w:val="en-US" w:eastAsia="zh-CN"/>
                      <w14:textFill>
                        <w14:solidFill>
                          <w14:schemeClr w14:val="tx1"/>
                        </w14:solidFill>
                      </w14:textFill>
                    </w:rPr>
                    <w:t>/a</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4729A2C6">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依托现有</w:t>
                  </w:r>
                </w:p>
              </w:tc>
            </w:tr>
            <w:tr w14:paraId="1C53E22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7" w:hRule="atLeast"/>
                <w:jc w:val="center"/>
              </w:trPr>
              <w:tc>
                <w:tcPr>
                  <w:tcW w:w="1059" w:type="dxa"/>
                  <w:vMerge w:val="continue"/>
                  <w:tcBorders>
                    <w:tl2br w:val="nil"/>
                    <w:tr2bl w:val="nil"/>
                  </w:tcBorders>
                  <w:noWrap w:val="0"/>
                  <w:vAlign w:val="center"/>
                </w:tcPr>
                <w:p w14:paraId="4E02532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88" w:type="dxa"/>
                  <w:tcBorders>
                    <w:tl2br w:val="nil"/>
                    <w:tr2bl w:val="nil"/>
                  </w:tcBorders>
                  <w:noWrap w:val="0"/>
                  <w:vAlign w:val="center"/>
                </w:tcPr>
                <w:p w14:paraId="5B72A3E0">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z w:val="21"/>
                      <w:szCs w:val="21"/>
                      <w:highlight w:val="none"/>
                      <w14:textFill>
                        <w14:solidFill>
                          <w14:schemeClr w14:val="tx1"/>
                        </w14:solidFill>
                      </w14:textFill>
                    </w:rPr>
                    <w:t>供电</w:t>
                  </w:r>
                </w:p>
              </w:tc>
              <w:tc>
                <w:tcPr>
                  <w:tcW w:w="8974" w:type="dxa"/>
                  <w:gridSpan w:val="2"/>
                  <w:tcBorders>
                    <w:tl2br w:val="nil"/>
                    <w:tr2bl w:val="nil"/>
                  </w:tcBorders>
                  <w:noWrap w:val="0"/>
                  <w:vAlign w:val="center"/>
                </w:tcPr>
                <w:p w14:paraId="4F2C9AF8">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市政</w:t>
                  </w:r>
                  <w:r>
                    <w:rPr>
                      <w:rFonts w:hint="default" w:ascii="Times New Roman" w:hAnsi="Times New Roman" w:eastAsia="宋体" w:cs="Times New Roman"/>
                      <w:b w:val="0"/>
                      <w:color w:val="000000" w:themeColor="text1"/>
                      <w:sz w:val="21"/>
                      <w:szCs w:val="21"/>
                      <w:highlight w:val="none"/>
                      <w14:textFill>
                        <w14:solidFill>
                          <w14:schemeClr w14:val="tx1"/>
                        </w14:solidFill>
                      </w14:textFill>
                    </w:rPr>
                    <w:t>电网</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5561A37E">
                  <w:pPr>
                    <w:keepNext w:val="0"/>
                    <w:keepLines w:val="0"/>
                    <w:pageBreakBefore w:val="0"/>
                    <w:widowControl w:val="0"/>
                    <w:shd w:val="clear"/>
                    <w:kinsoku/>
                    <w:wordWrap/>
                    <w:overflowPunct/>
                    <w:topLinePunct w:val="0"/>
                    <w:autoSpaceDE/>
                    <w:autoSpaceDN/>
                    <w:bidi w:val="0"/>
                    <w:adjustRightInd/>
                    <w:snapToGrid/>
                    <w:spacing w:line="0" w:lineRule="atLeast"/>
                    <w:ind w:right="0" w:firstLine="0" w:firstLineChars="0"/>
                    <w:jc w:val="center"/>
                    <w:textAlignment w:val="auto"/>
                    <w:rPr>
                      <w:rFonts w:hint="default" w:cs="Times New Roman"/>
                      <w:b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2C239F7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54" w:hRule="atLeast"/>
                <w:jc w:val="center"/>
              </w:trPr>
              <w:tc>
                <w:tcPr>
                  <w:tcW w:w="1059" w:type="dxa"/>
                  <w:vMerge w:val="restart"/>
                  <w:tcBorders>
                    <w:tl2br w:val="nil"/>
                    <w:tr2bl w:val="nil"/>
                  </w:tcBorders>
                  <w:noWrap w:val="0"/>
                  <w:vAlign w:val="center"/>
                </w:tcPr>
                <w:p w14:paraId="2A63F19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储运工程</w:t>
                  </w:r>
                </w:p>
              </w:tc>
              <w:tc>
                <w:tcPr>
                  <w:tcW w:w="1688" w:type="dxa"/>
                  <w:tcBorders>
                    <w:tl2br w:val="nil"/>
                    <w:tr2bl w:val="nil"/>
                  </w:tcBorders>
                  <w:noWrap w:val="0"/>
                  <w:vAlign w:val="center"/>
                </w:tcPr>
                <w:p w14:paraId="1889FFB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不合格矿石原料储存区</w:t>
                  </w:r>
                </w:p>
              </w:tc>
              <w:tc>
                <w:tcPr>
                  <w:tcW w:w="8974" w:type="dxa"/>
                  <w:gridSpan w:val="2"/>
                  <w:tcBorders>
                    <w:tl2br w:val="nil"/>
                    <w:tr2bl w:val="nil"/>
                  </w:tcBorders>
                  <w:noWrap w:val="0"/>
                  <w:vAlign w:val="center"/>
                </w:tcPr>
                <w:p w14:paraId="08FCAE9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both"/>
                    <w:textAlignment w:val="auto"/>
                    <w:rPr>
                      <w:rFonts w:hint="default"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预处理车间设置不合格矿石原料储存区，面积1000m</w:t>
                  </w:r>
                  <w:r>
                    <w:rPr>
                      <w:rFonts w:hint="eastAsia" w:cs="Times New Roman"/>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1E7ECAD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kern w:val="1"/>
                      <w:sz w:val="21"/>
                      <w:szCs w:val="21"/>
                      <w:highlight w:val="none"/>
                      <w:lang w:val="en-US" w:eastAsia="zh-CN" w:bidi="ar-SA"/>
                      <w14:textFill>
                        <w14:solidFill>
                          <w14:schemeClr w14:val="tx1"/>
                        </w14:solidFill>
                      </w14:textFill>
                    </w:rPr>
                    <w:t>新增</w:t>
                  </w:r>
                </w:p>
              </w:tc>
            </w:tr>
            <w:tr w14:paraId="1475F1B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07" w:hRule="atLeast"/>
                <w:jc w:val="center"/>
              </w:trPr>
              <w:tc>
                <w:tcPr>
                  <w:tcW w:w="1059" w:type="dxa"/>
                  <w:vMerge w:val="continue"/>
                  <w:tcBorders>
                    <w:tl2br w:val="nil"/>
                    <w:tr2bl w:val="nil"/>
                  </w:tcBorders>
                  <w:noWrap w:val="0"/>
                  <w:vAlign w:val="center"/>
                </w:tcPr>
                <w:p w14:paraId="174F33F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88" w:type="dxa"/>
                  <w:tcBorders>
                    <w:tl2br w:val="nil"/>
                    <w:tr2bl w:val="nil"/>
                  </w:tcBorders>
                  <w:noWrap w:val="0"/>
                  <w:vAlign w:val="center"/>
                </w:tcPr>
                <w:p w14:paraId="2317805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textAlignment w:val="auto"/>
                    <w:rPr>
                      <w:rFonts w:hint="eastAsia"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合格矿石原料储存区</w:t>
                  </w:r>
                </w:p>
              </w:tc>
              <w:tc>
                <w:tcPr>
                  <w:tcW w:w="8974" w:type="dxa"/>
                  <w:gridSpan w:val="2"/>
                  <w:tcBorders>
                    <w:tl2br w:val="nil"/>
                    <w:tr2bl w:val="nil"/>
                  </w:tcBorders>
                  <w:noWrap w:val="0"/>
                  <w:vAlign w:val="center"/>
                </w:tcPr>
                <w:p w14:paraId="33034900">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both"/>
                    <w:textAlignment w:val="auto"/>
                    <w:rPr>
                      <w:rFonts w:hint="default"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预处理车间设置合格矿石原料储存区，面积500m</w:t>
                  </w:r>
                  <w:r>
                    <w:rPr>
                      <w:rFonts w:hint="eastAsia" w:cs="Times New Roman"/>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1DE2157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kern w:val="1"/>
                      <w:sz w:val="21"/>
                      <w:szCs w:val="21"/>
                      <w:highlight w:val="none"/>
                      <w:lang w:val="en-US" w:eastAsia="zh-CN" w:bidi="ar-SA"/>
                      <w14:textFill>
                        <w14:solidFill>
                          <w14:schemeClr w14:val="tx1"/>
                        </w14:solidFill>
                      </w14:textFill>
                    </w:rPr>
                    <w:t>新增</w:t>
                  </w:r>
                </w:p>
              </w:tc>
            </w:tr>
            <w:tr w14:paraId="73123DC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37" w:hRule="atLeast"/>
                <w:jc w:val="center"/>
              </w:trPr>
              <w:tc>
                <w:tcPr>
                  <w:tcW w:w="1059" w:type="dxa"/>
                  <w:vMerge w:val="continue"/>
                  <w:tcBorders>
                    <w:tl2br w:val="nil"/>
                    <w:tr2bl w:val="nil"/>
                  </w:tcBorders>
                  <w:noWrap w:val="0"/>
                  <w:vAlign w:val="center"/>
                </w:tcPr>
                <w:p w14:paraId="4CEB70A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88" w:type="dxa"/>
                  <w:tcBorders>
                    <w:tl2br w:val="nil"/>
                    <w:tr2bl w:val="nil"/>
                  </w:tcBorders>
                  <w:noWrap w:val="0"/>
                  <w:vAlign w:val="center"/>
                </w:tcPr>
                <w:p w14:paraId="5B342A3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土渣储存区</w:t>
                  </w:r>
                </w:p>
              </w:tc>
              <w:tc>
                <w:tcPr>
                  <w:tcW w:w="8974" w:type="dxa"/>
                  <w:gridSpan w:val="2"/>
                  <w:tcBorders>
                    <w:tl2br w:val="nil"/>
                    <w:tr2bl w:val="nil"/>
                  </w:tcBorders>
                  <w:noWrap w:val="0"/>
                  <w:vAlign w:val="center"/>
                </w:tcPr>
                <w:p w14:paraId="1915A94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both"/>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预处理车间设置土渣储存区，面积1000m</w:t>
                  </w:r>
                  <w:r>
                    <w:rPr>
                      <w:rFonts w:hint="eastAsia" w:cs="Times New Roman"/>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0BFE134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kern w:val="1"/>
                      <w:sz w:val="21"/>
                      <w:szCs w:val="21"/>
                      <w:highlight w:val="none"/>
                      <w:lang w:val="en-US" w:eastAsia="zh-CN" w:bidi="ar-SA"/>
                      <w14:textFill>
                        <w14:solidFill>
                          <w14:schemeClr w14:val="tx1"/>
                        </w14:solidFill>
                      </w14:textFill>
                    </w:rPr>
                    <w:t>新增</w:t>
                  </w:r>
                </w:p>
              </w:tc>
            </w:tr>
            <w:tr w14:paraId="5189A48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27" w:hRule="atLeast"/>
                <w:jc w:val="center"/>
              </w:trPr>
              <w:tc>
                <w:tcPr>
                  <w:tcW w:w="1059" w:type="dxa"/>
                  <w:vMerge w:val="continue"/>
                  <w:tcBorders>
                    <w:tl2br w:val="nil"/>
                    <w:tr2bl w:val="nil"/>
                  </w:tcBorders>
                  <w:noWrap w:val="0"/>
                  <w:vAlign w:val="center"/>
                </w:tcPr>
                <w:p w14:paraId="1A1AF1C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88" w:type="dxa"/>
                  <w:tcBorders>
                    <w:tl2br w:val="nil"/>
                    <w:tr2bl w:val="nil"/>
                  </w:tcBorders>
                  <w:noWrap w:val="0"/>
                  <w:vAlign w:val="center"/>
                </w:tcPr>
                <w:p w14:paraId="54E3E6A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textAlignment w:val="auto"/>
                    <w:rPr>
                      <w:rFonts w:hint="eastAsia"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储运工程</w:t>
                  </w:r>
                </w:p>
              </w:tc>
              <w:tc>
                <w:tcPr>
                  <w:tcW w:w="8974" w:type="dxa"/>
                  <w:gridSpan w:val="2"/>
                  <w:tcBorders>
                    <w:tl2br w:val="nil"/>
                    <w:tr2bl w:val="nil"/>
                  </w:tcBorders>
                  <w:noWrap w:val="0"/>
                  <w:vAlign w:val="center"/>
                </w:tcPr>
                <w:p w14:paraId="3172E59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原料运输采用国五</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排放标准重型载货车辆</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1618361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r>
            <w:tr w14:paraId="608E3E2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07" w:hRule="atLeast"/>
                <w:jc w:val="center"/>
              </w:trPr>
              <w:tc>
                <w:tcPr>
                  <w:tcW w:w="1059" w:type="dxa"/>
                  <w:vMerge w:val="restart"/>
                  <w:tcBorders>
                    <w:tl2br w:val="nil"/>
                    <w:tr2bl w:val="nil"/>
                  </w:tcBorders>
                  <w:noWrap w:val="0"/>
                  <w:vAlign w:val="center"/>
                </w:tcPr>
                <w:p w14:paraId="2A3BA54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依托工程</w:t>
                  </w:r>
                </w:p>
              </w:tc>
              <w:tc>
                <w:tcPr>
                  <w:tcW w:w="1688" w:type="dxa"/>
                  <w:tcBorders>
                    <w:tl2br w:val="nil"/>
                    <w:tr2bl w:val="nil"/>
                  </w:tcBorders>
                  <w:shd w:val="clear" w:color="auto" w:fill="auto"/>
                  <w:noWrap w:val="0"/>
                  <w:vAlign w:val="center"/>
                </w:tcPr>
                <w:p w14:paraId="1A7FB38C">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一般固废暂存间</w:t>
                  </w:r>
                </w:p>
              </w:tc>
              <w:tc>
                <w:tcPr>
                  <w:tcW w:w="8974" w:type="dxa"/>
                  <w:gridSpan w:val="2"/>
                  <w:tcBorders>
                    <w:tl2br w:val="nil"/>
                    <w:tr2bl w:val="nil"/>
                  </w:tcBorders>
                  <w:shd w:val="clear" w:color="auto" w:fill="auto"/>
                  <w:noWrap w:val="0"/>
                  <w:vAlign w:val="center"/>
                </w:tcPr>
                <w:p w14:paraId="7BB7936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both"/>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依托现有一般固废暂存间，面积810m</w:t>
                  </w:r>
                  <w:r>
                    <w:rPr>
                      <w:rFonts w:hint="eastAsia" w:cs="Times New Roman"/>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2624006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both"/>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依托现有</w:t>
                  </w:r>
                </w:p>
              </w:tc>
            </w:tr>
            <w:tr w14:paraId="78CB385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77" w:hRule="atLeast"/>
                <w:jc w:val="center"/>
              </w:trPr>
              <w:tc>
                <w:tcPr>
                  <w:tcW w:w="1059" w:type="dxa"/>
                  <w:vMerge w:val="continue"/>
                  <w:tcBorders>
                    <w:tl2br w:val="nil"/>
                    <w:tr2bl w:val="nil"/>
                  </w:tcBorders>
                  <w:noWrap w:val="0"/>
                  <w:vAlign w:val="center"/>
                </w:tcPr>
                <w:p w14:paraId="3AFF078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eastAsia" w:cs="Times New Roman"/>
                      <w:color w:val="000000" w:themeColor="text1"/>
                      <w:sz w:val="21"/>
                      <w:szCs w:val="21"/>
                      <w:highlight w:val="none"/>
                      <w:lang w:eastAsia="zh-CN"/>
                      <w14:textFill>
                        <w14:solidFill>
                          <w14:schemeClr w14:val="tx1"/>
                        </w14:solidFill>
                      </w14:textFill>
                    </w:rPr>
                  </w:pPr>
                </w:p>
              </w:tc>
              <w:tc>
                <w:tcPr>
                  <w:tcW w:w="1688" w:type="dxa"/>
                  <w:tcBorders>
                    <w:tl2br w:val="nil"/>
                    <w:tr2bl w:val="nil"/>
                  </w:tcBorders>
                  <w:shd w:val="clear" w:color="auto" w:fill="auto"/>
                  <w:noWrap w:val="0"/>
                  <w:vAlign w:val="center"/>
                </w:tcPr>
                <w:p w14:paraId="683E81D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textAlignment w:val="auto"/>
                    <w:rPr>
                      <w:rFonts w:hint="eastAsia"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危险废物暂存间</w:t>
                  </w:r>
                </w:p>
              </w:tc>
              <w:tc>
                <w:tcPr>
                  <w:tcW w:w="8974" w:type="dxa"/>
                  <w:gridSpan w:val="2"/>
                  <w:tcBorders>
                    <w:tl2br w:val="nil"/>
                    <w:tr2bl w:val="nil"/>
                  </w:tcBorders>
                  <w:shd w:val="clear" w:color="auto" w:fill="auto"/>
                  <w:noWrap w:val="0"/>
                  <w:vAlign w:val="center"/>
                </w:tcPr>
                <w:p w14:paraId="49E7E245">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both"/>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依托现有危险废物暂存间1座，面积8.75m</w:t>
                  </w:r>
                  <w:r>
                    <w:rPr>
                      <w:rFonts w:hint="eastAsia" w:cs="Times New Roman"/>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4ECE7A8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both"/>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依托现有</w:t>
                  </w:r>
                </w:p>
              </w:tc>
            </w:tr>
            <w:tr w14:paraId="2B56EF7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44" w:hRule="atLeast"/>
                <w:jc w:val="center"/>
              </w:trPr>
              <w:tc>
                <w:tcPr>
                  <w:tcW w:w="1059" w:type="dxa"/>
                  <w:vMerge w:val="restart"/>
                  <w:tcBorders>
                    <w:tl2br w:val="nil"/>
                    <w:tr2bl w:val="nil"/>
                  </w:tcBorders>
                  <w:noWrap w:val="0"/>
                  <w:vAlign w:val="center"/>
                </w:tcPr>
                <w:p w14:paraId="3604D58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环保工程</w:t>
                  </w:r>
                </w:p>
              </w:tc>
              <w:tc>
                <w:tcPr>
                  <w:tcW w:w="1688" w:type="dxa"/>
                  <w:vMerge w:val="restart"/>
                  <w:tcBorders>
                    <w:tl2br w:val="nil"/>
                    <w:tr2bl w:val="nil"/>
                  </w:tcBorders>
                  <w:noWrap w:val="0"/>
                  <w:vAlign w:val="center"/>
                </w:tcPr>
                <w:p w14:paraId="30F6A24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废气</w:t>
                  </w:r>
                </w:p>
              </w:tc>
              <w:tc>
                <w:tcPr>
                  <w:tcW w:w="769" w:type="dxa"/>
                  <w:tcBorders>
                    <w:tl2br w:val="nil"/>
                    <w:tr2bl w:val="nil"/>
                  </w:tcBorders>
                  <w:noWrap w:val="0"/>
                  <w:vAlign w:val="center"/>
                </w:tcPr>
                <w:p w14:paraId="052318F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kern w:val="1"/>
                      <w:sz w:val="21"/>
                      <w:szCs w:val="21"/>
                      <w:highlight w:val="none"/>
                      <w:lang w:val="en-US" w:eastAsia="zh-CN" w:bidi="ar-SA"/>
                      <w14:textFill>
                        <w14:solidFill>
                          <w14:schemeClr w14:val="tx1"/>
                        </w14:solidFill>
                      </w14:textFill>
                    </w:rPr>
                    <w:t>有组织</w:t>
                  </w:r>
                </w:p>
              </w:tc>
              <w:tc>
                <w:tcPr>
                  <w:tcW w:w="8205" w:type="dxa"/>
                  <w:tcBorders>
                    <w:tl2br w:val="nil"/>
                    <w:tr2bl w:val="nil"/>
                  </w:tcBorders>
                  <w:noWrap w:val="0"/>
                  <w:vAlign w:val="center"/>
                </w:tcPr>
                <w:p w14:paraId="6565E7F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t>本项目破碎、筛分工序产生的废气，经1套脉冲布袋除尘器净化处理后，通过1根排气筒（DA002）有组织排放。</w:t>
                  </w:r>
                </w:p>
              </w:tc>
              <w:tc>
                <w:tcPr>
                  <w:tcW w:w="1146" w:type="dxa"/>
                  <w:tcBorders>
                    <w:tl2br w:val="nil"/>
                    <w:tr2bl w:val="nil"/>
                  </w:tcBorders>
                  <w:noWrap w:val="0"/>
                  <w:vAlign w:val="center"/>
                </w:tcPr>
                <w:p w14:paraId="5D78E28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1"/>
                      <w:sz w:val="21"/>
                      <w:szCs w:val="21"/>
                      <w:highlight w:val="none"/>
                      <w:lang w:val="en-US" w:eastAsia="zh-CN" w:bidi="ar-SA"/>
                      <w14:textFill>
                        <w14:solidFill>
                          <w14:schemeClr w14:val="tx1"/>
                        </w14:solidFill>
                      </w14:textFill>
                    </w:rPr>
                    <w:t>新增</w:t>
                  </w:r>
                </w:p>
              </w:tc>
            </w:tr>
            <w:tr w14:paraId="7105B2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89" w:hRule="atLeast"/>
                <w:jc w:val="center"/>
              </w:trPr>
              <w:tc>
                <w:tcPr>
                  <w:tcW w:w="1059" w:type="dxa"/>
                  <w:vMerge w:val="continue"/>
                  <w:tcBorders>
                    <w:tl2br w:val="nil"/>
                    <w:tr2bl w:val="nil"/>
                  </w:tcBorders>
                  <w:noWrap w:val="0"/>
                  <w:vAlign w:val="center"/>
                </w:tcPr>
                <w:p w14:paraId="7729DFE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eastAsia" w:cs="Times New Roman"/>
                      <w:color w:val="000000" w:themeColor="text1"/>
                      <w:sz w:val="21"/>
                      <w:szCs w:val="21"/>
                      <w:highlight w:val="none"/>
                      <w:lang w:val="en-US" w:eastAsia="zh-CN"/>
                      <w14:textFill>
                        <w14:solidFill>
                          <w14:schemeClr w14:val="tx1"/>
                        </w14:solidFill>
                      </w14:textFill>
                    </w:rPr>
                  </w:pPr>
                </w:p>
              </w:tc>
              <w:tc>
                <w:tcPr>
                  <w:tcW w:w="1688" w:type="dxa"/>
                  <w:vMerge w:val="continue"/>
                  <w:tcBorders>
                    <w:tl2br w:val="nil"/>
                    <w:tr2bl w:val="nil"/>
                  </w:tcBorders>
                  <w:noWrap w:val="0"/>
                  <w:vAlign w:val="center"/>
                </w:tcPr>
                <w:p w14:paraId="611B400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769" w:type="dxa"/>
                  <w:tcBorders>
                    <w:tl2br w:val="nil"/>
                    <w:tr2bl w:val="nil"/>
                  </w:tcBorders>
                  <w:noWrap w:val="0"/>
                  <w:vAlign w:val="center"/>
                </w:tcPr>
                <w:p w14:paraId="774687D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kern w:val="1"/>
                      <w:sz w:val="21"/>
                      <w:szCs w:val="21"/>
                      <w:highlight w:val="none"/>
                      <w:lang w:val="en-US" w:eastAsia="zh-CN" w:bidi="ar-SA"/>
                      <w14:textFill>
                        <w14:solidFill>
                          <w14:schemeClr w14:val="tx1"/>
                        </w14:solidFill>
                      </w14:textFill>
                    </w:rPr>
                    <w:t>无组织</w:t>
                  </w:r>
                </w:p>
              </w:tc>
              <w:tc>
                <w:tcPr>
                  <w:tcW w:w="8205" w:type="dxa"/>
                  <w:tcBorders>
                    <w:tl2br w:val="nil"/>
                    <w:tr2bl w:val="nil"/>
                  </w:tcBorders>
                  <w:noWrap w:val="0"/>
                  <w:vAlign w:val="center"/>
                </w:tcPr>
                <w:p w14:paraId="403FCC80">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eastAsia"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t>本项目预处理车间针对无组织排放粉尘，配套设置喷淋抑尘系统</w:t>
                  </w:r>
                  <w:r>
                    <w:rPr>
                      <w:rFonts w:hint="eastAsia" w:cs="Times New Roman"/>
                      <w:color w:val="000000" w:themeColor="text1"/>
                      <w:kern w:val="1"/>
                      <w:sz w:val="21"/>
                      <w:szCs w:val="21"/>
                      <w:highlight w:val="none"/>
                      <w:lang w:val="en-US" w:eastAsia="zh-CN" w:bidi="ar-SA"/>
                      <w14:textFill>
                        <w14:solidFill>
                          <w14:schemeClr w14:val="tx1"/>
                        </w14:solidFill>
                      </w14:textFill>
                    </w:rPr>
                    <w:t>和雾炮</w:t>
                  </w:r>
                  <w:r>
                    <w:rPr>
                      <w:rFonts w:hint="eastAsia"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t>，通过雾化喷淋方式，对车间内产生的无组织废气及粉尘进行雾化、吸附、沉降，有效抑制粉尘无组织扩散。</w:t>
                  </w:r>
                </w:p>
              </w:tc>
              <w:tc>
                <w:tcPr>
                  <w:tcW w:w="1146" w:type="dxa"/>
                  <w:tcBorders>
                    <w:tl2br w:val="nil"/>
                    <w:tr2bl w:val="nil"/>
                  </w:tcBorders>
                  <w:noWrap w:val="0"/>
                  <w:vAlign w:val="center"/>
                </w:tcPr>
                <w:p w14:paraId="09D63F0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cs="Times New Roman"/>
                      <w:color w:val="000000" w:themeColor="text1"/>
                      <w:kern w:val="1"/>
                      <w:sz w:val="21"/>
                      <w:szCs w:val="21"/>
                      <w:highlight w:val="none"/>
                      <w:lang w:val="en-US" w:eastAsia="zh-CN" w:bidi="ar-SA"/>
                      <w14:textFill>
                        <w14:solidFill>
                          <w14:schemeClr w14:val="tx1"/>
                        </w14:solidFill>
                      </w14:textFill>
                    </w:rPr>
                  </w:pPr>
                </w:p>
              </w:tc>
            </w:tr>
            <w:tr w14:paraId="4EA5D6E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37" w:hRule="atLeast"/>
                <w:jc w:val="center"/>
              </w:trPr>
              <w:tc>
                <w:tcPr>
                  <w:tcW w:w="1059" w:type="dxa"/>
                  <w:vMerge w:val="continue"/>
                  <w:tcBorders>
                    <w:tl2br w:val="nil"/>
                    <w:tr2bl w:val="nil"/>
                  </w:tcBorders>
                  <w:noWrap w:val="0"/>
                  <w:vAlign w:val="center"/>
                </w:tcPr>
                <w:p w14:paraId="55245F9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88" w:type="dxa"/>
                  <w:tcBorders>
                    <w:tl2br w:val="nil"/>
                    <w:tr2bl w:val="nil"/>
                  </w:tcBorders>
                  <w:noWrap w:val="0"/>
                  <w:vAlign w:val="center"/>
                </w:tcPr>
                <w:p w14:paraId="6691FCC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废水</w:t>
                  </w:r>
                </w:p>
              </w:tc>
              <w:tc>
                <w:tcPr>
                  <w:tcW w:w="8974" w:type="dxa"/>
                  <w:gridSpan w:val="2"/>
                  <w:tcBorders>
                    <w:tl2br w:val="nil"/>
                    <w:tr2bl w:val="nil"/>
                  </w:tcBorders>
                  <w:noWrap w:val="0"/>
                  <w:vAlign w:val="center"/>
                </w:tcPr>
                <w:p w14:paraId="7EEA903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1"/>
                      <w:sz w:val="21"/>
                      <w:szCs w:val="21"/>
                      <w:highlight w:val="none"/>
                      <w:lang w:val="en-US" w:eastAsia="zh-CN" w:bidi="ar-SA"/>
                      <w14:textFill>
                        <w14:solidFill>
                          <w14:schemeClr w14:val="tx1"/>
                        </w14:solidFill>
                      </w14:textFill>
                    </w:rPr>
                    <w:t>本项目废水主要为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生活污水</w:t>
                  </w:r>
                  <w:r>
                    <w:rPr>
                      <w:rFonts w:hint="eastAsia" w:cs="Times New Roman"/>
                      <w:color w:val="000000" w:themeColor="text1"/>
                      <w:sz w:val="21"/>
                      <w:szCs w:val="21"/>
                      <w:highlight w:val="none"/>
                      <w:lang w:val="en-US" w:eastAsia="zh-CN"/>
                      <w14:textFill>
                        <w14:solidFill>
                          <w14:schemeClr w14:val="tx1"/>
                        </w14:solidFill>
                      </w14:textFill>
                    </w:rPr>
                    <w:t>和洗车废水</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1"/>
                      <w:sz w:val="21"/>
                      <w:szCs w:val="21"/>
                      <w:highlight w:val="none"/>
                      <w:lang w:val="en-US" w:eastAsia="zh-CN" w:bidi="ar-SA"/>
                      <w14:textFill>
                        <w14:solidFill>
                          <w14:schemeClr w14:val="tx1"/>
                        </w14:solidFill>
                      </w14:textFill>
                    </w:rPr>
                    <w:t>生活污水</w:t>
                  </w:r>
                  <w:r>
                    <w:rPr>
                      <w:rFonts w:hint="eastAsia" w:cs="Times New Roman"/>
                      <w:color w:val="000000" w:themeColor="text1"/>
                      <w:kern w:val="1"/>
                      <w:sz w:val="21"/>
                      <w:szCs w:val="21"/>
                      <w:highlight w:val="none"/>
                      <w:lang w:val="en-US" w:eastAsia="zh-CN" w:bidi="ar-SA"/>
                      <w14:textFill>
                        <w14:solidFill>
                          <w14:schemeClr w14:val="tx1"/>
                        </w14:solidFill>
                      </w14:textFill>
                    </w:rPr>
                    <w:t>水质简单，泼洒抑尘，不外排；洗车废水循环使用，不外排。</w:t>
                  </w:r>
                </w:p>
              </w:tc>
              <w:tc>
                <w:tcPr>
                  <w:tcW w:w="1146" w:type="dxa"/>
                  <w:tcBorders>
                    <w:tl2br w:val="nil"/>
                    <w:tr2bl w:val="nil"/>
                  </w:tcBorders>
                  <w:noWrap w:val="0"/>
                  <w:vAlign w:val="center"/>
                </w:tcPr>
                <w:p w14:paraId="4F86EFF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cs="Times New Roman"/>
                      <w:color w:val="000000" w:themeColor="text1"/>
                      <w:kern w:val="1"/>
                      <w:sz w:val="21"/>
                      <w:szCs w:val="21"/>
                      <w:highlight w:val="none"/>
                      <w:lang w:val="en-US" w:eastAsia="zh-CN" w:bidi="ar-SA"/>
                      <w14:textFill>
                        <w14:solidFill>
                          <w14:schemeClr w14:val="tx1"/>
                        </w14:solidFill>
                      </w14:textFill>
                    </w:rPr>
                  </w:pPr>
                  <w:r>
                    <w:rPr>
                      <w:rFonts w:hint="eastAsia" w:cs="Times New Roman"/>
                      <w:color w:val="000000" w:themeColor="text1"/>
                      <w:kern w:val="1"/>
                      <w:sz w:val="21"/>
                      <w:szCs w:val="21"/>
                      <w:highlight w:val="none"/>
                      <w:lang w:val="en-US" w:eastAsia="zh-CN" w:bidi="ar-SA"/>
                      <w14:textFill>
                        <w14:solidFill>
                          <w14:schemeClr w14:val="tx1"/>
                        </w14:solidFill>
                      </w14:textFill>
                    </w:rPr>
                    <w:t>新增</w:t>
                  </w:r>
                </w:p>
              </w:tc>
            </w:tr>
            <w:tr w14:paraId="544B4DE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2" w:hRule="atLeast"/>
                <w:jc w:val="center"/>
              </w:trPr>
              <w:tc>
                <w:tcPr>
                  <w:tcW w:w="1059" w:type="dxa"/>
                  <w:vMerge w:val="continue"/>
                  <w:tcBorders>
                    <w:tl2br w:val="nil"/>
                    <w:tr2bl w:val="nil"/>
                  </w:tcBorders>
                  <w:noWrap w:val="0"/>
                  <w:vAlign w:val="center"/>
                </w:tcPr>
                <w:p w14:paraId="4348426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88" w:type="dxa"/>
                  <w:tcBorders>
                    <w:tl2br w:val="nil"/>
                    <w:tr2bl w:val="nil"/>
                  </w:tcBorders>
                  <w:noWrap w:val="0"/>
                  <w:vAlign w:val="center"/>
                </w:tcPr>
                <w:p w14:paraId="162CA6C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噪声</w:t>
                  </w:r>
                </w:p>
              </w:tc>
              <w:tc>
                <w:tcPr>
                  <w:tcW w:w="8974" w:type="dxa"/>
                  <w:gridSpan w:val="2"/>
                  <w:tcBorders>
                    <w:tl2br w:val="nil"/>
                    <w:tr2bl w:val="nil"/>
                  </w:tcBorders>
                  <w:noWrap w:val="0"/>
                  <w:vAlign w:val="center"/>
                </w:tcPr>
                <w:p w14:paraId="3B896BE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生产设备均置于封闭的生产车间内，基础加装减振垫等</w:t>
                  </w:r>
                  <w:r>
                    <w:rPr>
                      <w:rFonts w:hint="eastAsia" w:cs="Times New Roman"/>
                      <w:color w:val="000000" w:themeColor="text1"/>
                      <w:sz w:val="21"/>
                      <w:szCs w:val="21"/>
                      <w:highlight w:val="none"/>
                      <w:lang w:eastAsia="zh-CN"/>
                      <w14:textFill>
                        <w14:solidFill>
                          <w14:schemeClr w14:val="tx1"/>
                        </w14:solidFill>
                      </w14:textFill>
                    </w:rPr>
                    <w:t>。</w:t>
                  </w:r>
                </w:p>
              </w:tc>
              <w:tc>
                <w:tcPr>
                  <w:tcW w:w="1146" w:type="dxa"/>
                  <w:tcBorders>
                    <w:tl2br w:val="nil"/>
                    <w:tr2bl w:val="nil"/>
                  </w:tcBorders>
                  <w:noWrap w:val="0"/>
                  <w:vAlign w:val="center"/>
                </w:tcPr>
                <w:p w14:paraId="606CA7E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11E4697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1059" w:type="dxa"/>
                  <w:vMerge w:val="continue"/>
                  <w:tcBorders>
                    <w:tl2br w:val="nil"/>
                    <w:tr2bl w:val="nil"/>
                  </w:tcBorders>
                  <w:noWrap w:val="0"/>
                  <w:vAlign w:val="center"/>
                </w:tcPr>
                <w:p w14:paraId="388F0EC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88" w:type="dxa"/>
                  <w:tcBorders>
                    <w:tl2br w:val="nil"/>
                    <w:tr2bl w:val="nil"/>
                  </w:tcBorders>
                  <w:noWrap w:val="0"/>
                  <w:vAlign w:val="center"/>
                </w:tcPr>
                <w:p w14:paraId="3E464D8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固废</w:t>
                  </w:r>
                </w:p>
              </w:tc>
              <w:tc>
                <w:tcPr>
                  <w:tcW w:w="8974" w:type="dxa"/>
                  <w:gridSpan w:val="2"/>
                  <w:tcBorders>
                    <w:tl2br w:val="nil"/>
                    <w:tr2bl w:val="nil"/>
                  </w:tcBorders>
                  <w:noWrap w:val="0"/>
                  <w:vAlign w:val="center"/>
                </w:tcPr>
                <w:p w14:paraId="4852E2E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一般固废：</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布袋除尘器产生的废布袋，</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更换后，直接外售废品回收站</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除尘灰</w:t>
                  </w:r>
                  <w:r>
                    <w:rPr>
                      <w:rFonts w:hint="eastAsia" w:cs="Times New Roman"/>
                      <w:b w:val="0"/>
                      <w:bCs/>
                      <w:color w:val="000000" w:themeColor="text1"/>
                      <w:sz w:val="21"/>
                      <w:szCs w:val="21"/>
                      <w:highlight w:val="none"/>
                      <w:lang w:val="en-US" w:eastAsia="zh-CN"/>
                      <w14:textFill>
                        <w14:solidFill>
                          <w14:schemeClr w14:val="tx1"/>
                        </w14:solidFill>
                      </w14:textFill>
                    </w:rPr>
                    <w:t>集中</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收集</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eastAsia="zh-CN"/>
                      <w14:textFill>
                        <w14:solidFill>
                          <w14:schemeClr w14:val="tx1"/>
                        </w14:solidFill>
                      </w14:textFill>
                    </w:rPr>
                    <w:t>暂存于一般固废暂存间，定期外售水泥厂</w:t>
                  </w:r>
                  <w:r>
                    <w:rPr>
                      <w:rFonts w:hint="eastAsia" w:ascii="Times New Roman" w:hAnsi="Times New Roman" w:eastAsia="宋体" w:cs="Times New Roman"/>
                      <w:b w:val="0"/>
                      <w:bCs/>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沉淀池污泥定期清理，清理后</w:t>
                  </w:r>
                  <w:r>
                    <w:rPr>
                      <w:rFonts w:hint="eastAsia" w:cs="Times New Roman"/>
                      <w:b w:val="0"/>
                      <w:bCs/>
                      <w:color w:val="000000" w:themeColor="text1"/>
                      <w:sz w:val="21"/>
                      <w:szCs w:val="21"/>
                      <w:highlight w:val="none"/>
                      <w:lang w:val="en-US" w:eastAsia="zh-CN"/>
                      <w14:textFill>
                        <w14:solidFill>
                          <w14:schemeClr w14:val="tx1"/>
                        </w14:solidFill>
                      </w14:textFill>
                    </w:rPr>
                    <w:t>直接外售水泥厂</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；土渣暂存于预处理车间土渣储存区，定期外售水泥厂；</w:t>
                  </w:r>
                </w:p>
                <w:p w14:paraId="0A88CD3D">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危险废物：</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废润滑油、</w:t>
                  </w:r>
                  <w:r>
                    <w:rPr>
                      <w:rFonts w:hint="eastAsia" w:cs="Times New Roman"/>
                      <w:color w:val="000000" w:themeColor="text1"/>
                      <w:sz w:val="21"/>
                      <w:szCs w:val="21"/>
                      <w:highlight w:val="none"/>
                      <w:lang w:val="en-US" w:eastAsia="zh-CN"/>
                      <w14:textFill>
                        <w14:solidFill>
                          <w14:schemeClr w14:val="tx1"/>
                        </w14:solidFill>
                      </w14:textFill>
                    </w:rPr>
                    <w:t>废润滑油桶</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分类收集，暂存于危险废物暂存间，定期委托</w:t>
                  </w:r>
                  <w:r>
                    <w:rPr>
                      <w:rFonts w:hint="eastAsia" w:cs="Times New Roman"/>
                      <w:color w:val="000000" w:themeColor="text1"/>
                      <w:sz w:val="21"/>
                      <w:szCs w:val="21"/>
                      <w:highlight w:val="none"/>
                      <w:lang w:val="en-US" w:eastAsia="zh-CN"/>
                      <w14:textFill>
                        <w14:solidFill>
                          <w14:schemeClr w14:val="tx1"/>
                        </w14:solidFill>
                      </w14:textFill>
                    </w:rPr>
                    <w:t>有资质的危险废物处置单位</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进行处置</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p>
                <w:p w14:paraId="3B893F8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left"/>
                    <w:textAlignment w:val="auto"/>
                    <w:rPr>
                      <w:rFonts w:hint="default"/>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本项目职工生活会产生一定量的生活垃圾，集中收集，送当地环卫部门指定地点统一处理</w:t>
                  </w:r>
                  <w:r>
                    <w:rPr>
                      <w:rFonts w:hint="eastAsia" w:cs="Times New Roman"/>
                      <w:color w:val="000000" w:themeColor="text1"/>
                      <w:sz w:val="21"/>
                      <w:szCs w:val="21"/>
                      <w:highlight w:val="none"/>
                      <w:lang w:val="en-US" w:eastAsia="zh-CN"/>
                      <w14:textFill>
                        <w14:solidFill>
                          <w14:schemeClr w14:val="tx1"/>
                        </w14:solidFill>
                      </w14:textFill>
                    </w:rPr>
                    <w:t>。</w:t>
                  </w:r>
                </w:p>
              </w:tc>
              <w:tc>
                <w:tcPr>
                  <w:tcW w:w="1146" w:type="dxa"/>
                  <w:tcBorders>
                    <w:tl2br w:val="nil"/>
                    <w:tr2bl w:val="nil"/>
                  </w:tcBorders>
                  <w:noWrap w:val="0"/>
                  <w:vAlign w:val="center"/>
                </w:tcPr>
                <w:p w14:paraId="75335234">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bl>
          <w:p w14:paraId="3C08AD37">
            <w:pPr>
              <w:keepNext w:val="0"/>
              <w:keepLines w:val="0"/>
              <w:pageBreakBefore w:val="0"/>
              <w:widowControl w:val="0"/>
              <w:numPr>
                <w:ilvl w:val="0"/>
                <w:numId w:val="0"/>
              </w:numPr>
              <w:shd w:val="clear"/>
              <w:tabs>
                <w:tab w:val="left" w:pos="0"/>
              </w:tabs>
              <w:kinsoku/>
              <w:wordWrap/>
              <w:overflowPunct/>
              <w:topLinePunct w:val="0"/>
              <w:autoSpaceDE/>
              <w:autoSpaceDN/>
              <w:bidi w:val="0"/>
              <w:adjustRightInd/>
              <w:snapToGrid/>
              <w:ind w:leftChars="0"/>
              <w:jc w:val="both"/>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715FBEA9">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p w14:paraId="63507E5D">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p w14:paraId="17AAE0B9">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p w14:paraId="568E75D6">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p w14:paraId="2DC46D43">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p w14:paraId="52A1B17E">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p w14:paraId="2C58ED65">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p w14:paraId="1FEC5238">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vertAlign w:val="baseline"/>
                <w14:textFill>
                  <w14:solidFill>
                    <w14:schemeClr w14:val="tx1"/>
                  </w14:solidFill>
                </w14:textFill>
              </w:rPr>
            </w:pPr>
          </w:p>
        </w:tc>
      </w:tr>
    </w:tbl>
    <w:p w14:paraId="15CBAF8E">
      <w:pPr>
        <w:pStyle w:val="29"/>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165"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23"/>
        <w:gridCol w:w="8342"/>
      </w:tblGrid>
      <w:tr w14:paraId="4506135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381" w:hRule="atLeast"/>
          <w:jc w:val="center"/>
        </w:trPr>
        <w:tc>
          <w:tcPr>
            <w:tcW w:w="823" w:type="dxa"/>
            <w:tcBorders>
              <w:tl2br w:val="nil"/>
              <w:tr2bl w:val="nil"/>
            </w:tcBorders>
            <w:noWrap w:val="0"/>
            <w:vAlign w:val="center"/>
          </w:tcPr>
          <w:p w14:paraId="669140B6">
            <w:pPr>
              <w:pStyle w:val="43"/>
              <w:shd w:val="clear"/>
              <w:bidi w:val="0"/>
              <w:rPr>
                <w:rFonts w:hint="default" w:ascii="Times New Roman" w:hAnsi="Times New Roman" w:cs="Times New Roman"/>
                <w:color w:val="000000" w:themeColor="text1"/>
                <w:sz w:val="24"/>
                <w:szCs w:val="24"/>
                <w:highlight w:val="none"/>
                <w14:textFill>
                  <w14:solidFill>
                    <w14:schemeClr w14:val="tx1"/>
                  </w14:solidFill>
                </w14:textFill>
              </w:rPr>
            </w:pPr>
          </w:p>
        </w:tc>
        <w:tc>
          <w:tcPr>
            <w:tcW w:w="8342" w:type="dxa"/>
            <w:tcBorders>
              <w:tl2br w:val="nil"/>
              <w:tr2bl w:val="nil"/>
            </w:tcBorders>
            <w:noWrap w:val="0"/>
            <w:vAlign w:val="top"/>
          </w:tcPr>
          <w:p w14:paraId="4F89495F">
            <w:pPr>
              <w:numPr>
                <w:ilvl w:val="0"/>
                <w:numId w:val="8"/>
              </w:numPr>
              <w:shd w:val="clea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建构筑物</w:t>
            </w:r>
          </w:p>
          <w:p w14:paraId="6BEF094B">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本项目新增建构筑物情况如下：</w:t>
            </w:r>
          </w:p>
          <w:p w14:paraId="0F2FA000">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建构筑物</w:t>
            </w:r>
          </w:p>
          <w:tbl>
            <w:tblPr>
              <w:tblStyle w:val="32"/>
              <w:tblW w:w="7631"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568"/>
              <w:gridCol w:w="1108"/>
              <w:gridCol w:w="900"/>
              <w:gridCol w:w="904"/>
              <w:gridCol w:w="960"/>
              <w:gridCol w:w="3191"/>
            </w:tblGrid>
            <w:tr w14:paraId="15C8ED8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406" w:hRule="atLeast"/>
                <w:jc w:val="center"/>
              </w:trPr>
              <w:tc>
                <w:tcPr>
                  <w:tcW w:w="568" w:type="dxa"/>
                  <w:tcBorders>
                    <w:tl2br w:val="nil"/>
                    <w:tr2bl w:val="nil"/>
                  </w:tcBorders>
                  <w:noWrap w:val="0"/>
                  <w:vAlign w:val="center"/>
                </w:tcPr>
                <w:p w14:paraId="0DCAD5CA">
                  <w:pPr>
                    <w:pStyle w:val="115"/>
                    <w:shd w:val="clear"/>
                    <w:rPr>
                      <w:rFonts w:hint="eastAsia" w:eastAsia="宋体"/>
                      <w:color w:val="000000" w:themeColor="text1"/>
                      <w:highlight w:val="none"/>
                      <w:lang w:eastAsia="zh-CN"/>
                      <w14:textFill>
                        <w14:solidFill>
                          <w14:schemeClr w14:val="tx1"/>
                        </w14:solidFill>
                      </w14:textFill>
                    </w:rPr>
                  </w:pPr>
                  <w:bookmarkStart w:id="2" w:name="OLE_LINK1"/>
                  <w:r>
                    <w:rPr>
                      <w:rFonts w:hint="eastAsia"/>
                      <w:color w:val="000000" w:themeColor="text1"/>
                      <w:highlight w:val="none"/>
                      <w:lang w:eastAsia="zh-CN"/>
                      <w14:textFill>
                        <w14:solidFill>
                          <w14:schemeClr w14:val="tx1"/>
                        </w14:solidFill>
                      </w14:textFill>
                    </w:rPr>
                    <w:t>序号</w:t>
                  </w:r>
                </w:p>
              </w:tc>
              <w:tc>
                <w:tcPr>
                  <w:tcW w:w="1108" w:type="dxa"/>
                  <w:tcBorders>
                    <w:tl2br w:val="nil"/>
                    <w:tr2bl w:val="nil"/>
                  </w:tcBorders>
                  <w:noWrap w:val="0"/>
                  <w:vAlign w:val="center"/>
                </w:tcPr>
                <w:p w14:paraId="3655FA0B">
                  <w:pPr>
                    <w:pStyle w:val="115"/>
                    <w:shd w:val="clea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名称</w:t>
                  </w:r>
                </w:p>
              </w:tc>
              <w:tc>
                <w:tcPr>
                  <w:tcW w:w="900" w:type="dxa"/>
                  <w:tcBorders>
                    <w:tl2br w:val="nil"/>
                    <w:tr2bl w:val="nil"/>
                  </w:tcBorders>
                  <w:shd w:val="clear" w:color="auto" w:fill="auto"/>
                  <w:noWrap w:val="0"/>
                  <w:vAlign w:val="center"/>
                </w:tcPr>
                <w:p w14:paraId="5DE968BA">
                  <w:pPr>
                    <w:pStyle w:val="115"/>
                    <w:shd w:val="clea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面积</w:t>
                  </w:r>
                </w:p>
              </w:tc>
              <w:tc>
                <w:tcPr>
                  <w:tcW w:w="904" w:type="dxa"/>
                  <w:tcBorders>
                    <w:tl2br w:val="nil"/>
                    <w:tr2bl w:val="nil"/>
                  </w:tcBorders>
                  <w:shd w:val="clear" w:color="auto" w:fill="auto"/>
                  <w:noWrap w:val="0"/>
                  <w:vAlign w:val="center"/>
                </w:tcPr>
                <w:p w14:paraId="065CAA7F">
                  <w:pPr>
                    <w:pStyle w:val="115"/>
                    <w:shd w:val="clea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高度</w:t>
                  </w:r>
                </w:p>
              </w:tc>
              <w:tc>
                <w:tcPr>
                  <w:tcW w:w="960" w:type="dxa"/>
                  <w:tcBorders>
                    <w:tl2br w:val="nil"/>
                    <w:tr2bl w:val="nil"/>
                  </w:tcBorders>
                  <w:shd w:val="clear" w:color="auto" w:fill="auto"/>
                  <w:noWrap w:val="0"/>
                  <w:vAlign w:val="center"/>
                </w:tcPr>
                <w:p w14:paraId="6FA4371D">
                  <w:pPr>
                    <w:pStyle w:val="115"/>
                    <w:shd w:val="clear"/>
                    <w:rPr>
                      <w:rFonts w:hint="eastAsia"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层数</w:t>
                  </w:r>
                </w:p>
              </w:tc>
              <w:tc>
                <w:tcPr>
                  <w:tcW w:w="3191" w:type="dxa"/>
                  <w:tcBorders>
                    <w:tl2br w:val="nil"/>
                    <w:tr2bl w:val="nil"/>
                  </w:tcBorders>
                  <w:shd w:val="clear" w:color="auto" w:fill="auto"/>
                  <w:noWrap w:val="0"/>
                  <w:vAlign w:val="center"/>
                </w:tcPr>
                <w:p w14:paraId="00B5D024">
                  <w:pPr>
                    <w:pStyle w:val="115"/>
                    <w:shd w:val="clea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备注</w:t>
                  </w:r>
                </w:p>
              </w:tc>
            </w:tr>
            <w:tr w14:paraId="4D875AF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680" w:hRule="atLeast"/>
                <w:jc w:val="center"/>
              </w:trPr>
              <w:tc>
                <w:tcPr>
                  <w:tcW w:w="568" w:type="dxa"/>
                  <w:tcBorders>
                    <w:tl2br w:val="nil"/>
                    <w:tr2bl w:val="nil"/>
                  </w:tcBorders>
                  <w:noWrap w:val="0"/>
                  <w:vAlign w:val="center"/>
                </w:tcPr>
                <w:p w14:paraId="072F95C6">
                  <w:pPr>
                    <w:pStyle w:val="115"/>
                    <w:shd w:val="clea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1108" w:type="dxa"/>
                  <w:tcBorders>
                    <w:tl2br w:val="nil"/>
                    <w:tr2bl w:val="nil"/>
                  </w:tcBorders>
                  <w:noWrap w:val="0"/>
                  <w:vAlign w:val="center"/>
                </w:tcPr>
                <w:p w14:paraId="52A53565">
                  <w:pPr>
                    <w:pStyle w:val="115"/>
                    <w:shd w:val="clea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预处理车间</w:t>
                  </w:r>
                </w:p>
              </w:tc>
              <w:tc>
                <w:tcPr>
                  <w:tcW w:w="900" w:type="dxa"/>
                  <w:tcBorders>
                    <w:tl2br w:val="nil"/>
                    <w:tr2bl w:val="nil"/>
                  </w:tcBorders>
                  <w:shd w:val="clear" w:color="auto" w:fill="auto"/>
                  <w:noWrap w:val="0"/>
                  <w:vAlign w:val="center"/>
                </w:tcPr>
                <w:p w14:paraId="57CFE00B">
                  <w:pPr>
                    <w:pStyle w:val="115"/>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5000m</w:t>
                  </w:r>
                  <w:r>
                    <w:rPr>
                      <w:rFonts w:hint="eastAsia"/>
                      <w:color w:val="000000" w:themeColor="text1"/>
                      <w:highlight w:val="none"/>
                      <w:vertAlign w:val="superscript"/>
                      <w:lang w:val="en-US" w:eastAsia="zh-CN"/>
                      <w14:textFill>
                        <w14:solidFill>
                          <w14:schemeClr w14:val="tx1"/>
                        </w14:solidFill>
                      </w14:textFill>
                    </w:rPr>
                    <w:t>2</w:t>
                  </w:r>
                </w:p>
              </w:tc>
              <w:tc>
                <w:tcPr>
                  <w:tcW w:w="904" w:type="dxa"/>
                  <w:tcBorders>
                    <w:tl2br w:val="nil"/>
                    <w:tr2bl w:val="nil"/>
                  </w:tcBorders>
                  <w:shd w:val="clear" w:color="auto" w:fill="auto"/>
                  <w:noWrap w:val="0"/>
                  <w:vAlign w:val="center"/>
                </w:tcPr>
                <w:p w14:paraId="3EC64508">
                  <w:pPr>
                    <w:pStyle w:val="115"/>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8m</w:t>
                  </w:r>
                </w:p>
              </w:tc>
              <w:tc>
                <w:tcPr>
                  <w:tcW w:w="960" w:type="dxa"/>
                  <w:tcBorders>
                    <w:tl2br w:val="nil"/>
                    <w:tr2bl w:val="nil"/>
                  </w:tcBorders>
                  <w:shd w:val="clear" w:color="auto" w:fill="auto"/>
                  <w:noWrap w:val="0"/>
                  <w:vAlign w:val="center"/>
                </w:tcPr>
                <w:p w14:paraId="048C12BB">
                  <w:pPr>
                    <w:pStyle w:val="115"/>
                    <w:shd w:val="clea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p>
              </w:tc>
              <w:tc>
                <w:tcPr>
                  <w:tcW w:w="3191" w:type="dxa"/>
                  <w:tcBorders>
                    <w:tl2br w:val="nil"/>
                    <w:tr2bl w:val="nil"/>
                  </w:tcBorders>
                  <w:shd w:val="clear" w:color="auto" w:fill="auto"/>
                  <w:noWrap w:val="0"/>
                  <w:vAlign w:val="center"/>
                </w:tcPr>
                <w:p w14:paraId="5048890D">
                  <w:pPr>
                    <w:pStyle w:val="115"/>
                    <w:shd w:val="clea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长×宽：</w:t>
                  </w:r>
                  <w:r>
                    <w:rPr>
                      <w:rFonts w:hint="eastAsia" w:cs="Times New Roman"/>
                      <w:color w:val="000000" w:themeColor="text1"/>
                      <w:sz w:val="21"/>
                      <w:szCs w:val="21"/>
                      <w:highlight w:val="none"/>
                      <w:lang w:val="en-US" w:eastAsia="zh-CN"/>
                      <w14:textFill>
                        <w14:solidFill>
                          <w14:schemeClr w14:val="tx1"/>
                        </w14:solidFill>
                      </w14:textFill>
                    </w:rPr>
                    <w:t>100m×50m</w:t>
                  </w:r>
                </w:p>
                <w:p w14:paraId="3F6BF234">
                  <w:pPr>
                    <w:pStyle w:val="115"/>
                    <w:shd w:val="clea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围护结构：基础墙+单层彩钢板</w:t>
                  </w:r>
                </w:p>
              </w:tc>
            </w:tr>
            <w:bookmarkEnd w:id="2"/>
          </w:tbl>
          <w:p w14:paraId="4501433F">
            <w:pPr>
              <w:numPr>
                <w:ilvl w:val="0"/>
                <w:numId w:val="8"/>
              </w:numPr>
              <w:shd w:val="clea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工作制度及劳动定员：本项目</w:t>
            </w:r>
            <w:r>
              <w:rPr>
                <w:rFonts w:hint="eastAsia" w:cs="Times New Roman"/>
                <w:color w:val="000000" w:themeColor="text1"/>
                <w:sz w:val="24"/>
                <w:szCs w:val="24"/>
                <w:highlight w:val="none"/>
                <w:lang w:val="en-US" w:eastAsia="zh-CN"/>
                <w14:textFill>
                  <w14:solidFill>
                    <w14:schemeClr w14:val="tx1"/>
                  </w14:solidFill>
                </w14:textFill>
              </w:rPr>
              <w:t>技改完成后，新增劳动定员9人，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年工作300天，每天</w:t>
            </w:r>
            <w:r>
              <w:rPr>
                <w:rFonts w:hint="eastAsia"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班，每班8小时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324ABB79">
            <w:pPr>
              <w:numPr>
                <w:ilvl w:val="0"/>
                <w:numId w:val="8"/>
              </w:numPr>
              <w:shd w:val="clear"/>
              <w:bidi w:val="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主要产品及产能</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本项目建成后，</w:t>
            </w:r>
            <w:r>
              <w:rPr>
                <w:rStyle w:val="35"/>
                <w:rFonts w:ascii="宋体" w:hAnsi="宋体" w:eastAsia="宋体" w:cs="宋体"/>
                <w:b/>
                <w:bCs/>
                <w:color w:val="000000" w:themeColor="text1"/>
                <w:sz w:val="24"/>
                <w:szCs w:val="24"/>
                <w:highlight w:val="none"/>
                <w14:textFill>
                  <w14:solidFill>
                    <w14:schemeClr w14:val="tx1"/>
                  </w14:solidFill>
                </w14:textFill>
              </w:rPr>
              <w:t>不新增产品产能</w:t>
            </w:r>
            <w:r>
              <w:rPr>
                <w:rFonts w:ascii="宋体" w:hAnsi="宋体" w:eastAsia="宋体" w:cs="宋体"/>
                <w:color w:val="000000" w:themeColor="text1"/>
                <w:sz w:val="24"/>
                <w:szCs w:val="24"/>
                <w:highlight w:val="none"/>
                <w14:textFill>
                  <w14:solidFill>
                    <w14:schemeClr w14:val="tx1"/>
                  </w14:solidFill>
                </w14:textFill>
              </w:rPr>
              <w:t>，生产规模、产品种类及产能指标均维持现有工程水平，不发生变化</w:t>
            </w:r>
            <w:r>
              <w:rPr>
                <w:rFonts w:hint="eastAsia" w:cs="Times New Roman"/>
                <w:color w:val="000000" w:themeColor="text1"/>
                <w:sz w:val="24"/>
                <w:szCs w:val="24"/>
                <w:highlight w:val="none"/>
                <w:lang w:val="en-US" w:eastAsia="zh-CN"/>
                <w14:textFill>
                  <w14:solidFill>
                    <w14:schemeClr w14:val="tx1"/>
                  </w14:solidFill>
                </w14:textFill>
              </w:rPr>
              <w:t>。</w:t>
            </w:r>
          </w:p>
          <w:p w14:paraId="5B513F0E">
            <w:pPr>
              <w:numPr>
                <w:ilvl w:val="0"/>
                <w:numId w:val="8"/>
              </w:numPr>
              <w:shd w:val="clear"/>
              <w:bidi w:val="0"/>
              <w:ind w:left="0" w:leftChars="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本项目技改完成后，</w:t>
            </w:r>
            <w:r>
              <w:rPr>
                <w:rFonts w:hint="default" w:ascii="Times New Roman" w:hAnsi="Times New Roman" w:cs="Times New Roman"/>
                <w:color w:val="000000" w:themeColor="text1"/>
                <w:sz w:val="24"/>
                <w:szCs w:val="24"/>
                <w:highlight w:val="none"/>
                <w14:textFill>
                  <w14:solidFill>
                    <w14:schemeClr w14:val="tx1"/>
                  </w14:solidFill>
                </w14:textFill>
              </w:rPr>
              <w:t>主要原辅材料及能源消耗见下表。</w:t>
            </w:r>
          </w:p>
          <w:p w14:paraId="6977BF6C">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本项目技改完成后主要原辅材料及能源消耗</w:t>
            </w:r>
          </w:p>
          <w:tbl>
            <w:tblPr>
              <w:tblStyle w:val="32"/>
              <w:tblW w:w="758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601"/>
              <w:gridCol w:w="1206"/>
              <w:gridCol w:w="1049"/>
              <w:gridCol w:w="869"/>
              <w:gridCol w:w="1195"/>
              <w:gridCol w:w="851"/>
              <w:gridCol w:w="1817"/>
            </w:tblGrid>
            <w:tr w14:paraId="48E0089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8" w:hRule="atLeast"/>
                <w:jc w:val="center"/>
              </w:trPr>
              <w:tc>
                <w:tcPr>
                  <w:tcW w:w="601" w:type="dxa"/>
                  <w:vMerge w:val="restart"/>
                  <w:tcBorders>
                    <w:tl2br w:val="nil"/>
                    <w:tr2bl w:val="nil"/>
                  </w:tcBorders>
                  <w:noWrap w:val="0"/>
                  <w:vAlign w:val="center"/>
                </w:tcPr>
                <w:p w14:paraId="71814AA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序号</w:t>
                  </w:r>
                </w:p>
              </w:tc>
              <w:tc>
                <w:tcPr>
                  <w:tcW w:w="1206" w:type="dxa"/>
                  <w:vMerge w:val="restart"/>
                  <w:tcBorders>
                    <w:tl2br w:val="nil"/>
                    <w:tr2bl w:val="nil"/>
                  </w:tcBorders>
                  <w:noWrap w:val="0"/>
                  <w:vAlign w:val="center"/>
                </w:tcPr>
                <w:p w14:paraId="41A39F61">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名称</w:t>
                  </w:r>
                </w:p>
              </w:tc>
              <w:tc>
                <w:tcPr>
                  <w:tcW w:w="1049" w:type="dxa"/>
                  <w:vMerge w:val="restart"/>
                  <w:tcBorders>
                    <w:tl2br w:val="nil"/>
                    <w:tr2bl w:val="nil"/>
                  </w:tcBorders>
                  <w:noWrap w:val="0"/>
                  <w:vAlign w:val="center"/>
                </w:tcPr>
                <w:p w14:paraId="71E8A74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单位</w:t>
                  </w:r>
                </w:p>
              </w:tc>
              <w:tc>
                <w:tcPr>
                  <w:tcW w:w="2064" w:type="dxa"/>
                  <w:gridSpan w:val="2"/>
                  <w:tcBorders>
                    <w:tl2br w:val="nil"/>
                    <w:tr2bl w:val="nil"/>
                  </w:tcBorders>
                  <w:noWrap w:val="0"/>
                  <w:vAlign w:val="center"/>
                </w:tcPr>
                <w:p w14:paraId="7198E34C">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消耗量</w:t>
                  </w:r>
                </w:p>
              </w:tc>
              <w:tc>
                <w:tcPr>
                  <w:tcW w:w="851" w:type="dxa"/>
                  <w:vMerge w:val="restart"/>
                  <w:tcBorders>
                    <w:tl2br w:val="nil"/>
                    <w:tr2bl w:val="nil"/>
                  </w:tcBorders>
                  <w:noWrap w:val="0"/>
                  <w:vAlign w:val="center"/>
                </w:tcPr>
                <w:p w14:paraId="2D9CFFD9">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变化量</w:t>
                  </w:r>
                </w:p>
              </w:tc>
              <w:tc>
                <w:tcPr>
                  <w:tcW w:w="1817" w:type="dxa"/>
                  <w:vMerge w:val="restart"/>
                  <w:tcBorders>
                    <w:tl2br w:val="nil"/>
                    <w:tr2bl w:val="nil"/>
                  </w:tcBorders>
                  <w:noWrap w:val="0"/>
                  <w:vAlign w:val="center"/>
                </w:tcPr>
                <w:p w14:paraId="67B21271">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备注</w:t>
                  </w:r>
                </w:p>
              </w:tc>
            </w:tr>
            <w:tr w14:paraId="7B14913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8" w:hRule="atLeast"/>
                <w:jc w:val="center"/>
              </w:trPr>
              <w:tc>
                <w:tcPr>
                  <w:tcW w:w="601" w:type="dxa"/>
                  <w:vMerge w:val="continue"/>
                  <w:tcBorders>
                    <w:tl2br w:val="nil"/>
                    <w:tr2bl w:val="nil"/>
                  </w:tcBorders>
                  <w:noWrap w:val="0"/>
                  <w:vAlign w:val="center"/>
                </w:tcPr>
                <w:p w14:paraId="44B6966B">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1206" w:type="dxa"/>
                  <w:vMerge w:val="continue"/>
                  <w:tcBorders>
                    <w:tl2br w:val="nil"/>
                    <w:tr2bl w:val="nil"/>
                  </w:tcBorders>
                  <w:noWrap w:val="0"/>
                  <w:vAlign w:val="center"/>
                </w:tcPr>
                <w:p w14:paraId="4CEF1C3A">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1049" w:type="dxa"/>
                  <w:vMerge w:val="continue"/>
                  <w:tcBorders>
                    <w:tl2br w:val="nil"/>
                    <w:tr2bl w:val="nil"/>
                  </w:tcBorders>
                  <w:noWrap w:val="0"/>
                  <w:vAlign w:val="center"/>
                </w:tcPr>
                <w:p w14:paraId="269C817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69" w:type="dxa"/>
                  <w:tcBorders>
                    <w:tl2br w:val="nil"/>
                    <w:tr2bl w:val="nil"/>
                  </w:tcBorders>
                  <w:noWrap w:val="0"/>
                  <w:vAlign w:val="center"/>
                </w:tcPr>
                <w:p w14:paraId="313016DC">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现有工程</w:t>
                  </w:r>
                </w:p>
              </w:tc>
              <w:tc>
                <w:tcPr>
                  <w:tcW w:w="1195" w:type="dxa"/>
                  <w:tcBorders>
                    <w:tl2br w:val="nil"/>
                    <w:tr2bl w:val="nil"/>
                  </w:tcBorders>
                  <w:noWrap w:val="0"/>
                  <w:vAlign w:val="center"/>
                </w:tcPr>
                <w:p w14:paraId="5954F86A">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技改完成后全厂</w:t>
                  </w:r>
                </w:p>
              </w:tc>
              <w:tc>
                <w:tcPr>
                  <w:tcW w:w="851" w:type="dxa"/>
                  <w:vMerge w:val="continue"/>
                  <w:tcBorders>
                    <w:tl2br w:val="nil"/>
                    <w:tr2bl w:val="nil"/>
                  </w:tcBorders>
                  <w:noWrap w:val="0"/>
                  <w:vAlign w:val="center"/>
                </w:tcPr>
                <w:p w14:paraId="66CC96E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eastAsia="zh-CN"/>
                      <w14:textFill>
                        <w14:solidFill>
                          <w14:schemeClr w14:val="tx1"/>
                        </w14:solidFill>
                      </w14:textFill>
                    </w:rPr>
                  </w:pPr>
                </w:p>
              </w:tc>
              <w:tc>
                <w:tcPr>
                  <w:tcW w:w="1817" w:type="dxa"/>
                  <w:vMerge w:val="continue"/>
                  <w:tcBorders>
                    <w:tl2br w:val="nil"/>
                    <w:tr2bl w:val="nil"/>
                  </w:tcBorders>
                  <w:noWrap w:val="0"/>
                  <w:vAlign w:val="center"/>
                </w:tcPr>
                <w:p w14:paraId="1189BEB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r>
            <w:tr w14:paraId="3DA748D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6" w:hRule="atLeast"/>
                <w:jc w:val="center"/>
              </w:trPr>
              <w:tc>
                <w:tcPr>
                  <w:tcW w:w="601" w:type="dxa"/>
                  <w:tcBorders>
                    <w:tl2br w:val="nil"/>
                    <w:tr2bl w:val="nil"/>
                  </w:tcBorders>
                  <w:noWrap w:val="0"/>
                  <w:vAlign w:val="center"/>
                </w:tcPr>
                <w:p w14:paraId="37292767">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1206" w:type="dxa"/>
                  <w:tcBorders>
                    <w:tl2br w:val="nil"/>
                    <w:tr2bl w:val="nil"/>
                  </w:tcBorders>
                  <w:noWrap w:val="0"/>
                  <w:vAlign w:val="center"/>
                </w:tcPr>
                <w:p w14:paraId="4C4E1E3E">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硅砂岩</w:t>
                  </w:r>
                </w:p>
                <w:p w14:paraId="21C0D14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（合格）</w:t>
                  </w:r>
                </w:p>
              </w:tc>
              <w:tc>
                <w:tcPr>
                  <w:tcW w:w="1049" w:type="dxa"/>
                  <w:tcBorders>
                    <w:tl2br w:val="nil"/>
                    <w:tr2bl w:val="nil"/>
                  </w:tcBorders>
                  <w:noWrap w:val="0"/>
                  <w:vAlign w:val="center"/>
                </w:tcPr>
                <w:p w14:paraId="3AD47125">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万</w:t>
                  </w:r>
                  <w:r>
                    <w:rPr>
                      <w:rFonts w:hint="eastAsia" w:cs="Times New Roman"/>
                      <w:b w:val="0"/>
                      <w:bCs w:val="0"/>
                      <w:color w:val="000000" w:themeColor="text1"/>
                      <w:sz w:val="21"/>
                      <w:szCs w:val="21"/>
                      <w:highlight w:val="none"/>
                      <w:lang w:val="en-US" w:eastAsia="zh-CN"/>
                      <w14:textFill>
                        <w14:solidFill>
                          <w14:schemeClr w14:val="tx1"/>
                        </w14:solidFill>
                      </w14:textFill>
                    </w:rPr>
                    <w:t>t/a</w:t>
                  </w:r>
                </w:p>
              </w:tc>
              <w:tc>
                <w:tcPr>
                  <w:tcW w:w="869" w:type="dxa"/>
                  <w:tcBorders>
                    <w:tl2br w:val="nil"/>
                    <w:tr2bl w:val="nil"/>
                  </w:tcBorders>
                  <w:noWrap w:val="0"/>
                  <w:vAlign w:val="center"/>
                </w:tcPr>
                <w:p w14:paraId="2F06A925">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12</w:t>
                  </w:r>
                </w:p>
              </w:tc>
              <w:tc>
                <w:tcPr>
                  <w:tcW w:w="1195" w:type="dxa"/>
                  <w:tcBorders>
                    <w:tl2br w:val="nil"/>
                    <w:tr2bl w:val="nil"/>
                  </w:tcBorders>
                  <w:noWrap w:val="0"/>
                  <w:vAlign w:val="center"/>
                </w:tcPr>
                <w:p w14:paraId="010D4A14">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6</w:t>
                  </w:r>
                </w:p>
              </w:tc>
              <w:tc>
                <w:tcPr>
                  <w:tcW w:w="851" w:type="dxa"/>
                  <w:tcBorders>
                    <w:tl2br w:val="nil"/>
                    <w:tr2bl w:val="nil"/>
                  </w:tcBorders>
                  <w:noWrap w:val="0"/>
                  <w:vAlign w:val="center"/>
                </w:tcPr>
                <w:p w14:paraId="6D25CEB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-6</w:t>
                  </w:r>
                </w:p>
              </w:tc>
              <w:tc>
                <w:tcPr>
                  <w:tcW w:w="1817" w:type="dxa"/>
                  <w:tcBorders>
                    <w:tl2br w:val="nil"/>
                    <w:tr2bl w:val="nil"/>
                  </w:tcBorders>
                  <w:noWrap w:val="0"/>
                  <w:vAlign w:val="center"/>
                </w:tcPr>
                <w:p w14:paraId="0AB52C59">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汽车散装，粒径3-35cm，暂存于原料库</w:t>
                  </w:r>
                </w:p>
              </w:tc>
            </w:tr>
            <w:tr w14:paraId="54CCC91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6" w:hRule="atLeast"/>
                <w:jc w:val="center"/>
              </w:trPr>
              <w:tc>
                <w:tcPr>
                  <w:tcW w:w="601" w:type="dxa"/>
                  <w:tcBorders>
                    <w:tl2br w:val="nil"/>
                    <w:tr2bl w:val="nil"/>
                  </w:tcBorders>
                  <w:noWrap w:val="0"/>
                  <w:vAlign w:val="center"/>
                </w:tcPr>
                <w:p w14:paraId="2FB4EA58">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1206" w:type="dxa"/>
                  <w:tcBorders>
                    <w:tl2br w:val="nil"/>
                    <w:tr2bl w:val="nil"/>
                  </w:tcBorders>
                  <w:noWrap w:val="0"/>
                  <w:vAlign w:val="center"/>
                </w:tcPr>
                <w:p w14:paraId="0BCD0469">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硅砂岩</w:t>
                  </w:r>
                </w:p>
                <w:p w14:paraId="03223211">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（不合格）</w:t>
                  </w:r>
                </w:p>
              </w:tc>
              <w:tc>
                <w:tcPr>
                  <w:tcW w:w="1049" w:type="dxa"/>
                  <w:tcBorders>
                    <w:tl2br w:val="nil"/>
                    <w:tr2bl w:val="nil"/>
                  </w:tcBorders>
                  <w:noWrap w:val="0"/>
                  <w:vAlign w:val="center"/>
                </w:tcPr>
                <w:p w14:paraId="18731345">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万</w:t>
                  </w:r>
                  <w:r>
                    <w:rPr>
                      <w:rFonts w:hint="eastAsia" w:cs="Times New Roman"/>
                      <w:b w:val="0"/>
                      <w:bCs w:val="0"/>
                      <w:color w:val="000000" w:themeColor="text1"/>
                      <w:sz w:val="21"/>
                      <w:szCs w:val="21"/>
                      <w:highlight w:val="none"/>
                      <w:lang w:val="en-US" w:eastAsia="zh-CN"/>
                      <w14:textFill>
                        <w14:solidFill>
                          <w14:schemeClr w14:val="tx1"/>
                        </w14:solidFill>
                      </w14:textFill>
                    </w:rPr>
                    <w:t>t/a</w:t>
                  </w:r>
                </w:p>
              </w:tc>
              <w:tc>
                <w:tcPr>
                  <w:tcW w:w="869" w:type="dxa"/>
                  <w:tcBorders>
                    <w:tl2br w:val="nil"/>
                    <w:tr2bl w:val="nil"/>
                  </w:tcBorders>
                  <w:noWrap w:val="0"/>
                  <w:vAlign w:val="center"/>
                </w:tcPr>
                <w:p w14:paraId="49C28D18">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w:t>
                  </w:r>
                </w:p>
              </w:tc>
              <w:tc>
                <w:tcPr>
                  <w:tcW w:w="1195" w:type="dxa"/>
                  <w:tcBorders>
                    <w:tl2br w:val="nil"/>
                    <w:tr2bl w:val="nil"/>
                  </w:tcBorders>
                  <w:noWrap w:val="0"/>
                  <w:vAlign w:val="center"/>
                </w:tcPr>
                <w:p w14:paraId="358932F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9</w:t>
                  </w:r>
                </w:p>
              </w:tc>
              <w:tc>
                <w:tcPr>
                  <w:tcW w:w="851" w:type="dxa"/>
                  <w:tcBorders>
                    <w:tl2br w:val="nil"/>
                    <w:tr2bl w:val="nil"/>
                  </w:tcBorders>
                  <w:noWrap w:val="0"/>
                  <w:vAlign w:val="center"/>
                </w:tcPr>
                <w:p w14:paraId="401D8582">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+9</w:t>
                  </w:r>
                </w:p>
              </w:tc>
              <w:tc>
                <w:tcPr>
                  <w:tcW w:w="1817" w:type="dxa"/>
                  <w:tcBorders>
                    <w:tl2br w:val="nil"/>
                    <w:tr2bl w:val="nil"/>
                  </w:tcBorders>
                  <w:noWrap w:val="0"/>
                  <w:vAlign w:val="center"/>
                </w:tcPr>
                <w:p w14:paraId="5CA139C6">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汽车散装，粒径≤35cm，暂存于预处理车间，夹杂大量</w:t>
                  </w:r>
                  <w:r>
                    <w:rPr>
                      <w:rFonts w:ascii="宋体" w:hAnsi="宋体" w:eastAsia="宋体" w:cs="宋体"/>
                      <w:color w:val="000000" w:themeColor="text1"/>
                      <w:sz w:val="21"/>
                      <w:szCs w:val="21"/>
                      <w:highlight w:val="none"/>
                      <w14:textFill>
                        <w14:solidFill>
                          <w14:schemeClr w14:val="tx1"/>
                        </w14:solidFill>
                      </w14:textFill>
                    </w:rPr>
                    <w:t>土渣</w:t>
                  </w:r>
                </w:p>
              </w:tc>
            </w:tr>
            <w:tr w14:paraId="74031D8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75" w:hRule="atLeast"/>
                <w:jc w:val="center"/>
              </w:trPr>
              <w:tc>
                <w:tcPr>
                  <w:tcW w:w="601" w:type="dxa"/>
                  <w:tcBorders>
                    <w:tl2br w:val="nil"/>
                    <w:tr2bl w:val="nil"/>
                  </w:tcBorders>
                  <w:noWrap w:val="0"/>
                  <w:vAlign w:val="center"/>
                </w:tcPr>
                <w:p w14:paraId="4A275C2E">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p>
              </w:tc>
              <w:tc>
                <w:tcPr>
                  <w:tcW w:w="1206" w:type="dxa"/>
                  <w:tcBorders>
                    <w:tl2br w:val="nil"/>
                    <w:tr2bl w:val="nil"/>
                  </w:tcBorders>
                  <w:noWrap w:val="0"/>
                  <w:vAlign w:val="center"/>
                </w:tcPr>
                <w:p w14:paraId="6CBB4BE8">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润滑油</w:t>
                  </w:r>
                </w:p>
              </w:tc>
              <w:tc>
                <w:tcPr>
                  <w:tcW w:w="1049" w:type="dxa"/>
                  <w:tcBorders>
                    <w:tl2br w:val="nil"/>
                    <w:tr2bl w:val="nil"/>
                  </w:tcBorders>
                  <w:noWrap w:val="0"/>
                  <w:vAlign w:val="center"/>
                </w:tcPr>
                <w:p w14:paraId="0F5A9330">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t/a</w:t>
                  </w:r>
                </w:p>
              </w:tc>
              <w:tc>
                <w:tcPr>
                  <w:tcW w:w="869" w:type="dxa"/>
                  <w:tcBorders>
                    <w:tl2br w:val="nil"/>
                    <w:tr2bl w:val="nil"/>
                  </w:tcBorders>
                  <w:noWrap w:val="0"/>
                  <w:vAlign w:val="center"/>
                </w:tcPr>
                <w:p w14:paraId="3792E692">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0.</w:t>
                  </w:r>
                  <w:r>
                    <w:rPr>
                      <w:rFonts w:hint="eastAsia" w:cs="Times New Roman"/>
                      <w:b w:val="0"/>
                      <w:bCs w:val="0"/>
                      <w:color w:val="000000" w:themeColor="text1"/>
                      <w:kern w:val="0"/>
                      <w:sz w:val="21"/>
                      <w:szCs w:val="21"/>
                      <w:highlight w:val="none"/>
                      <w:lang w:val="en-US" w:eastAsia="zh-CN"/>
                      <w14:textFill>
                        <w14:solidFill>
                          <w14:schemeClr w14:val="tx1"/>
                        </w14:solidFill>
                      </w14:textFill>
                    </w:rPr>
                    <w:t>3</w:t>
                  </w:r>
                </w:p>
              </w:tc>
              <w:tc>
                <w:tcPr>
                  <w:tcW w:w="1195" w:type="dxa"/>
                  <w:tcBorders>
                    <w:tl2br w:val="nil"/>
                    <w:tr2bl w:val="nil"/>
                  </w:tcBorders>
                  <w:noWrap w:val="0"/>
                  <w:vAlign w:val="center"/>
                </w:tcPr>
                <w:p w14:paraId="777B5F76">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0.35</w:t>
                  </w:r>
                </w:p>
              </w:tc>
              <w:tc>
                <w:tcPr>
                  <w:tcW w:w="851" w:type="dxa"/>
                  <w:tcBorders>
                    <w:tl2br w:val="nil"/>
                    <w:tr2bl w:val="nil"/>
                  </w:tcBorders>
                  <w:noWrap w:val="0"/>
                  <w:vAlign w:val="center"/>
                </w:tcPr>
                <w:p w14:paraId="6D163F2E">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+0.05</w:t>
                  </w:r>
                </w:p>
              </w:tc>
              <w:tc>
                <w:tcPr>
                  <w:tcW w:w="1817" w:type="dxa"/>
                  <w:tcBorders>
                    <w:tl2br w:val="nil"/>
                    <w:tr2bl w:val="nil"/>
                  </w:tcBorders>
                  <w:noWrap w:val="0"/>
                  <w:vAlign w:val="center"/>
                </w:tcPr>
                <w:p w14:paraId="5E182264">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cs="Times New Roman"/>
                      <w:b w:val="0"/>
                      <w:bCs w:val="0"/>
                      <w:color w:val="000000" w:themeColor="text1"/>
                      <w:kern w:val="0"/>
                      <w:sz w:val="21"/>
                      <w:szCs w:val="21"/>
                      <w:highlight w:val="none"/>
                      <w:lang w:eastAsia="zh-CN"/>
                      <w14:textFill>
                        <w14:solidFill>
                          <w14:schemeClr w14:val="tx1"/>
                        </w14:solidFill>
                      </w14:textFill>
                    </w:rPr>
                    <w:t>桶装，</w:t>
                  </w:r>
                  <w:r>
                    <w:rPr>
                      <w:rFonts w:hint="eastAsia" w:cs="Times New Roman"/>
                      <w:b w:val="0"/>
                      <w:bCs w:val="0"/>
                      <w:color w:val="000000" w:themeColor="text1"/>
                      <w:kern w:val="0"/>
                      <w:sz w:val="21"/>
                      <w:szCs w:val="21"/>
                      <w:highlight w:val="none"/>
                      <w:lang w:val="en-US" w:eastAsia="zh-CN"/>
                      <w14:textFill>
                        <w14:solidFill>
                          <w14:schemeClr w14:val="tx1"/>
                        </w14:solidFill>
                      </w14:textFill>
                    </w:rPr>
                    <w:t>25kg/桶，随用随购，不在厂区内储存</w:t>
                  </w:r>
                </w:p>
              </w:tc>
            </w:tr>
            <w:tr w14:paraId="2A88CB0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75" w:hRule="atLeast"/>
                <w:jc w:val="center"/>
              </w:trPr>
              <w:tc>
                <w:tcPr>
                  <w:tcW w:w="601" w:type="dxa"/>
                  <w:tcBorders>
                    <w:tl2br w:val="nil"/>
                    <w:tr2bl w:val="nil"/>
                  </w:tcBorders>
                  <w:noWrap w:val="0"/>
                  <w:vAlign w:val="center"/>
                </w:tcPr>
                <w:p w14:paraId="1BEA06C6">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p>
              </w:tc>
              <w:tc>
                <w:tcPr>
                  <w:tcW w:w="1206" w:type="dxa"/>
                  <w:tcBorders>
                    <w:tl2br w:val="nil"/>
                    <w:tr2bl w:val="nil"/>
                  </w:tcBorders>
                  <w:noWrap w:val="0"/>
                  <w:vAlign w:val="center"/>
                </w:tcPr>
                <w:p w14:paraId="409A273C">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布袋</w:t>
                  </w:r>
                </w:p>
              </w:tc>
              <w:tc>
                <w:tcPr>
                  <w:tcW w:w="1049" w:type="dxa"/>
                  <w:tcBorders>
                    <w:tl2br w:val="nil"/>
                    <w:tr2bl w:val="nil"/>
                  </w:tcBorders>
                  <w:noWrap w:val="0"/>
                  <w:vAlign w:val="center"/>
                </w:tcPr>
                <w:p w14:paraId="362115D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t/a</w:t>
                  </w:r>
                </w:p>
              </w:tc>
              <w:tc>
                <w:tcPr>
                  <w:tcW w:w="869" w:type="dxa"/>
                  <w:tcBorders>
                    <w:tl2br w:val="nil"/>
                    <w:tr2bl w:val="nil"/>
                  </w:tcBorders>
                  <w:noWrap w:val="0"/>
                  <w:vAlign w:val="center"/>
                </w:tcPr>
                <w:p w14:paraId="1D1381AC">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0.1</w:t>
                  </w:r>
                </w:p>
              </w:tc>
              <w:tc>
                <w:tcPr>
                  <w:tcW w:w="1195" w:type="dxa"/>
                  <w:tcBorders>
                    <w:tl2br w:val="nil"/>
                    <w:tr2bl w:val="nil"/>
                  </w:tcBorders>
                  <w:noWrap w:val="0"/>
                  <w:vAlign w:val="center"/>
                </w:tcPr>
                <w:p w14:paraId="03FCAEFB">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cs="Times New Roman"/>
                      <w:b w:val="0"/>
                      <w:bCs w:val="0"/>
                      <w:color w:val="000000" w:themeColor="text1"/>
                      <w:kern w:val="0"/>
                      <w:sz w:val="21"/>
                      <w:szCs w:val="21"/>
                      <w:highlight w:val="none"/>
                      <w:lang w:val="en-US" w:eastAsia="zh-CN"/>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0.2</w:t>
                  </w:r>
                </w:p>
              </w:tc>
              <w:tc>
                <w:tcPr>
                  <w:tcW w:w="851" w:type="dxa"/>
                  <w:tcBorders>
                    <w:tl2br w:val="nil"/>
                    <w:tr2bl w:val="nil"/>
                  </w:tcBorders>
                  <w:noWrap w:val="0"/>
                  <w:vAlign w:val="center"/>
                </w:tcPr>
                <w:p w14:paraId="71E0E350">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+0.1</w:t>
                  </w:r>
                </w:p>
              </w:tc>
              <w:tc>
                <w:tcPr>
                  <w:tcW w:w="1817" w:type="dxa"/>
                  <w:tcBorders>
                    <w:tl2br w:val="nil"/>
                    <w:tr2bl w:val="nil"/>
                  </w:tcBorders>
                  <w:noWrap w:val="0"/>
                  <w:vAlign w:val="center"/>
                </w:tcPr>
                <w:p w14:paraId="317590D9">
                  <w:pPr>
                    <w:keepNext w:val="0"/>
                    <w:keepLines w:val="0"/>
                    <w:pageBreakBefore w:val="0"/>
                    <w:shd w:val="clear"/>
                    <w:kinsoku/>
                    <w:wordWrap/>
                    <w:overflowPunct/>
                    <w:topLinePunct w:val="0"/>
                    <w:autoSpaceDE w:val="0"/>
                    <w:autoSpaceDN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kern w:val="0"/>
                      <w:sz w:val="21"/>
                      <w:szCs w:val="21"/>
                      <w:highlight w:val="none"/>
                      <w:lang w:eastAsia="zh-CN"/>
                      <w14:textFill>
                        <w14:solidFill>
                          <w14:schemeClr w14:val="tx1"/>
                        </w14:solidFill>
                      </w14:textFill>
                    </w:rPr>
                  </w:pPr>
                  <w:r>
                    <w:rPr>
                      <w:rFonts w:hint="eastAsia" w:cs="Times New Roman"/>
                      <w:b w:val="0"/>
                      <w:bCs w:val="0"/>
                      <w:color w:val="000000" w:themeColor="text1"/>
                      <w:kern w:val="0"/>
                      <w:sz w:val="21"/>
                      <w:szCs w:val="21"/>
                      <w:highlight w:val="none"/>
                      <w:lang w:eastAsia="zh-CN"/>
                      <w14:textFill>
                        <w14:solidFill>
                          <w14:schemeClr w14:val="tx1"/>
                        </w14:solidFill>
                      </w14:textFill>
                    </w:rPr>
                    <w:t>除尘器布袋</w:t>
                  </w:r>
                </w:p>
              </w:tc>
            </w:tr>
            <w:tr w14:paraId="40F31A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6" w:hRule="atLeast"/>
                <w:jc w:val="center"/>
              </w:trPr>
              <w:tc>
                <w:tcPr>
                  <w:tcW w:w="601" w:type="dxa"/>
                  <w:tcBorders>
                    <w:tl2br w:val="nil"/>
                    <w:tr2bl w:val="nil"/>
                  </w:tcBorders>
                  <w:noWrap w:val="0"/>
                  <w:vAlign w:val="center"/>
                </w:tcPr>
                <w:p w14:paraId="6A42E523">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p>
              </w:tc>
              <w:tc>
                <w:tcPr>
                  <w:tcW w:w="1206" w:type="dxa"/>
                  <w:tcBorders>
                    <w:tl2br w:val="nil"/>
                    <w:tr2bl w:val="nil"/>
                  </w:tcBorders>
                  <w:noWrap w:val="0"/>
                  <w:vAlign w:val="center"/>
                </w:tcPr>
                <w:p w14:paraId="66FBD8B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电</w:t>
                  </w:r>
                </w:p>
              </w:tc>
              <w:tc>
                <w:tcPr>
                  <w:tcW w:w="1049" w:type="dxa"/>
                  <w:tcBorders>
                    <w:tl2br w:val="nil"/>
                    <w:tr2bl w:val="nil"/>
                  </w:tcBorders>
                  <w:noWrap w:val="0"/>
                  <w:vAlign w:val="center"/>
                </w:tcPr>
                <w:p w14:paraId="438FE57D">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万kWh/a</w:t>
                  </w:r>
                </w:p>
              </w:tc>
              <w:tc>
                <w:tcPr>
                  <w:tcW w:w="869" w:type="dxa"/>
                  <w:tcBorders>
                    <w:tl2br w:val="nil"/>
                    <w:tr2bl w:val="nil"/>
                  </w:tcBorders>
                  <w:noWrap w:val="0"/>
                  <w:vAlign w:val="center"/>
                </w:tcPr>
                <w:p w14:paraId="3EBFD62D">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481.68</w:t>
                  </w:r>
                </w:p>
              </w:tc>
              <w:tc>
                <w:tcPr>
                  <w:tcW w:w="1195" w:type="dxa"/>
                  <w:tcBorders>
                    <w:tl2br w:val="nil"/>
                    <w:tr2bl w:val="nil"/>
                  </w:tcBorders>
                  <w:noWrap w:val="0"/>
                  <w:vAlign w:val="center"/>
                </w:tcPr>
                <w:p w14:paraId="00CAAB4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606.68</w:t>
                  </w:r>
                </w:p>
              </w:tc>
              <w:tc>
                <w:tcPr>
                  <w:tcW w:w="851" w:type="dxa"/>
                  <w:tcBorders>
                    <w:tl2br w:val="nil"/>
                    <w:tr2bl w:val="nil"/>
                  </w:tcBorders>
                  <w:noWrap w:val="0"/>
                  <w:vAlign w:val="center"/>
                </w:tcPr>
                <w:p w14:paraId="17680445">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+125</w:t>
                  </w:r>
                </w:p>
              </w:tc>
              <w:tc>
                <w:tcPr>
                  <w:tcW w:w="1817" w:type="dxa"/>
                  <w:tcBorders>
                    <w:tl2br w:val="nil"/>
                    <w:tr2bl w:val="nil"/>
                  </w:tcBorders>
                  <w:noWrap w:val="0"/>
                  <w:vAlign w:val="center"/>
                </w:tcPr>
                <w:p w14:paraId="66B889F3">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本地电网</w:t>
                  </w:r>
                </w:p>
              </w:tc>
            </w:tr>
            <w:tr w14:paraId="2F9C40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6" w:hRule="atLeast"/>
                <w:jc w:val="center"/>
              </w:trPr>
              <w:tc>
                <w:tcPr>
                  <w:tcW w:w="601" w:type="dxa"/>
                  <w:tcBorders>
                    <w:tl2br w:val="nil"/>
                    <w:tr2bl w:val="nil"/>
                  </w:tcBorders>
                  <w:noWrap w:val="0"/>
                  <w:vAlign w:val="center"/>
                </w:tcPr>
                <w:p w14:paraId="0B37FC4C">
                  <w:pPr>
                    <w:keepNext w:val="0"/>
                    <w:keepLines w:val="0"/>
                    <w:pageBreakBefore w:val="0"/>
                    <w:widowControl w:val="0"/>
                    <w:numPr>
                      <w:ilvl w:val="0"/>
                      <w:numId w:val="9"/>
                    </w:numPr>
                    <w:shd w:val="clear"/>
                    <w:kinsoku/>
                    <w:wordWrap/>
                    <w:overflowPunct/>
                    <w:topLinePunct w:val="0"/>
                    <w:bidi w:val="0"/>
                    <w:adjustRightInd/>
                    <w:snapToGrid/>
                    <w:spacing w:line="0" w:lineRule="atLeast"/>
                    <w:ind w:left="0" w:lef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p>
              </w:tc>
              <w:tc>
                <w:tcPr>
                  <w:tcW w:w="1206" w:type="dxa"/>
                  <w:tcBorders>
                    <w:tl2br w:val="nil"/>
                    <w:tr2bl w:val="nil"/>
                  </w:tcBorders>
                  <w:noWrap w:val="0"/>
                  <w:vAlign w:val="center"/>
                </w:tcPr>
                <w:p w14:paraId="0F101F06">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水</w:t>
                  </w:r>
                </w:p>
              </w:tc>
              <w:tc>
                <w:tcPr>
                  <w:tcW w:w="1049" w:type="dxa"/>
                  <w:tcBorders>
                    <w:tl2br w:val="nil"/>
                    <w:tr2bl w:val="nil"/>
                  </w:tcBorders>
                  <w:noWrap w:val="0"/>
                  <w:vAlign w:val="center"/>
                </w:tcPr>
                <w:p w14:paraId="0F548410">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m</w:t>
                  </w:r>
                  <w:r>
                    <w:rPr>
                      <w:rFonts w:hint="eastAsia"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eastAsia" w:cs="Times New Roman"/>
                      <w:b w:val="0"/>
                      <w:bCs w:val="0"/>
                      <w:color w:val="000000" w:themeColor="text1"/>
                      <w:sz w:val="21"/>
                      <w:szCs w:val="21"/>
                      <w:highlight w:val="none"/>
                      <w:lang w:val="en-US" w:eastAsia="zh-CN"/>
                      <w14:textFill>
                        <w14:solidFill>
                          <w14:schemeClr w14:val="tx1"/>
                        </w14:solidFill>
                      </w14:textFill>
                    </w:rPr>
                    <w:t>/a</w:t>
                  </w:r>
                </w:p>
              </w:tc>
              <w:tc>
                <w:tcPr>
                  <w:tcW w:w="869" w:type="dxa"/>
                  <w:tcBorders>
                    <w:tl2br w:val="nil"/>
                    <w:tr2bl w:val="nil"/>
                  </w:tcBorders>
                  <w:noWrap w:val="0"/>
                  <w:vAlign w:val="center"/>
                </w:tcPr>
                <w:p w14:paraId="171B59D9">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7044</w:t>
                  </w:r>
                </w:p>
              </w:tc>
              <w:tc>
                <w:tcPr>
                  <w:tcW w:w="1195" w:type="dxa"/>
                  <w:tcBorders>
                    <w:tl2br w:val="nil"/>
                    <w:tr2bl w:val="nil"/>
                  </w:tcBorders>
                  <w:noWrap w:val="0"/>
                  <w:vAlign w:val="center"/>
                </w:tcPr>
                <w:p w14:paraId="61DB428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7990.8</w:t>
                  </w:r>
                </w:p>
              </w:tc>
              <w:tc>
                <w:tcPr>
                  <w:tcW w:w="851" w:type="dxa"/>
                  <w:tcBorders>
                    <w:tl2br w:val="nil"/>
                    <w:tr2bl w:val="nil"/>
                  </w:tcBorders>
                  <w:noWrap w:val="0"/>
                  <w:vAlign w:val="center"/>
                </w:tcPr>
                <w:p w14:paraId="11BEB1E7">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+946.8</w:t>
                  </w:r>
                </w:p>
              </w:tc>
              <w:tc>
                <w:tcPr>
                  <w:tcW w:w="1817" w:type="dxa"/>
                  <w:tcBorders>
                    <w:tl2br w:val="nil"/>
                    <w:tr2bl w:val="nil"/>
                  </w:tcBorders>
                  <w:noWrap w:val="0"/>
                  <w:vAlign w:val="center"/>
                </w:tcPr>
                <w:p w14:paraId="73ACEBAA">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自备水井</w:t>
                  </w:r>
                </w:p>
              </w:tc>
            </w:tr>
            <w:tr w14:paraId="398A044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6" w:hRule="atLeast"/>
                <w:jc w:val="center"/>
              </w:trPr>
              <w:tc>
                <w:tcPr>
                  <w:tcW w:w="7588" w:type="dxa"/>
                  <w:gridSpan w:val="7"/>
                  <w:tcBorders>
                    <w:tl2br w:val="nil"/>
                    <w:tr2bl w:val="nil"/>
                  </w:tcBorders>
                  <w:noWrap w:val="0"/>
                  <w:vAlign w:val="center"/>
                </w:tcPr>
                <w:p w14:paraId="7D9DF673">
                  <w:pPr>
                    <w:keepNext w:val="0"/>
                    <w:keepLines w:val="0"/>
                    <w:pageBreakBefore w:val="0"/>
                    <w:shd w:val="clear"/>
                    <w:kinsoku/>
                    <w:wordWrap/>
                    <w:overflowPunct/>
                    <w:topLinePunct w:val="0"/>
                    <w:bidi w:val="0"/>
                    <w:adjustRightInd/>
                    <w:snapToGrid/>
                    <w:spacing w:line="0" w:lineRule="atLeast"/>
                    <w:ind w:firstLine="0" w:firstLineChars="0"/>
                    <w:jc w:val="both"/>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i w:val="0"/>
                      <w:iCs w:val="0"/>
                      <w:caps w:val="0"/>
                      <w:color w:val="000000" w:themeColor="text1"/>
                      <w:spacing w:val="0"/>
                      <w:sz w:val="21"/>
                      <w:szCs w:val="21"/>
                      <w:highlight w:val="none"/>
                      <w:lang w:eastAsia="zh-CN"/>
                      <w14:textFill>
                        <w14:solidFill>
                          <w14:schemeClr w14:val="tx1"/>
                        </w14:solidFill>
                      </w14:textFill>
                    </w:rPr>
                    <w:t>备注：</w:t>
                  </w:r>
                  <w:r>
                    <w:rPr>
                      <w:rFonts w:hint="default" w:ascii="Times New Roman" w:hAnsi="Times New Roman" w:eastAsia="宋体" w:cs="Times New Roman"/>
                      <w:i w:val="0"/>
                      <w:iCs w:val="0"/>
                      <w:caps w:val="0"/>
                      <w:color w:val="000000" w:themeColor="text1"/>
                      <w:spacing w:val="0"/>
                      <w:sz w:val="21"/>
                      <w:szCs w:val="21"/>
                      <w:highlight w:val="none"/>
                      <w14:textFill>
                        <w14:solidFill>
                          <w14:schemeClr w14:val="tx1"/>
                        </w14:solidFill>
                      </w14:textFill>
                    </w:rPr>
                    <w:t>企业现有取水手续齐全，已取得合法有效的取水许可证（编号：B130284G2021-18116），许可年取水量为2.34万m</w:t>
                  </w:r>
                  <w:r>
                    <w:rPr>
                      <w:rFonts w:hint="eastAsia" w:cs="Times New Roman"/>
                      <w:i w:val="0"/>
                      <w:iCs w:val="0"/>
                      <w:caps w:val="0"/>
                      <w:color w:val="000000" w:themeColor="text1"/>
                      <w:spacing w:val="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i w:val="0"/>
                      <w:iCs w:val="0"/>
                      <w:caps w:val="0"/>
                      <w:color w:val="000000" w:themeColor="text1"/>
                      <w:spacing w:val="0"/>
                      <w:sz w:val="21"/>
                      <w:szCs w:val="21"/>
                      <w:highlight w:val="none"/>
                      <w14:textFill>
                        <w14:solidFill>
                          <w14:schemeClr w14:val="tx1"/>
                        </w14:solidFill>
                      </w14:textFill>
                    </w:rPr>
                    <w:t>/a。本次技改完成后，全厂用水总量仍小于许可取水量，无需新增取水指标，符合取水许可及水资源管理相关规定。</w:t>
                  </w:r>
                </w:p>
              </w:tc>
            </w:tr>
          </w:tbl>
          <w:p w14:paraId="3B233722">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硅砂岩主要成分为 SiO</w:t>
            </w:r>
            <w:r>
              <w:rPr>
                <w:rFonts w:hint="eastAsia" w:cs="Times New Roman"/>
                <w:color w:val="000000" w:themeColor="text1"/>
                <w:sz w:val="24"/>
                <w:szCs w:val="24"/>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、Al</w:t>
            </w:r>
            <w:r>
              <w:rPr>
                <w:rFonts w:hint="eastAsia" w:cs="Times New Roman"/>
                <w:color w:val="000000" w:themeColor="text1"/>
                <w:sz w:val="24"/>
                <w:szCs w:val="24"/>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O</w:t>
            </w:r>
            <w:r>
              <w:rPr>
                <w:rFonts w:hint="eastAsia" w:cs="Times New Roman"/>
                <w:color w:val="000000" w:themeColor="text1"/>
                <w:sz w:val="24"/>
                <w:szCs w:val="24"/>
                <w:highlight w:val="none"/>
                <w:vertAlign w:val="sub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、Fe</w:t>
            </w:r>
            <w:r>
              <w:rPr>
                <w:rFonts w:hint="eastAsia" w:cs="Times New Roman"/>
                <w:color w:val="000000" w:themeColor="text1"/>
                <w:sz w:val="24"/>
                <w:szCs w:val="24"/>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O</w:t>
            </w:r>
            <w:r>
              <w:rPr>
                <w:rFonts w:hint="eastAsia" w:cs="Times New Roman"/>
                <w:color w:val="000000" w:themeColor="text1"/>
                <w:sz w:val="24"/>
                <w:szCs w:val="24"/>
                <w:highlight w:val="none"/>
                <w:vertAlign w:val="sub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，不含重金属及其他有毒有害元素，其生产、储运及加工过程中主要产污为一般粉尘，无特征重金属污染物产生与排放。</w:t>
            </w:r>
          </w:p>
          <w:p w14:paraId="3431750C">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000000" w:themeColor="text1"/>
                <w:sz w:val="24"/>
                <w:szCs w:val="24"/>
                <w:highlight w:val="none"/>
                <w:lang w:val="en-US" w:eastAsia="zh-CN"/>
                <w14:textFill>
                  <w14:solidFill>
                    <w14:schemeClr w14:val="tx1"/>
                  </w14:solidFill>
                </w14:textFill>
              </w:rPr>
            </w:pPr>
          </w:p>
          <w:p w14:paraId="46CAD011">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物料储存区物料周转能力如下：</w:t>
            </w:r>
          </w:p>
          <w:p w14:paraId="24EB0026">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w:t>
            </w:r>
            <w:r>
              <w:rPr>
                <w:rFonts w:hint="eastAsia" w:cs="Times New Roman"/>
                <w:b/>
                <w:bCs/>
                <w:color w:val="000000" w:themeColor="text1"/>
                <w:spacing w:val="0"/>
                <w:sz w:val="21"/>
                <w:szCs w:val="21"/>
                <w:highlight w:val="none"/>
                <w:lang w:val="en-US" w:eastAsia="zh-CN"/>
                <w14:textFill>
                  <w14:solidFill>
                    <w14:schemeClr w14:val="tx1"/>
                  </w14:solidFill>
                </w14:textFill>
              </w:rPr>
              <w:t>物料储存区物料周转能力</w:t>
            </w:r>
          </w:p>
          <w:tbl>
            <w:tblPr>
              <w:tblStyle w:val="33"/>
              <w:tblW w:w="749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601"/>
              <w:gridCol w:w="2432"/>
              <w:gridCol w:w="1241"/>
              <w:gridCol w:w="804"/>
              <w:gridCol w:w="1079"/>
              <w:gridCol w:w="1340"/>
            </w:tblGrid>
            <w:tr w14:paraId="7D0A6E9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601" w:type="dxa"/>
                  <w:tcBorders>
                    <w:tl2br w:val="nil"/>
                    <w:tr2bl w:val="nil"/>
                  </w:tcBorders>
                  <w:vAlign w:val="center"/>
                </w:tcPr>
                <w:p w14:paraId="63DB4A3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序号</w:t>
                  </w:r>
                </w:p>
              </w:tc>
              <w:tc>
                <w:tcPr>
                  <w:tcW w:w="2432" w:type="dxa"/>
                  <w:tcBorders>
                    <w:tl2br w:val="nil"/>
                    <w:tr2bl w:val="nil"/>
                  </w:tcBorders>
                  <w:vAlign w:val="center"/>
                </w:tcPr>
                <w:p w14:paraId="03EADBF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设备名称</w:t>
                  </w:r>
                </w:p>
              </w:tc>
              <w:tc>
                <w:tcPr>
                  <w:tcW w:w="1241" w:type="dxa"/>
                  <w:tcBorders>
                    <w:tl2br w:val="nil"/>
                    <w:tr2bl w:val="nil"/>
                  </w:tcBorders>
                  <w:shd w:val="clear" w:color="auto" w:fill="auto"/>
                  <w:vAlign w:val="center"/>
                </w:tcPr>
                <w:p w14:paraId="61BA069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占地面积（m</w:t>
                  </w:r>
                  <w:r>
                    <w:rPr>
                      <w:rFonts w:hint="eastAsia"/>
                      <w:color w:val="000000" w:themeColor="text1"/>
                      <w:sz w:val="21"/>
                      <w:szCs w:val="21"/>
                      <w:highlight w:val="none"/>
                      <w:vertAlign w:val="superscript"/>
                      <w:lang w:val="en-US" w:eastAsia="zh-CN"/>
                      <w14:textFill>
                        <w14:solidFill>
                          <w14:schemeClr w14:val="tx1"/>
                        </w14:solidFill>
                      </w14:textFill>
                    </w:rPr>
                    <w:t>2</w:t>
                  </w:r>
                  <w:r>
                    <w:rPr>
                      <w:rFonts w:hint="eastAsia"/>
                      <w:color w:val="000000" w:themeColor="text1"/>
                      <w:sz w:val="21"/>
                      <w:szCs w:val="21"/>
                      <w:highlight w:val="none"/>
                      <w:vertAlign w:val="baseline"/>
                      <w:lang w:val="en-US" w:eastAsia="zh-CN"/>
                      <w14:textFill>
                        <w14:solidFill>
                          <w14:schemeClr w14:val="tx1"/>
                        </w14:solidFill>
                      </w14:textFill>
                    </w:rPr>
                    <w:t>）</w:t>
                  </w:r>
                </w:p>
              </w:tc>
              <w:tc>
                <w:tcPr>
                  <w:tcW w:w="804" w:type="dxa"/>
                  <w:tcBorders>
                    <w:tl2br w:val="nil"/>
                    <w:tr2bl w:val="nil"/>
                  </w:tcBorders>
                  <w:shd w:val="clear" w:color="auto" w:fill="auto"/>
                  <w:vAlign w:val="center"/>
                </w:tcPr>
                <w:p w14:paraId="792D98D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堆高（m）</w:t>
                  </w:r>
                </w:p>
              </w:tc>
              <w:tc>
                <w:tcPr>
                  <w:tcW w:w="1079" w:type="dxa"/>
                  <w:tcBorders>
                    <w:tl2br w:val="nil"/>
                    <w:tr2bl w:val="nil"/>
                  </w:tcBorders>
                  <w:shd w:val="clear" w:color="auto" w:fill="auto"/>
                  <w:vAlign w:val="center"/>
                </w:tcPr>
                <w:p w14:paraId="6BFF680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最大储存量（</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t</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w:t>
                  </w:r>
                </w:p>
              </w:tc>
              <w:tc>
                <w:tcPr>
                  <w:tcW w:w="1340" w:type="dxa"/>
                  <w:tcBorders>
                    <w:tl2br w:val="nil"/>
                    <w:tr2bl w:val="nil"/>
                  </w:tcBorders>
                  <w:shd w:val="clear" w:color="auto" w:fill="auto"/>
                  <w:vAlign w:val="center"/>
                </w:tcPr>
                <w:p w14:paraId="6F31358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年最低周转次数</w:t>
                  </w:r>
                </w:p>
              </w:tc>
            </w:tr>
            <w:tr w14:paraId="448B6AC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601" w:type="dxa"/>
                  <w:tcBorders>
                    <w:tl2br w:val="nil"/>
                    <w:tr2bl w:val="nil"/>
                  </w:tcBorders>
                  <w:vAlign w:val="center"/>
                </w:tcPr>
                <w:p w14:paraId="43E06C7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w:t>
                  </w:r>
                </w:p>
              </w:tc>
              <w:tc>
                <w:tcPr>
                  <w:tcW w:w="2432" w:type="dxa"/>
                  <w:tcBorders>
                    <w:tl2br w:val="nil"/>
                    <w:tr2bl w:val="nil"/>
                  </w:tcBorders>
                  <w:vAlign w:val="center"/>
                </w:tcPr>
                <w:p w14:paraId="5614B05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不合格矿石原料储存区</w:t>
                  </w:r>
                </w:p>
              </w:tc>
              <w:tc>
                <w:tcPr>
                  <w:tcW w:w="1241" w:type="dxa"/>
                  <w:tcBorders>
                    <w:tl2br w:val="nil"/>
                    <w:tr2bl w:val="nil"/>
                  </w:tcBorders>
                  <w:shd w:val="clear" w:color="auto" w:fill="auto"/>
                  <w:vAlign w:val="center"/>
                </w:tcPr>
                <w:p w14:paraId="6295F34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1000</w:t>
                  </w:r>
                </w:p>
              </w:tc>
              <w:tc>
                <w:tcPr>
                  <w:tcW w:w="804" w:type="dxa"/>
                  <w:tcBorders>
                    <w:tl2br w:val="nil"/>
                    <w:tr2bl w:val="nil"/>
                  </w:tcBorders>
                  <w:shd w:val="clear" w:color="auto" w:fill="auto"/>
                  <w:vAlign w:val="center"/>
                </w:tcPr>
                <w:p w14:paraId="4653E5B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1079" w:type="dxa"/>
                  <w:tcBorders>
                    <w:tl2br w:val="nil"/>
                    <w:tr2bl w:val="nil"/>
                  </w:tcBorders>
                  <w:shd w:val="clear" w:color="auto" w:fill="auto"/>
                  <w:vAlign w:val="center"/>
                </w:tcPr>
                <w:p w14:paraId="5D803F5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1500</w:t>
                  </w:r>
                </w:p>
              </w:tc>
              <w:tc>
                <w:tcPr>
                  <w:tcW w:w="1340" w:type="dxa"/>
                  <w:tcBorders>
                    <w:tl2br w:val="nil"/>
                    <w:tr2bl w:val="nil"/>
                  </w:tcBorders>
                  <w:shd w:val="clear" w:color="auto" w:fill="auto"/>
                  <w:vAlign w:val="center"/>
                </w:tcPr>
                <w:p w14:paraId="60D93AF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60</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次/a</w:t>
                  </w:r>
                </w:p>
              </w:tc>
            </w:tr>
            <w:tr w14:paraId="74AEC3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601" w:type="dxa"/>
                  <w:tcBorders>
                    <w:tl2br w:val="nil"/>
                    <w:tr2bl w:val="nil"/>
                  </w:tcBorders>
                  <w:vAlign w:val="center"/>
                </w:tcPr>
                <w:p w14:paraId="0EB9AA1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w:t>
                  </w:r>
                </w:p>
              </w:tc>
              <w:tc>
                <w:tcPr>
                  <w:tcW w:w="2432" w:type="dxa"/>
                  <w:tcBorders>
                    <w:tl2br w:val="nil"/>
                    <w:tr2bl w:val="nil"/>
                  </w:tcBorders>
                  <w:vAlign w:val="center"/>
                </w:tcPr>
                <w:p w14:paraId="7768EE5C">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合格矿石原料储存区</w:t>
                  </w:r>
                </w:p>
              </w:tc>
              <w:tc>
                <w:tcPr>
                  <w:tcW w:w="1241" w:type="dxa"/>
                  <w:tcBorders>
                    <w:tl2br w:val="nil"/>
                    <w:tr2bl w:val="nil"/>
                  </w:tcBorders>
                  <w:shd w:val="clear" w:color="auto" w:fill="auto"/>
                  <w:vAlign w:val="center"/>
                </w:tcPr>
                <w:p w14:paraId="6C299A2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500</w:t>
                  </w:r>
                </w:p>
              </w:tc>
              <w:tc>
                <w:tcPr>
                  <w:tcW w:w="804" w:type="dxa"/>
                  <w:tcBorders>
                    <w:tl2br w:val="nil"/>
                    <w:tr2bl w:val="nil"/>
                  </w:tcBorders>
                  <w:shd w:val="clear" w:color="auto" w:fill="auto"/>
                  <w:vAlign w:val="center"/>
                </w:tcPr>
                <w:p w14:paraId="6A8C2F4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1079" w:type="dxa"/>
                  <w:tcBorders>
                    <w:tl2br w:val="nil"/>
                    <w:tr2bl w:val="nil"/>
                  </w:tcBorders>
                  <w:shd w:val="clear" w:color="auto" w:fill="auto"/>
                  <w:vAlign w:val="center"/>
                </w:tcPr>
                <w:p w14:paraId="47CF98C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750</w:t>
                  </w:r>
                </w:p>
              </w:tc>
              <w:tc>
                <w:tcPr>
                  <w:tcW w:w="1340" w:type="dxa"/>
                  <w:tcBorders>
                    <w:tl2br w:val="nil"/>
                    <w:tr2bl w:val="nil"/>
                  </w:tcBorders>
                  <w:shd w:val="clear" w:color="auto" w:fill="auto"/>
                  <w:vAlign w:val="center"/>
                </w:tcPr>
                <w:p w14:paraId="3E89D18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8</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0次/a</w:t>
                  </w:r>
                </w:p>
              </w:tc>
            </w:tr>
            <w:tr w14:paraId="2B398EC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601" w:type="dxa"/>
                  <w:tcBorders>
                    <w:tl2br w:val="nil"/>
                    <w:tr2bl w:val="nil"/>
                  </w:tcBorders>
                  <w:vAlign w:val="center"/>
                </w:tcPr>
                <w:p w14:paraId="53669A4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2432" w:type="dxa"/>
                  <w:tcBorders>
                    <w:tl2br w:val="nil"/>
                    <w:tr2bl w:val="nil"/>
                  </w:tcBorders>
                  <w:vAlign w:val="center"/>
                </w:tcPr>
                <w:p w14:paraId="75CDCAAD">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ind w:right="0" w:rightChars="0" w:firstLine="0" w:firstLineChars="0"/>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土渣储存区</w:t>
                  </w:r>
                </w:p>
              </w:tc>
              <w:tc>
                <w:tcPr>
                  <w:tcW w:w="1241" w:type="dxa"/>
                  <w:tcBorders>
                    <w:tl2br w:val="nil"/>
                    <w:tr2bl w:val="nil"/>
                  </w:tcBorders>
                  <w:shd w:val="clear" w:color="auto" w:fill="auto"/>
                  <w:vAlign w:val="center"/>
                </w:tcPr>
                <w:p w14:paraId="2702D77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1000</w:t>
                  </w:r>
                </w:p>
              </w:tc>
              <w:tc>
                <w:tcPr>
                  <w:tcW w:w="804" w:type="dxa"/>
                  <w:tcBorders>
                    <w:tl2br w:val="nil"/>
                    <w:tr2bl w:val="nil"/>
                  </w:tcBorders>
                  <w:shd w:val="clear" w:color="auto" w:fill="auto"/>
                  <w:vAlign w:val="center"/>
                </w:tcPr>
                <w:p w14:paraId="5531DB1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1079" w:type="dxa"/>
                  <w:tcBorders>
                    <w:tl2br w:val="nil"/>
                    <w:tr2bl w:val="nil"/>
                  </w:tcBorders>
                  <w:shd w:val="clear" w:color="auto" w:fill="auto"/>
                  <w:vAlign w:val="center"/>
                </w:tcPr>
                <w:p w14:paraId="26E73D0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2000</w:t>
                  </w:r>
                </w:p>
              </w:tc>
              <w:tc>
                <w:tcPr>
                  <w:tcW w:w="1340" w:type="dxa"/>
                  <w:tcBorders>
                    <w:tl2br w:val="nil"/>
                    <w:tr2bl w:val="nil"/>
                  </w:tcBorders>
                  <w:shd w:val="clear" w:color="auto" w:fill="auto"/>
                  <w:vAlign w:val="center"/>
                </w:tcPr>
                <w:p w14:paraId="504D57D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5次/a</w:t>
                  </w:r>
                </w:p>
              </w:tc>
            </w:tr>
            <w:tr w14:paraId="7E12267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4" w:hRule="atLeast"/>
                <w:jc w:val="center"/>
              </w:trPr>
              <w:tc>
                <w:tcPr>
                  <w:tcW w:w="7497" w:type="dxa"/>
                  <w:gridSpan w:val="6"/>
                  <w:tcBorders>
                    <w:tl2br w:val="nil"/>
                    <w:tr2bl w:val="nil"/>
                  </w:tcBorders>
                  <w:vAlign w:val="center"/>
                </w:tcPr>
                <w:p w14:paraId="11A3157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备注：不合格</w:t>
                  </w:r>
                  <w:r>
                    <w:rPr>
                      <w:rFonts w:hint="eastAsia" w:cs="Times New Roman"/>
                      <w:color w:val="000000" w:themeColor="text1"/>
                      <w:sz w:val="21"/>
                      <w:szCs w:val="21"/>
                      <w:highlight w:val="none"/>
                      <w:vertAlign w:val="baseline"/>
                      <w:lang w:eastAsia="zh-CN"/>
                      <w14:textFill>
                        <w14:solidFill>
                          <w14:schemeClr w14:val="tx1"/>
                        </w14:solidFill>
                      </w14:textFill>
                    </w:rPr>
                    <w:t>矿石原料</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和合格</w:t>
                  </w:r>
                  <w:r>
                    <w:rPr>
                      <w:rFonts w:hint="eastAsia" w:cs="Times New Roman"/>
                      <w:color w:val="000000" w:themeColor="text1"/>
                      <w:sz w:val="21"/>
                      <w:szCs w:val="21"/>
                      <w:highlight w:val="none"/>
                      <w:vertAlign w:val="baseline"/>
                      <w:lang w:eastAsia="zh-CN"/>
                      <w14:textFill>
                        <w14:solidFill>
                          <w14:schemeClr w14:val="tx1"/>
                        </w14:solidFill>
                      </w14:textFill>
                    </w:rPr>
                    <w:t>矿石原料</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密度按</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1.5t/m</w:t>
                  </w:r>
                  <w:r>
                    <w:rPr>
                      <w:rFonts w:hint="eastAsia"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，土渣密度按2t/m</w:t>
                  </w:r>
                  <w:r>
                    <w:rPr>
                      <w:rFonts w:hint="eastAsia"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计</w:t>
                  </w:r>
                </w:p>
              </w:tc>
            </w:tr>
          </w:tbl>
          <w:p w14:paraId="5140456B">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由上表核算结果可知，本项目预处理车间物料贮存规模、堆放容积及年最低周转次数均满足项目生产周转及连续生产要求，仓储配套能力可行。</w:t>
            </w:r>
          </w:p>
          <w:p w14:paraId="70FA8D87">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物料平衡如下：</w:t>
            </w:r>
          </w:p>
          <w:p w14:paraId="33C5075C">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本项目物料平衡</w:t>
            </w:r>
          </w:p>
          <w:tbl>
            <w:tblPr>
              <w:tblStyle w:val="32"/>
              <w:tblW w:w="7467"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1847"/>
              <w:gridCol w:w="1425"/>
              <w:gridCol w:w="1065"/>
              <w:gridCol w:w="1590"/>
              <w:gridCol w:w="1540"/>
            </w:tblGrid>
            <w:tr w14:paraId="127C48A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39" w:hRule="atLeast"/>
                <w:jc w:val="center"/>
              </w:trPr>
              <w:tc>
                <w:tcPr>
                  <w:tcW w:w="3272" w:type="dxa"/>
                  <w:gridSpan w:val="2"/>
                  <w:tcBorders>
                    <w:tl2br w:val="nil"/>
                    <w:tr2bl w:val="nil"/>
                  </w:tcBorders>
                  <w:noWrap w:val="0"/>
                  <w:vAlign w:val="center"/>
                </w:tcPr>
                <w:p w14:paraId="4D2CDEE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投入</w:t>
                  </w:r>
                </w:p>
              </w:tc>
              <w:tc>
                <w:tcPr>
                  <w:tcW w:w="4195" w:type="dxa"/>
                  <w:gridSpan w:val="3"/>
                  <w:tcBorders>
                    <w:tl2br w:val="nil"/>
                    <w:tr2bl w:val="nil"/>
                  </w:tcBorders>
                  <w:noWrap w:val="0"/>
                  <w:vAlign w:val="center"/>
                </w:tcPr>
                <w:p w14:paraId="1D2393F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产出</w:t>
                  </w:r>
                </w:p>
              </w:tc>
            </w:tr>
            <w:tr w14:paraId="558FBDB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31DC3D9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名称</w:t>
                  </w:r>
                </w:p>
              </w:tc>
              <w:tc>
                <w:tcPr>
                  <w:tcW w:w="1425" w:type="dxa"/>
                  <w:tcBorders>
                    <w:tl2br w:val="nil"/>
                    <w:tr2bl w:val="nil"/>
                  </w:tcBorders>
                  <w:noWrap w:val="0"/>
                  <w:vAlign w:val="center"/>
                </w:tcPr>
                <w:p w14:paraId="79F1D53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产生量（</w:t>
                  </w:r>
                  <w:r>
                    <w:rPr>
                      <w:color w:val="000000" w:themeColor="text1"/>
                      <w:kern w:val="0"/>
                      <w:sz w:val="21"/>
                      <w:highlight w:val="none"/>
                      <w:lang w:bidi="ar"/>
                      <w14:textFill>
                        <w14:solidFill>
                          <w14:schemeClr w14:val="tx1"/>
                        </w14:solidFill>
                      </w14:textFill>
                    </w:rPr>
                    <w:t>t/a</w:t>
                  </w:r>
                  <w:r>
                    <w:rPr>
                      <w:rFonts w:hint="eastAsia" w:ascii="宋体" w:hAnsi="宋体" w:cs="宋体"/>
                      <w:color w:val="000000" w:themeColor="text1"/>
                      <w:kern w:val="0"/>
                      <w:sz w:val="21"/>
                      <w:highlight w:val="none"/>
                      <w:lang w:bidi="ar"/>
                      <w14:textFill>
                        <w14:solidFill>
                          <w14:schemeClr w14:val="tx1"/>
                        </w14:solidFill>
                      </w14:textFill>
                    </w:rPr>
                    <w:t>）</w:t>
                  </w:r>
                </w:p>
              </w:tc>
              <w:tc>
                <w:tcPr>
                  <w:tcW w:w="2655" w:type="dxa"/>
                  <w:gridSpan w:val="2"/>
                  <w:tcBorders>
                    <w:tl2br w:val="nil"/>
                    <w:tr2bl w:val="nil"/>
                  </w:tcBorders>
                  <w:noWrap w:val="0"/>
                  <w:vAlign w:val="center"/>
                </w:tcPr>
                <w:p w14:paraId="6DB985D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名称</w:t>
                  </w:r>
                </w:p>
              </w:tc>
              <w:tc>
                <w:tcPr>
                  <w:tcW w:w="1540" w:type="dxa"/>
                  <w:tcBorders>
                    <w:tl2br w:val="nil"/>
                    <w:tr2bl w:val="nil"/>
                  </w:tcBorders>
                  <w:noWrap w:val="0"/>
                  <w:vAlign w:val="center"/>
                </w:tcPr>
                <w:p w14:paraId="18B4ED4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产生量（</w:t>
                  </w:r>
                  <w:r>
                    <w:rPr>
                      <w:color w:val="000000" w:themeColor="text1"/>
                      <w:kern w:val="0"/>
                      <w:sz w:val="21"/>
                      <w:highlight w:val="none"/>
                      <w:lang w:bidi="ar"/>
                      <w14:textFill>
                        <w14:solidFill>
                          <w14:schemeClr w14:val="tx1"/>
                        </w14:solidFill>
                      </w14:textFill>
                    </w:rPr>
                    <w:t>t/a</w:t>
                  </w:r>
                  <w:r>
                    <w:rPr>
                      <w:rFonts w:hint="eastAsia" w:ascii="宋体" w:hAnsi="宋体" w:cs="宋体"/>
                      <w:color w:val="000000" w:themeColor="text1"/>
                      <w:kern w:val="0"/>
                      <w:sz w:val="21"/>
                      <w:highlight w:val="none"/>
                      <w:lang w:bidi="ar"/>
                      <w14:textFill>
                        <w14:solidFill>
                          <w14:schemeClr w14:val="tx1"/>
                        </w14:solidFill>
                      </w14:textFill>
                    </w:rPr>
                    <w:t>）</w:t>
                  </w:r>
                </w:p>
              </w:tc>
            </w:tr>
            <w:tr w14:paraId="18E2D5D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4E104B4D">
                  <w:pPr>
                    <w:keepNext w:val="0"/>
                    <w:keepLines w:val="0"/>
                    <w:pageBreakBefore w:val="0"/>
                    <w:shd w:val="clear"/>
                    <w:kinsoku/>
                    <w:wordWrap/>
                    <w:overflowPunct/>
                    <w:topLinePunct w:val="0"/>
                    <w:bidi w:val="0"/>
                    <w:adjustRightInd/>
                    <w:snapToGrid/>
                    <w:spacing w:line="0" w:lineRule="atLeast"/>
                    <w:ind w:firstLine="0" w:firstLineChars="0"/>
                    <w:jc w:val="center"/>
                    <w:textAlignment w:val="auto"/>
                    <w:rPr>
                      <w:rFonts w:hint="eastAsia" w:ascii="宋体" w:hAnsi="宋体" w:cs="宋体"/>
                      <w:color w:val="000000" w:themeColor="text1"/>
                      <w:sz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硅砂岩（不合格）</w:t>
                  </w:r>
                </w:p>
              </w:tc>
              <w:tc>
                <w:tcPr>
                  <w:tcW w:w="1425" w:type="dxa"/>
                  <w:tcBorders>
                    <w:tl2br w:val="nil"/>
                    <w:tr2bl w:val="nil"/>
                  </w:tcBorders>
                  <w:noWrap w:val="0"/>
                  <w:vAlign w:val="center"/>
                </w:tcPr>
                <w:p w14:paraId="69C21FF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kern w:val="0"/>
                      <w:sz w:val="21"/>
                      <w:highlight w:val="none"/>
                      <w:lang w:val="en-US" w:eastAsia="zh-CN" w:bidi="ar"/>
                      <w14:textFill>
                        <w14:solidFill>
                          <w14:schemeClr w14:val="tx1"/>
                        </w14:solidFill>
                      </w14:textFill>
                    </w:rPr>
                    <w:t>90000</w:t>
                  </w:r>
                </w:p>
              </w:tc>
              <w:tc>
                <w:tcPr>
                  <w:tcW w:w="2655" w:type="dxa"/>
                  <w:gridSpan w:val="2"/>
                  <w:tcBorders>
                    <w:tl2br w:val="nil"/>
                    <w:tr2bl w:val="nil"/>
                  </w:tcBorders>
                  <w:noWrap w:val="0"/>
                  <w:vAlign w:val="center"/>
                </w:tcPr>
                <w:p w14:paraId="1B8C5F9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ascii="宋体" w:hAnsi="宋体" w:cs="宋体"/>
                      <w:color w:val="000000" w:themeColor="text1"/>
                      <w:sz w:val="2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硅砂岩（合格）</w:t>
                  </w:r>
                </w:p>
              </w:tc>
              <w:tc>
                <w:tcPr>
                  <w:tcW w:w="1540" w:type="dxa"/>
                  <w:tcBorders>
                    <w:tl2br w:val="nil"/>
                    <w:tr2bl w:val="nil"/>
                  </w:tcBorders>
                  <w:noWrap w:val="0"/>
                  <w:vAlign w:val="center"/>
                </w:tcPr>
                <w:p w14:paraId="5846222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color w:val="000000" w:themeColor="text1"/>
                      <w:kern w:val="0"/>
                      <w:sz w:val="21"/>
                      <w:highlight w:val="none"/>
                      <w:lang w:val="en-US" w:eastAsia="zh-CN" w:bidi="ar"/>
                      <w14:textFill>
                        <w14:solidFill>
                          <w14:schemeClr w14:val="tx1"/>
                        </w14:solidFill>
                      </w14:textFill>
                    </w:rPr>
                  </w:pPr>
                  <w:r>
                    <w:rPr>
                      <w:rFonts w:hint="default"/>
                      <w:color w:val="000000" w:themeColor="text1"/>
                      <w:kern w:val="0"/>
                      <w:sz w:val="21"/>
                      <w:highlight w:val="none"/>
                      <w:lang w:val="en-US" w:eastAsia="zh-CN" w:bidi="ar"/>
                      <w14:textFill>
                        <w14:solidFill>
                          <w14:schemeClr w14:val="tx1"/>
                        </w14:solidFill>
                      </w14:textFill>
                    </w:rPr>
                    <w:t xml:space="preserve">60000 </w:t>
                  </w:r>
                </w:p>
              </w:tc>
            </w:tr>
            <w:tr w14:paraId="142FAE3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03BA839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cs="宋体"/>
                      <w:color w:val="000000" w:themeColor="text1"/>
                      <w:sz w:val="21"/>
                      <w:highlight w:val="none"/>
                      <w:lang w:val="en-US" w:eastAsia="zh-CN"/>
                      <w14:textFill>
                        <w14:solidFill>
                          <w14:schemeClr w14:val="tx1"/>
                        </w14:solidFill>
                      </w14:textFill>
                    </w:rPr>
                    <w:t>/</w:t>
                  </w:r>
                </w:p>
              </w:tc>
              <w:tc>
                <w:tcPr>
                  <w:tcW w:w="1425" w:type="dxa"/>
                  <w:tcBorders>
                    <w:tl2br w:val="nil"/>
                    <w:tr2bl w:val="nil"/>
                  </w:tcBorders>
                  <w:noWrap w:val="0"/>
                  <w:vAlign w:val="center"/>
                </w:tcPr>
                <w:p w14:paraId="48FB426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w:t>
                  </w:r>
                </w:p>
              </w:tc>
              <w:tc>
                <w:tcPr>
                  <w:tcW w:w="1065" w:type="dxa"/>
                  <w:vMerge w:val="restart"/>
                  <w:tcBorders>
                    <w:tl2br w:val="nil"/>
                    <w:tr2bl w:val="nil"/>
                  </w:tcBorders>
                  <w:noWrap w:val="0"/>
                  <w:vAlign w:val="center"/>
                </w:tcPr>
                <w:p w14:paraId="056FA30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颗粒物</w:t>
                  </w:r>
                </w:p>
              </w:tc>
              <w:tc>
                <w:tcPr>
                  <w:tcW w:w="1590" w:type="dxa"/>
                  <w:tcBorders>
                    <w:tl2br w:val="nil"/>
                    <w:tr2bl w:val="nil"/>
                  </w:tcBorders>
                  <w:noWrap w:val="0"/>
                  <w:vAlign w:val="center"/>
                </w:tcPr>
                <w:p w14:paraId="320D368E">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有组织排放</w:t>
                  </w:r>
                </w:p>
              </w:tc>
              <w:tc>
                <w:tcPr>
                  <w:tcW w:w="1540" w:type="dxa"/>
                  <w:tcBorders>
                    <w:tl2br w:val="nil"/>
                    <w:tr2bl w:val="nil"/>
                  </w:tcBorders>
                  <w:noWrap w:val="0"/>
                  <w:vAlign w:val="center"/>
                </w:tcPr>
                <w:p w14:paraId="3379335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000000" w:themeColor="text1"/>
                      <w:kern w:val="0"/>
                      <w:sz w:val="21"/>
                      <w:highlight w:val="none"/>
                      <w:lang w:val="en-US" w:eastAsia="zh-CN" w:bidi="ar"/>
                      <w14:textFill>
                        <w14:solidFill>
                          <w14:schemeClr w14:val="tx1"/>
                        </w14:solidFill>
                      </w14:textFill>
                    </w:rPr>
                  </w:pPr>
                  <w:r>
                    <w:rPr>
                      <w:rFonts w:hint="default"/>
                      <w:color w:val="000000" w:themeColor="text1"/>
                      <w:kern w:val="0"/>
                      <w:sz w:val="21"/>
                      <w:highlight w:val="none"/>
                      <w:lang w:val="en-US" w:eastAsia="zh-CN" w:bidi="ar"/>
                      <w14:textFill>
                        <w14:solidFill>
                          <w14:schemeClr w14:val="tx1"/>
                        </w14:solidFill>
                      </w14:textFill>
                    </w:rPr>
                    <w:t xml:space="preserve">0.808 </w:t>
                  </w:r>
                </w:p>
              </w:tc>
            </w:tr>
            <w:tr w14:paraId="1B58C21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4AD9EC7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sz w:val="21"/>
                      <w:highlight w:val="none"/>
                      <w:lang w:val="en-US" w:eastAsia="zh-CN"/>
                      <w14:textFill>
                        <w14:solidFill>
                          <w14:schemeClr w14:val="tx1"/>
                        </w14:solidFill>
                      </w14:textFill>
                    </w:rPr>
                    <w:t>/</w:t>
                  </w:r>
                </w:p>
              </w:tc>
              <w:tc>
                <w:tcPr>
                  <w:tcW w:w="1425" w:type="dxa"/>
                  <w:tcBorders>
                    <w:tl2br w:val="nil"/>
                    <w:tr2bl w:val="nil"/>
                  </w:tcBorders>
                  <w:noWrap w:val="0"/>
                  <w:vAlign w:val="center"/>
                </w:tcPr>
                <w:p w14:paraId="16C9055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w:t>
                  </w:r>
                </w:p>
              </w:tc>
              <w:tc>
                <w:tcPr>
                  <w:tcW w:w="1065" w:type="dxa"/>
                  <w:vMerge w:val="continue"/>
                  <w:tcBorders>
                    <w:tl2br w:val="nil"/>
                    <w:tr2bl w:val="nil"/>
                  </w:tcBorders>
                  <w:noWrap w:val="0"/>
                  <w:vAlign w:val="center"/>
                </w:tcPr>
                <w:p w14:paraId="066C8565">
                  <w:pPr>
                    <w:keepNext w:val="0"/>
                    <w:keepLines w:val="0"/>
                    <w:pageBreakBefore w:val="0"/>
                    <w:shd w:val="clear"/>
                    <w:kinsoku/>
                    <w:wordWrap/>
                    <w:overflowPunct/>
                    <w:topLinePunct w:val="0"/>
                    <w:autoSpaceDE/>
                    <w:autoSpaceDN/>
                    <w:bidi w:val="0"/>
                    <w:adjustRightInd/>
                    <w:snapToGrid/>
                    <w:spacing w:line="0" w:lineRule="atLeast"/>
                    <w:ind w:firstLine="0" w:firstLineChars="0"/>
                    <w:jc w:val="center"/>
                    <w:rPr>
                      <w:rFonts w:hint="eastAsia" w:ascii="宋体" w:hAnsi="宋体" w:cs="宋体"/>
                      <w:color w:val="000000" w:themeColor="text1"/>
                      <w:sz w:val="21"/>
                      <w:highlight w:val="none"/>
                      <w14:textFill>
                        <w14:solidFill>
                          <w14:schemeClr w14:val="tx1"/>
                        </w14:solidFill>
                      </w14:textFill>
                    </w:rPr>
                  </w:pPr>
                </w:p>
              </w:tc>
              <w:tc>
                <w:tcPr>
                  <w:tcW w:w="1590" w:type="dxa"/>
                  <w:tcBorders>
                    <w:tl2br w:val="nil"/>
                    <w:tr2bl w:val="nil"/>
                  </w:tcBorders>
                  <w:noWrap w:val="0"/>
                  <w:vAlign w:val="center"/>
                </w:tcPr>
                <w:p w14:paraId="29A254B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无组织排放</w:t>
                  </w:r>
                </w:p>
              </w:tc>
              <w:tc>
                <w:tcPr>
                  <w:tcW w:w="1540" w:type="dxa"/>
                  <w:tcBorders>
                    <w:tl2br w:val="nil"/>
                    <w:tr2bl w:val="nil"/>
                  </w:tcBorders>
                  <w:noWrap w:val="0"/>
                  <w:vAlign w:val="center"/>
                </w:tcPr>
                <w:p w14:paraId="60BAB1F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000000" w:themeColor="text1"/>
                      <w:kern w:val="0"/>
                      <w:sz w:val="21"/>
                      <w:highlight w:val="none"/>
                      <w:lang w:val="en-US" w:eastAsia="zh-CN" w:bidi="ar"/>
                      <w14:textFill>
                        <w14:solidFill>
                          <w14:schemeClr w14:val="tx1"/>
                        </w14:solidFill>
                      </w14:textFill>
                    </w:rPr>
                  </w:pPr>
                  <w:r>
                    <w:rPr>
                      <w:rFonts w:hint="default"/>
                      <w:color w:val="000000" w:themeColor="text1"/>
                      <w:kern w:val="0"/>
                      <w:sz w:val="21"/>
                      <w:highlight w:val="none"/>
                      <w:lang w:val="en-US" w:eastAsia="zh-CN" w:bidi="ar"/>
                      <w14:textFill>
                        <w14:solidFill>
                          <w14:schemeClr w14:val="tx1"/>
                        </w14:solidFill>
                      </w14:textFill>
                    </w:rPr>
                    <w:t xml:space="preserve">0.851 </w:t>
                  </w:r>
                </w:p>
              </w:tc>
            </w:tr>
            <w:tr w14:paraId="7FDA90DE">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75B5735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sz w:val="21"/>
                      <w:highlight w:val="none"/>
                      <w:lang w:val="en-US" w:eastAsia="zh-CN"/>
                      <w14:textFill>
                        <w14:solidFill>
                          <w14:schemeClr w14:val="tx1"/>
                        </w14:solidFill>
                      </w14:textFill>
                    </w:rPr>
                    <w:t>/</w:t>
                  </w:r>
                </w:p>
              </w:tc>
              <w:tc>
                <w:tcPr>
                  <w:tcW w:w="1425" w:type="dxa"/>
                  <w:tcBorders>
                    <w:tl2br w:val="nil"/>
                    <w:tr2bl w:val="nil"/>
                  </w:tcBorders>
                  <w:noWrap w:val="0"/>
                  <w:vAlign w:val="center"/>
                </w:tcPr>
                <w:p w14:paraId="7EAEE1BD">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w:t>
                  </w:r>
                </w:p>
              </w:tc>
              <w:tc>
                <w:tcPr>
                  <w:tcW w:w="1065" w:type="dxa"/>
                  <w:vMerge w:val="continue"/>
                  <w:tcBorders>
                    <w:tl2br w:val="nil"/>
                    <w:tr2bl w:val="nil"/>
                  </w:tcBorders>
                  <w:noWrap w:val="0"/>
                  <w:vAlign w:val="center"/>
                </w:tcPr>
                <w:p w14:paraId="3E944D35">
                  <w:pPr>
                    <w:keepNext w:val="0"/>
                    <w:keepLines w:val="0"/>
                    <w:pageBreakBefore w:val="0"/>
                    <w:shd w:val="clear"/>
                    <w:kinsoku/>
                    <w:wordWrap/>
                    <w:overflowPunct/>
                    <w:topLinePunct w:val="0"/>
                    <w:autoSpaceDE/>
                    <w:autoSpaceDN/>
                    <w:bidi w:val="0"/>
                    <w:adjustRightInd/>
                    <w:snapToGrid/>
                    <w:spacing w:line="0" w:lineRule="atLeast"/>
                    <w:ind w:firstLine="0" w:firstLineChars="0"/>
                    <w:jc w:val="center"/>
                    <w:rPr>
                      <w:rFonts w:hint="eastAsia" w:ascii="宋体" w:hAnsi="宋体" w:cs="宋体"/>
                      <w:color w:val="000000" w:themeColor="text1"/>
                      <w:sz w:val="21"/>
                      <w:highlight w:val="none"/>
                      <w14:textFill>
                        <w14:solidFill>
                          <w14:schemeClr w14:val="tx1"/>
                        </w14:solidFill>
                      </w14:textFill>
                    </w:rPr>
                  </w:pPr>
                </w:p>
              </w:tc>
              <w:tc>
                <w:tcPr>
                  <w:tcW w:w="1590" w:type="dxa"/>
                  <w:tcBorders>
                    <w:tl2br w:val="nil"/>
                    <w:tr2bl w:val="nil"/>
                  </w:tcBorders>
                  <w:noWrap w:val="0"/>
                  <w:vAlign w:val="center"/>
                </w:tcPr>
                <w:p w14:paraId="38CBCDF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000000" w:themeColor="text1"/>
                      <w:kern w:val="0"/>
                      <w:sz w:val="21"/>
                      <w:highlight w:val="none"/>
                      <w:lang w:eastAsia="zh-CN" w:bidi="ar"/>
                      <w14:textFill>
                        <w14:solidFill>
                          <w14:schemeClr w14:val="tx1"/>
                        </w14:solidFill>
                      </w14:textFill>
                    </w:rPr>
                  </w:pPr>
                  <w:r>
                    <w:rPr>
                      <w:rFonts w:hint="eastAsia" w:ascii="宋体" w:hAnsi="宋体" w:cs="宋体"/>
                      <w:color w:val="000000" w:themeColor="text1"/>
                      <w:kern w:val="0"/>
                      <w:sz w:val="21"/>
                      <w:highlight w:val="none"/>
                      <w:lang w:eastAsia="zh-CN" w:bidi="ar"/>
                      <w14:textFill>
                        <w14:solidFill>
                          <w14:schemeClr w14:val="tx1"/>
                        </w14:solidFill>
                      </w14:textFill>
                    </w:rPr>
                    <w:t>除尘灰</w:t>
                  </w:r>
                </w:p>
              </w:tc>
              <w:tc>
                <w:tcPr>
                  <w:tcW w:w="1540" w:type="dxa"/>
                  <w:tcBorders>
                    <w:tl2br w:val="nil"/>
                    <w:tr2bl w:val="nil"/>
                  </w:tcBorders>
                  <w:noWrap w:val="0"/>
                  <w:vAlign w:val="center"/>
                </w:tcPr>
                <w:p w14:paraId="3C6B6D2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000000" w:themeColor="text1"/>
                      <w:kern w:val="0"/>
                      <w:sz w:val="21"/>
                      <w:highlight w:val="none"/>
                      <w:lang w:val="en-US" w:eastAsia="zh-CN" w:bidi="ar"/>
                      <w14:textFill>
                        <w14:solidFill>
                          <w14:schemeClr w14:val="tx1"/>
                        </w14:solidFill>
                      </w14:textFill>
                    </w:rPr>
                  </w:pPr>
                  <w:r>
                    <w:rPr>
                      <w:rFonts w:hint="default"/>
                      <w:color w:val="000000" w:themeColor="text1"/>
                      <w:kern w:val="0"/>
                      <w:sz w:val="21"/>
                      <w:highlight w:val="none"/>
                      <w:lang w:val="en-US" w:eastAsia="zh-CN" w:bidi="ar"/>
                      <w14:textFill>
                        <w14:solidFill>
                          <w14:schemeClr w14:val="tx1"/>
                        </w14:solidFill>
                      </w14:textFill>
                    </w:rPr>
                    <w:t xml:space="preserve">160.787 </w:t>
                  </w:r>
                </w:p>
              </w:tc>
            </w:tr>
            <w:tr w14:paraId="16E95E30">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21" w:hRule="atLeast"/>
                <w:jc w:val="center"/>
              </w:trPr>
              <w:tc>
                <w:tcPr>
                  <w:tcW w:w="1847" w:type="dxa"/>
                  <w:tcBorders>
                    <w:tl2br w:val="nil"/>
                    <w:tr2bl w:val="nil"/>
                  </w:tcBorders>
                  <w:noWrap w:val="0"/>
                  <w:vAlign w:val="center"/>
                </w:tcPr>
                <w:p w14:paraId="0A1421B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sz w:val="21"/>
                      <w:highlight w:val="none"/>
                      <w:lang w:val="en-US" w:eastAsia="zh-CN"/>
                      <w14:textFill>
                        <w14:solidFill>
                          <w14:schemeClr w14:val="tx1"/>
                        </w14:solidFill>
                      </w14:textFill>
                    </w:rPr>
                    <w:t>/</w:t>
                  </w:r>
                </w:p>
              </w:tc>
              <w:tc>
                <w:tcPr>
                  <w:tcW w:w="1425" w:type="dxa"/>
                  <w:tcBorders>
                    <w:tl2br w:val="nil"/>
                    <w:tr2bl w:val="nil"/>
                  </w:tcBorders>
                  <w:noWrap w:val="0"/>
                  <w:vAlign w:val="center"/>
                </w:tcPr>
                <w:p w14:paraId="416BBD9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w:t>
                  </w:r>
                </w:p>
              </w:tc>
              <w:tc>
                <w:tcPr>
                  <w:tcW w:w="2655" w:type="dxa"/>
                  <w:gridSpan w:val="2"/>
                  <w:tcBorders>
                    <w:tl2br w:val="nil"/>
                    <w:tr2bl w:val="nil"/>
                  </w:tcBorders>
                  <w:noWrap w:val="0"/>
                  <w:vAlign w:val="center"/>
                </w:tcPr>
                <w:p w14:paraId="52C0102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color w:val="000000" w:themeColor="text1"/>
                      <w:sz w:val="21"/>
                      <w:highlight w:val="none"/>
                      <w:lang w:eastAsia="zh-CN"/>
                      <w14:textFill>
                        <w14:solidFill>
                          <w14:schemeClr w14:val="tx1"/>
                        </w14:solidFill>
                      </w14:textFill>
                    </w:rPr>
                  </w:pPr>
                  <w:r>
                    <w:rPr>
                      <w:rFonts w:hint="eastAsia" w:ascii="宋体" w:hAnsi="宋体" w:cs="宋体"/>
                      <w:color w:val="000000" w:themeColor="text1"/>
                      <w:kern w:val="0"/>
                      <w:sz w:val="21"/>
                      <w:highlight w:val="none"/>
                      <w:lang w:eastAsia="zh-CN" w:bidi="ar"/>
                      <w14:textFill>
                        <w14:solidFill>
                          <w14:schemeClr w14:val="tx1"/>
                        </w14:solidFill>
                      </w14:textFill>
                    </w:rPr>
                    <w:t>土渣</w:t>
                  </w:r>
                </w:p>
              </w:tc>
              <w:tc>
                <w:tcPr>
                  <w:tcW w:w="1540" w:type="dxa"/>
                  <w:tcBorders>
                    <w:tl2br w:val="nil"/>
                    <w:tr2bl w:val="nil"/>
                  </w:tcBorders>
                  <w:noWrap w:val="0"/>
                  <w:vAlign w:val="center"/>
                </w:tcPr>
                <w:p w14:paraId="097A124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000000" w:themeColor="text1"/>
                      <w:kern w:val="0"/>
                      <w:sz w:val="21"/>
                      <w:highlight w:val="none"/>
                      <w:lang w:val="en-US" w:eastAsia="zh-CN" w:bidi="ar"/>
                      <w14:textFill>
                        <w14:solidFill>
                          <w14:schemeClr w14:val="tx1"/>
                        </w14:solidFill>
                      </w14:textFill>
                    </w:rPr>
                  </w:pPr>
                  <w:r>
                    <w:rPr>
                      <w:rFonts w:hint="default"/>
                      <w:color w:val="000000" w:themeColor="text1"/>
                      <w:kern w:val="0"/>
                      <w:sz w:val="21"/>
                      <w:highlight w:val="none"/>
                      <w:lang w:val="en-US" w:eastAsia="zh-CN" w:bidi="ar"/>
                      <w14:textFill>
                        <w14:solidFill>
                          <w14:schemeClr w14:val="tx1"/>
                        </w14:solidFill>
                      </w14:textFill>
                    </w:rPr>
                    <w:t xml:space="preserve">29837.555 </w:t>
                  </w:r>
                </w:p>
              </w:tc>
            </w:tr>
            <w:tr w14:paraId="0699769E">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49" w:hRule="atLeast"/>
                <w:jc w:val="center"/>
              </w:trPr>
              <w:tc>
                <w:tcPr>
                  <w:tcW w:w="1847" w:type="dxa"/>
                  <w:tcBorders>
                    <w:tl2br w:val="nil"/>
                    <w:tr2bl w:val="nil"/>
                  </w:tcBorders>
                  <w:noWrap w:val="0"/>
                  <w:vAlign w:val="center"/>
                </w:tcPr>
                <w:p w14:paraId="0167834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sz w:val="21"/>
                      <w:highlight w:val="none"/>
                      <w:lang w:val="en-US" w:eastAsia="zh-CN"/>
                      <w14:textFill>
                        <w14:solidFill>
                          <w14:schemeClr w14:val="tx1"/>
                        </w14:solidFill>
                      </w14:textFill>
                    </w:rPr>
                    <w:t>总计</w:t>
                  </w:r>
                </w:p>
              </w:tc>
              <w:tc>
                <w:tcPr>
                  <w:tcW w:w="1425" w:type="dxa"/>
                  <w:tcBorders>
                    <w:tl2br w:val="nil"/>
                    <w:tr2bl w:val="nil"/>
                  </w:tcBorders>
                  <w:noWrap w:val="0"/>
                  <w:vAlign w:val="center"/>
                </w:tcPr>
                <w:p w14:paraId="3CA97E6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kern w:val="0"/>
                      <w:sz w:val="21"/>
                      <w:highlight w:val="none"/>
                      <w:lang w:val="en-US" w:eastAsia="zh-CN" w:bidi="ar"/>
                      <w14:textFill>
                        <w14:solidFill>
                          <w14:schemeClr w14:val="tx1"/>
                        </w14:solidFill>
                      </w14:textFill>
                    </w:rPr>
                    <w:t>90000</w:t>
                  </w:r>
                </w:p>
              </w:tc>
              <w:tc>
                <w:tcPr>
                  <w:tcW w:w="2655" w:type="dxa"/>
                  <w:gridSpan w:val="2"/>
                  <w:tcBorders>
                    <w:tl2br w:val="nil"/>
                    <w:tr2bl w:val="nil"/>
                  </w:tcBorders>
                  <w:noWrap w:val="0"/>
                  <w:vAlign w:val="center"/>
                </w:tcPr>
                <w:p w14:paraId="4BFAA5D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color w:val="000000" w:themeColor="text1"/>
                      <w:sz w:val="21"/>
                      <w:highlight w:val="none"/>
                      <w14:textFill>
                        <w14:solidFill>
                          <w14:schemeClr w14:val="tx1"/>
                        </w14:solidFill>
                      </w14:textFill>
                    </w:rPr>
                  </w:pPr>
                  <w:r>
                    <w:rPr>
                      <w:rFonts w:hint="eastAsia" w:ascii="宋体" w:hAnsi="宋体" w:cs="宋体"/>
                      <w:color w:val="000000" w:themeColor="text1"/>
                      <w:kern w:val="0"/>
                      <w:sz w:val="21"/>
                      <w:highlight w:val="none"/>
                      <w:lang w:bidi="ar"/>
                      <w14:textFill>
                        <w14:solidFill>
                          <w14:schemeClr w14:val="tx1"/>
                        </w14:solidFill>
                      </w14:textFill>
                    </w:rPr>
                    <w:t>总计</w:t>
                  </w:r>
                </w:p>
              </w:tc>
              <w:tc>
                <w:tcPr>
                  <w:tcW w:w="1540" w:type="dxa"/>
                  <w:tcBorders>
                    <w:tl2br w:val="nil"/>
                    <w:tr2bl w:val="nil"/>
                  </w:tcBorders>
                  <w:noWrap w:val="0"/>
                  <w:vAlign w:val="center"/>
                </w:tcPr>
                <w:p w14:paraId="3A81DCA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center"/>
                    <w:rPr>
                      <w:rFonts w:hint="default"/>
                      <w:color w:val="000000" w:themeColor="text1"/>
                      <w:kern w:val="0"/>
                      <w:sz w:val="21"/>
                      <w:highlight w:val="none"/>
                      <w:lang w:val="en-US" w:eastAsia="zh-CN" w:bidi="ar"/>
                      <w14:textFill>
                        <w14:solidFill>
                          <w14:schemeClr w14:val="tx1"/>
                        </w14:solidFill>
                      </w14:textFill>
                    </w:rPr>
                  </w:pPr>
                  <w:r>
                    <w:rPr>
                      <w:rFonts w:hint="default"/>
                      <w:color w:val="000000" w:themeColor="text1"/>
                      <w:kern w:val="0"/>
                      <w:sz w:val="21"/>
                      <w:highlight w:val="none"/>
                      <w:lang w:val="en-US" w:eastAsia="zh-CN" w:bidi="ar"/>
                      <w14:textFill>
                        <w14:solidFill>
                          <w14:schemeClr w14:val="tx1"/>
                        </w14:solidFill>
                      </w14:textFill>
                    </w:rPr>
                    <w:t xml:space="preserve">90000 </w:t>
                  </w:r>
                </w:p>
              </w:tc>
            </w:tr>
          </w:tbl>
          <w:p w14:paraId="2DBAD32F">
            <w:pPr>
              <w:keepNext w:val="0"/>
              <w:keepLines w:val="0"/>
              <w:pageBreakBefore w:val="0"/>
              <w:widowControl w:val="0"/>
              <w:numPr>
                <w:ilvl w:val="0"/>
                <w:numId w:val="0"/>
              </w:numPr>
              <w:shd w:val="clear"/>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备注：本项目建成后，仅为现有工程配套提供6万吨合格</w:t>
            </w:r>
            <w:r>
              <w:rPr>
                <w:rFonts w:hint="eastAsia" w:cs="Times New Roman"/>
                <w:color w:val="000000" w:themeColor="text1"/>
                <w:sz w:val="24"/>
                <w:szCs w:val="24"/>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。现有工程仍维持原有生产规模，继续依托12万吨合格</w:t>
            </w:r>
            <w:r>
              <w:rPr>
                <w:rFonts w:hint="eastAsia" w:cs="Times New Roman"/>
                <w:color w:val="000000" w:themeColor="text1"/>
                <w:sz w:val="24"/>
                <w:szCs w:val="24"/>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生产10万吨产品，物料平衡、生产工艺及排污情况均保持不变。因此，本次评价不再赘述现有工程物料平衡内容。</w:t>
            </w:r>
          </w:p>
          <w:p w14:paraId="4F5B372D">
            <w:pPr>
              <w:pStyle w:val="3"/>
              <w:shd w:val="clear"/>
              <w:rPr>
                <w:rFonts w:hint="default"/>
                <w:color w:val="000000" w:themeColor="text1"/>
                <w:highlight w:val="none"/>
                <w:lang w:val="en-US" w:eastAsia="zh-CN"/>
                <w14:textFill>
                  <w14:solidFill>
                    <w14:schemeClr w14:val="tx1"/>
                  </w14:solidFill>
                </w14:textFill>
              </w:rPr>
            </w:pPr>
          </w:p>
          <w:p w14:paraId="282C9134">
            <w:pPr>
              <w:shd w:val="clear"/>
              <w:ind w:left="0" w:leftChars="0" w:firstLine="0" w:firstLineChars="0"/>
              <w:rPr>
                <w:rFonts w:hint="default"/>
                <w:color w:val="000000" w:themeColor="text1"/>
                <w:highlight w:val="none"/>
                <w:lang w:val="en-US" w:eastAsia="zh-CN"/>
                <w14:textFill>
                  <w14:solidFill>
                    <w14:schemeClr w14:val="tx1"/>
                  </w14:solidFill>
                </w14:textFill>
              </w:rPr>
            </w:pPr>
          </w:p>
          <w:p w14:paraId="2380342D">
            <w:pPr>
              <w:shd w:val="clear"/>
              <w:rPr>
                <w:rFonts w:hint="default"/>
                <w:color w:val="000000" w:themeColor="text1"/>
                <w:highlight w:val="none"/>
                <w:lang w:val="en-US" w:eastAsia="zh-CN"/>
                <w14:textFill>
                  <w14:solidFill>
                    <w14:schemeClr w14:val="tx1"/>
                  </w14:solidFill>
                </w14:textFill>
              </w:rPr>
            </w:pPr>
          </w:p>
          <w:p w14:paraId="3FA4F498">
            <w:pPr>
              <w:shd w:val="clear"/>
              <w:rPr>
                <w:rFonts w:hint="default"/>
                <w:color w:val="000000" w:themeColor="text1"/>
                <w:highlight w:val="none"/>
                <w:lang w:val="en-US" w:eastAsia="zh-CN"/>
                <w14:textFill>
                  <w14:solidFill>
                    <w14:schemeClr w14:val="tx1"/>
                  </w14:solidFill>
                </w14:textFill>
              </w:rPr>
            </w:pPr>
          </w:p>
          <w:p w14:paraId="251A591F">
            <w:pPr>
              <w:pStyle w:val="15"/>
              <w:shd w:val="clear"/>
              <w:rPr>
                <w:rFonts w:hint="default"/>
                <w:color w:val="000000" w:themeColor="text1"/>
                <w:highlight w:val="none"/>
                <w:lang w:val="en-US" w:eastAsia="zh-CN"/>
                <w14:textFill>
                  <w14:solidFill>
                    <w14:schemeClr w14:val="tx1"/>
                  </w14:solidFill>
                </w14:textFill>
              </w:rPr>
            </w:pPr>
          </w:p>
          <w:p w14:paraId="03C3C88F">
            <w:pPr>
              <w:pStyle w:val="15"/>
              <w:shd w:val="clear"/>
              <w:ind w:left="0" w:leftChars="0" w:firstLine="0" w:firstLineChars="0"/>
              <w:rPr>
                <w:rFonts w:hint="default"/>
                <w:color w:val="000000" w:themeColor="text1"/>
                <w:highlight w:val="none"/>
                <w:lang w:val="en-US" w:eastAsia="zh-CN"/>
                <w14:textFill>
                  <w14:solidFill>
                    <w14:schemeClr w14:val="tx1"/>
                  </w14:solidFill>
                </w14:textFill>
              </w:rPr>
            </w:pPr>
          </w:p>
        </w:tc>
      </w:tr>
    </w:tbl>
    <w:p w14:paraId="24CC88E7">
      <w:pPr>
        <w:shd w:val="clear"/>
        <w:rPr>
          <w:color w:val="000000" w:themeColor="text1"/>
          <w:highlight w:val="none"/>
          <w14:textFill>
            <w14:solidFill>
              <w14:schemeClr w14:val="tx1"/>
            </w14:solidFill>
          </w14:textFill>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795"/>
        <w:gridCol w:w="13079"/>
      </w:tblGrid>
      <w:tr w14:paraId="2E7F1564">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8986" w:hRule="atLeast"/>
          <w:jc w:val="center"/>
        </w:trPr>
        <w:tc>
          <w:tcPr>
            <w:tcW w:w="795" w:type="dxa"/>
            <w:tcBorders>
              <w:tl2br w:val="nil"/>
              <w:tr2bl w:val="nil"/>
            </w:tcBorders>
          </w:tcPr>
          <w:p w14:paraId="12E35BE4">
            <w:pPr>
              <w:pStyle w:val="15"/>
              <w:shd w:val="clear"/>
              <w:rPr>
                <w:color w:val="000000" w:themeColor="text1"/>
                <w:highlight w:val="none"/>
                <w:vertAlign w:val="baseline"/>
                <w14:textFill>
                  <w14:solidFill>
                    <w14:schemeClr w14:val="tx1"/>
                  </w14:solidFill>
                </w14:textFill>
              </w:rPr>
            </w:pPr>
          </w:p>
        </w:tc>
        <w:tc>
          <w:tcPr>
            <w:tcW w:w="13079" w:type="dxa"/>
            <w:tcBorders>
              <w:tl2br w:val="nil"/>
              <w:tr2bl w:val="nil"/>
            </w:tcBorders>
          </w:tcPr>
          <w:p w14:paraId="1A14C106">
            <w:pPr>
              <w:numPr>
                <w:ilvl w:val="0"/>
                <w:numId w:val="8"/>
              </w:numPr>
              <w:shd w:val="clear"/>
              <w:bidi w:val="0"/>
              <w:ind w:left="0" w:leftChars="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本次技改完成后，全厂</w:t>
            </w:r>
            <w:r>
              <w:rPr>
                <w:rFonts w:hint="default" w:ascii="Times New Roman" w:hAnsi="Times New Roman" w:cs="Times New Roman"/>
                <w:color w:val="000000" w:themeColor="text1"/>
                <w:sz w:val="24"/>
                <w:szCs w:val="24"/>
                <w:highlight w:val="none"/>
                <w14:textFill>
                  <w14:solidFill>
                    <w14:schemeClr w14:val="tx1"/>
                  </w14:solidFill>
                </w14:textFill>
              </w:rPr>
              <w:t>主要生产设备见下表。</w:t>
            </w:r>
          </w:p>
          <w:p w14:paraId="4B07996F">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本次技改完成后全厂设备清单</w:t>
            </w:r>
          </w:p>
          <w:tbl>
            <w:tblPr>
              <w:tblStyle w:val="33"/>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45"/>
              <w:gridCol w:w="1605"/>
              <w:gridCol w:w="918"/>
              <w:gridCol w:w="2211"/>
              <w:gridCol w:w="2109"/>
              <w:gridCol w:w="1110"/>
              <w:gridCol w:w="1710"/>
              <w:gridCol w:w="669"/>
              <w:gridCol w:w="783"/>
            </w:tblGrid>
            <w:tr w14:paraId="3F15E62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29" w:hRule="atLeast"/>
                <w:jc w:val="center"/>
              </w:trPr>
              <w:tc>
                <w:tcPr>
                  <w:tcW w:w="845" w:type="dxa"/>
                  <w:vMerge w:val="restart"/>
                  <w:tcBorders>
                    <w:tl2br w:val="nil"/>
                    <w:tr2bl w:val="nil"/>
                  </w:tcBorders>
                  <w:vAlign w:val="center"/>
                </w:tcPr>
                <w:p w14:paraId="749744C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序号</w:t>
                  </w:r>
                </w:p>
              </w:tc>
              <w:tc>
                <w:tcPr>
                  <w:tcW w:w="1605" w:type="dxa"/>
                  <w:vMerge w:val="restart"/>
                  <w:tcBorders>
                    <w:tl2br w:val="nil"/>
                    <w:tr2bl w:val="nil"/>
                  </w:tcBorders>
                  <w:vAlign w:val="center"/>
                </w:tcPr>
                <w:p w14:paraId="5261CD3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主要生产单元</w:t>
                  </w:r>
                </w:p>
              </w:tc>
              <w:tc>
                <w:tcPr>
                  <w:tcW w:w="918" w:type="dxa"/>
                  <w:vMerge w:val="restart"/>
                  <w:tcBorders>
                    <w:tl2br w:val="nil"/>
                    <w:tr2bl w:val="nil"/>
                  </w:tcBorders>
                  <w:vAlign w:val="center"/>
                </w:tcPr>
                <w:p w14:paraId="7A93AC1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主要工艺</w:t>
                  </w:r>
                </w:p>
              </w:tc>
              <w:tc>
                <w:tcPr>
                  <w:tcW w:w="2211" w:type="dxa"/>
                  <w:vMerge w:val="restart"/>
                  <w:tcBorders>
                    <w:tl2br w:val="nil"/>
                    <w:tr2bl w:val="nil"/>
                  </w:tcBorders>
                  <w:vAlign w:val="center"/>
                </w:tcPr>
                <w:p w14:paraId="13DBE27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设备名称</w:t>
                  </w:r>
                </w:p>
              </w:tc>
              <w:tc>
                <w:tcPr>
                  <w:tcW w:w="2109" w:type="dxa"/>
                  <w:vMerge w:val="restart"/>
                  <w:tcBorders>
                    <w:tl2br w:val="nil"/>
                    <w:tr2bl w:val="nil"/>
                  </w:tcBorders>
                  <w:vAlign w:val="center"/>
                </w:tcPr>
                <w:p w14:paraId="7553009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规格型号</w:t>
                  </w:r>
                </w:p>
              </w:tc>
              <w:tc>
                <w:tcPr>
                  <w:tcW w:w="2820" w:type="dxa"/>
                  <w:gridSpan w:val="2"/>
                  <w:tcBorders>
                    <w:tl2br w:val="nil"/>
                    <w:tr2bl w:val="nil"/>
                  </w:tcBorders>
                  <w:vAlign w:val="center"/>
                </w:tcPr>
                <w:p w14:paraId="001C985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数量</w:t>
                  </w:r>
                </w:p>
              </w:tc>
              <w:tc>
                <w:tcPr>
                  <w:tcW w:w="669" w:type="dxa"/>
                  <w:vMerge w:val="restart"/>
                  <w:tcBorders>
                    <w:tl2br w:val="nil"/>
                    <w:tr2bl w:val="nil"/>
                  </w:tcBorders>
                  <w:vAlign w:val="center"/>
                </w:tcPr>
                <w:p w14:paraId="38AACE6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变化量</w:t>
                  </w:r>
                </w:p>
              </w:tc>
              <w:tc>
                <w:tcPr>
                  <w:tcW w:w="783" w:type="dxa"/>
                  <w:vMerge w:val="restart"/>
                  <w:tcBorders>
                    <w:tl2br w:val="nil"/>
                    <w:tr2bl w:val="nil"/>
                  </w:tcBorders>
                  <w:vAlign w:val="center"/>
                </w:tcPr>
                <w:p w14:paraId="15CF128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备注</w:t>
                  </w:r>
                </w:p>
              </w:tc>
            </w:tr>
            <w:tr w14:paraId="4088C8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45" w:hRule="atLeast"/>
                <w:jc w:val="center"/>
              </w:trPr>
              <w:tc>
                <w:tcPr>
                  <w:tcW w:w="845" w:type="dxa"/>
                  <w:vMerge w:val="continue"/>
                  <w:tcBorders>
                    <w:tl2br w:val="nil"/>
                    <w:tr2bl w:val="nil"/>
                  </w:tcBorders>
                  <w:vAlign w:val="center"/>
                </w:tcPr>
                <w:p w14:paraId="794DA5C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0AE334A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6E47671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vMerge w:val="continue"/>
                  <w:tcBorders>
                    <w:tl2br w:val="nil"/>
                    <w:tr2bl w:val="nil"/>
                  </w:tcBorders>
                  <w:vAlign w:val="center"/>
                </w:tcPr>
                <w:p w14:paraId="3EA6E3E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109" w:type="dxa"/>
                  <w:vMerge w:val="continue"/>
                  <w:tcBorders>
                    <w:tl2br w:val="nil"/>
                    <w:tr2bl w:val="nil"/>
                  </w:tcBorders>
                  <w:vAlign w:val="center"/>
                </w:tcPr>
                <w:p w14:paraId="6CCD961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110" w:type="dxa"/>
                  <w:tcBorders>
                    <w:tl2br w:val="nil"/>
                    <w:tr2bl w:val="nil"/>
                  </w:tcBorders>
                  <w:vAlign w:val="center"/>
                </w:tcPr>
                <w:p w14:paraId="40D20CC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现有工程</w:t>
                  </w:r>
                </w:p>
              </w:tc>
              <w:tc>
                <w:tcPr>
                  <w:tcW w:w="1710" w:type="dxa"/>
                  <w:tcBorders>
                    <w:tl2br w:val="nil"/>
                    <w:tr2bl w:val="nil"/>
                  </w:tcBorders>
                  <w:vAlign w:val="center"/>
                </w:tcPr>
                <w:p w14:paraId="760E08C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技改完成后全厂</w:t>
                  </w:r>
                </w:p>
              </w:tc>
              <w:tc>
                <w:tcPr>
                  <w:tcW w:w="669" w:type="dxa"/>
                  <w:vMerge w:val="continue"/>
                  <w:tcBorders>
                    <w:tl2br w:val="nil"/>
                    <w:tr2bl w:val="nil"/>
                  </w:tcBorders>
                  <w:vAlign w:val="center"/>
                </w:tcPr>
                <w:p w14:paraId="084CA26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783" w:type="dxa"/>
                  <w:vMerge w:val="continue"/>
                  <w:tcBorders>
                    <w:tl2br w:val="nil"/>
                    <w:tr2bl w:val="nil"/>
                  </w:tcBorders>
                  <w:vAlign w:val="center"/>
                </w:tcPr>
                <w:p w14:paraId="501BBA8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r>
            <w:tr w14:paraId="60CA7D9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29" w:hRule="atLeast"/>
                <w:jc w:val="center"/>
              </w:trPr>
              <w:tc>
                <w:tcPr>
                  <w:tcW w:w="845" w:type="dxa"/>
                  <w:tcBorders>
                    <w:tl2br w:val="nil"/>
                    <w:tr2bl w:val="nil"/>
                  </w:tcBorders>
                  <w:vAlign w:val="center"/>
                </w:tcPr>
                <w:p w14:paraId="0E6B1DB5">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restart"/>
                  <w:tcBorders>
                    <w:tl2br w:val="nil"/>
                    <w:tr2bl w:val="nil"/>
                  </w:tcBorders>
                  <w:vAlign w:val="center"/>
                </w:tcPr>
                <w:p w14:paraId="6AAC13A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预处理单元</w:t>
                  </w:r>
                </w:p>
              </w:tc>
              <w:tc>
                <w:tcPr>
                  <w:tcW w:w="918" w:type="dxa"/>
                  <w:vMerge w:val="restart"/>
                  <w:tcBorders>
                    <w:tl2br w:val="nil"/>
                    <w:tr2bl w:val="nil"/>
                  </w:tcBorders>
                  <w:vAlign w:val="center"/>
                </w:tcPr>
                <w:p w14:paraId="578A6BB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破碎</w:t>
                  </w:r>
                </w:p>
              </w:tc>
              <w:tc>
                <w:tcPr>
                  <w:tcW w:w="2211" w:type="dxa"/>
                  <w:tcBorders>
                    <w:tl2br w:val="nil"/>
                    <w:tr2bl w:val="nil"/>
                  </w:tcBorders>
                  <w:vAlign w:val="center"/>
                </w:tcPr>
                <w:p w14:paraId="60DBAFB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颚式破碎机</w:t>
                  </w:r>
                </w:p>
              </w:tc>
              <w:tc>
                <w:tcPr>
                  <w:tcW w:w="2109" w:type="dxa"/>
                  <w:tcBorders>
                    <w:tl2br w:val="nil"/>
                    <w:tr2bl w:val="nil"/>
                  </w:tcBorders>
                  <w:vAlign w:val="center"/>
                </w:tcPr>
                <w:p w14:paraId="044A4AA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500×750mm</w:t>
                  </w:r>
                </w:p>
              </w:tc>
              <w:tc>
                <w:tcPr>
                  <w:tcW w:w="1110" w:type="dxa"/>
                  <w:tcBorders>
                    <w:tl2br w:val="nil"/>
                    <w:tr2bl w:val="nil"/>
                  </w:tcBorders>
                  <w:vAlign w:val="center"/>
                </w:tcPr>
                <w:p w14:paraId="471AEAB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1710" w:type="dxa"/>
                  <w:tcBorders>
                    <w:tl2br w:val="nil"/>
                    <w:tr2bl w:val="nil"/>
                  </w:tcBorders>
                  <w:vAlign w:val="center"/>
                </w:tcPr>
                <w:p w14:paraId="5E03D6D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2ABA506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783" w:type="dxa"/>
                  <w:tcBorders>
                    <w:tl2br w:val="nil"/>
                    <w:tr2bl w:val="nil"/>
                  </w:tcBorders>
                  <w:vAlign w:val="center"/>
                </w:tcPr>
                <w:p w14:paraId="3E53F11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新增</w:t>
                  </w:r>
                </w:p>
              </w:tc>
            </w:tr>
            <w:tr w14:paraId="15C8D52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3" w:hRule="atLeast"/>
                <w:jc w:val="center"/>
              </w:trPr>
              <w:tc>
                <w:tcPr>
                  <w:tcW w:w="845" w:type="dxa"/>
                  <w:tcBorders>
                    <w:tl2br w:val="nil"/>
                    <w:tr2bl w:val="nil"/>
                  </w:tcBorders>
                  <w:vAlign w:val="center"/>
                </w:tcPr>
                <w:p w14:paraId="1C1254A3">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1BB3A08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60B7888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vAlign w:val="center"/>
                </w:tcPr>
                <w:p w14:paraId="7678744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圆锥破碎机</w:t>
                  </w:r>
                </w:p>
              </w:tc>
              <w:tc>
                <w:tcPr>
                  <w:tcW w:w="2109" w:type="dxa"/>
                  <w:tcBorders>
                    <w:tl2br w:val="nil"/>
                    <w:tr2bl w:val="nil"/>
                  </w:tcBorders>
                  <w:vAlign w:val="center"/>
                </w:tcPr>
                <w:p w14:paraId="5D9EEA6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1200mm</w:t>
                  </w:r>
                </w:p>
              </w:tc>
              <w:tc>
                <w:tcPr>
                  <w:tcW w:w="1110" w:type="dxa"/>
                  <w:tcBorders>
                    <w:tl2br w:val="nil"/>
                    <w:tr2bl w:val="nil"/>
                  </w:tcBorders>
                  <w:vAlign w:val="center"/>
                </w:tcPr>
                <w:p w14:paraId="29CB754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1710" w:type="dxa"/>
                  <w:tcBorders>
                    <w:tl2br w:val="nil"/>
                    <w:tr2bl w:val="nil"/>
                  </w:tcBorders>
                  <w:vAlign w:val="center"/>
                </w:tcPr>
                <w:p w14:paraId="71F9282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shd w:val="clear" w:color="auto" w:fill="auto"/>
                  <w:vAlign w:val="center"/>
                </w:tcPr>
                <w:p w14:paraId="5BFAB90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783" w:type="dxa"/>
                  <w:tcBorders>
                    <w:tl2br w:val="nil"/>
                    <w:tr2bl w:val="nil"/>
                  </w:tcBorders>
                  <w:shd w:val="clear" w:color="auto" w:fill="auto"/>
                  <w:vAlign w:val="center"/>
                </w:tcPr>
                <w:p w14:paraId="21AE040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新增</w:t>
                  </w:r>
                </w:p>
              </w:tc>
            </w:tr>
            <w:tr w14:paraId="02397D0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3" w:hRule="atLeast"/>
                <w:jc w:val="center"/>
              </w:trPr>
              <w:tc>
                <w:tcPr>
                  <w:tcW w:w="845" w:type="dxa"/>
                  <w:tcBorders>
                    <w:tl2br w:val="nil"/>
                    <w:tr2bl w:val="nil"/>
                  </w:tcBorders>
                  <w:vAlign w:val="center"/>
                </w:tcPr>
                <w:p w14:paraId="17A721EA">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139A28B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tcBorders>
                    <w:tl2br w:val="nil"/>
                    <w:tr2bl w:val="nil"/>
                  </w:tcBorders>
                  <w:vAlign w:val="center"/>
                </w:tcPr>
                <w:p w14:paraId="7F2C5A7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筛分</w:t>
                  </w:r>
                </w:p>
              </w:tc>
              <w:tc>
                <w:tcPr>
                  <w:tcW w:w="2211" w:type="dxa"/>
                  <w:tcBorders>
                    <w:tl2br w:val="nil"/>
                    <w:tr2bl w:val="nil"/>
                  </w:tcBorders>
                  <w:vAlign w:val="center"/>
                </w:tcPr>
                <w:p w14:paraId="7E1260F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往复式摇筛</w:t>
                  </w:r>
                </w:p>
              </w:tc>
              <w:tc>
                <w:tcPr>
                  <w:tcW w:w="2109" w:type="dxa"/>
                  <w:tcBorders>
                    <w:tl2br w:val="nil"/>
                    <w:tr2bl w:val="nil"/>
                  </w:tcBorders>
                  <w:vAlign w:val="center"/>
                </w:tcPr>
                <w:p w14:paraId="2DA6ADB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2×6m</w:t>
                  </w:r>
                </w:p>
              </w:tc>
              <w:tc>
                <w:tcPr>
                  <w:tcW w:w="1110" w:type="dxa"/>
                  <w:tcBorders>
                    <w:tl2br w:val="nil"/>
                    <w:tr2bl w:val="nil"/>
                  </w:tcBorders>
                  <w:shd w:val="clear" w:color="auto" w:fill="auto"/>
                  <w:vAlign w:val="center"/>
                </w:tcPr>
                <w:p w14:paraId="7619F01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1710" w:type="dxa"/>
                  <w:tcBorders>
                    <w:tl2br w:val="nil"/>
                    <w:tr2bl w:val="nil"/>
                  </w:tcBorders>
                  <w:shd w:val="clear" w:color="auto" w:fill="auto"/>
                  <w:vAlign w:val="center"/>
                </w:tcPr>
                <w:p w14:paraId="2A82D45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shd w:val="clear" w:color="auto" w:fill="auto"/>
                  <w:vAlign w:val="center"/>
                </w:tcPr>
                <w:p w14:paraId="6F2798B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783" w:type="dxa"/>
                  <w:tcBorders>
                    <w:tl2br w:val="nil"/>
                    <w:tr2bl w:val="nil"/>
                  </w:tcBorders>
                  <w:shd w:val="clear" w:color="auto" w:fill="auto"/>
                  <w:vAlign w:val="center"/>
                </w:tcPr>
                <w:p w14:paraId="288019B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新增</w:t>
                  </w:r>
                </w:p>
              </w:tc>
            </w:tr>
            <w:tr w14:paraId="372D776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3" w:hRule="atLeast"/>
                <w:jc w:val="center"/>
              </w:trPr>
              <w:tc>
                <w:tcPr>
                  <w:tcW w:w="845" w:type="dxa"/>
                  <w:tcBorders>
                    <w:tl2br w:val="nil"/>
                    <w:tr2bl w:val="nil"/>
                  </w:tcBorders>
                  <w:vAlign w:val="center"/>
                </w:tcPr>
                <w:p w14:paraId="5EF903EE">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45B6449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tcBorders>
                    <w:tl2br w:val="nil"/>
                    <w:tr2bl w:val="nil"/>
                  </w:tcBorders>
                  <w:vAlign w:val="center"/>
                </w:tcPr>
                <w:p w14:paraId="7CF8143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输送</w:t>
                  </w:r>
                </w:p>
              </w:tc>
              <w:tc>
                <w:tcPr>
                  <w:tcW w:w="2211" w:type="dxa"/>
                  <w:tcBorders>
                    <w:tl2br w:val="nil"/>
                    <w:tr2bl w:val="nil"/>
                  </w:tcBorders>
                  <w:vAlign w:val="center"/>
                </w:tcPr>
                <w:p w14:paraId="67A19C7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皮带输送机</w:t>
                  </w:r>
                </w:p>
              </w:tc>
              <w:tc>
                <w:tcPr>
                  <w:tcW w:w="2109" w:type="dxa"/>
                  <w:tcBorders>
                    <w:tl2br w:val="nil"/>
                    <w:tr2bl w:val="nil"/>
                  </w:tcBorders>
                  <w:vAlign w:val="center"/>
                </w:tcPr>
                <w:p w14:paraId="2887149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650mm</w:t>
                  </w:r>
                </w:p>
              </w:tc>
              <w:tc>
                <w:tcPr>
                  <w:tcW w:w="1110" w:type="dxa"/>
                  <w:tcBorders>
                    <w:tl2br w:val="nil"/>
                    <w:tr2bl w:val="nil"/>
                  </w:tcBorders>
                  <w:vAlign w:val="center"/>
                </w:tcPr>
                <w:p w14:paraId="651F333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1710" w:type="dxa"/>
                  <w:tcBorders>
                    <w:tl2br w:val="nil"/>
                    <w:tr2bl w:val="nil"/>
                  </w:tcBorders>
                  <w:vAlign w:val="center"/>
                </w:tcPr>
                <w:p w14:paraId="2128EEE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3</w:t>
                  </w:r>
                </w:p>
              </w:tc>
              <w:tc>
                <w:tcPr>
                  <w:tcW w:w="669" w:type="dxa"/>
                  <w:tcBorders>
                    <w:tl2br w:val="nil"/>
                    <w:tr2bl w:val="nil"/>
                  </w:tcBorders>
                  <w:vAlign w:val="center"/>
                </w:tcPr>
                <w:p w14:paraId="5ACCBFF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+3</w:t>
                  </w:r>
                </w:p>
              </w:tc>
              <w:tc>
                <w:tcPr>
                  <w:tcW w:w="783" w:type="dxa"/>
                  <w:tcBorders>
                    <w:tl2br w:val="nil"/>
                    <w:tr2bl w:val="nil"/>
                  </w:tcBorders>
                  <w:vAlign w:val="center"/>
                </w:tcPr>
                <w:p w14:paraId="2425FF1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新增</w:t>
                  </w:r>
                </w:p>
              </w:tc>
            </w:tr>
            <w:tr w14:paraId="0363737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33ACCDF1">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restart"/>
                  <w:tcBorders>
                    <w:tl2br w:val="nil"/>
                    <w:tr2bl w:val="nil"/>
                  </w:tcBorders>
                  <w:vAlign w:val="center"/>
                </w:tcPr>
                <w:p w14:paraId="2F4A0CA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生产单元</w:t>
                  </w:r>
                </w:p>
              </w:tc>
              <w:tc>
                <w:tcPr>
                  <w:tcW w:w="918" w:type="dxa"/>
                  <w:vMerge w:val="restart"/>
                  <w:tcBorders>
                    <w:tl2br w:val="nil"/>
                    <w:tr2bl w:val="nil"/>
                  </w:tcBorders>
                  <w:vAlign w:val="center"/>
                </w:tcPr>
                <w:p w14:paraId="43A3023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破碎</w:t>
                  </w:r>
                </w:p>
              </w:tc>
              <w:tc>
                <w:tcPr>
                  <w:tcW w:w="2211" w:type="dxa"/>
                  <w:tcBorders>
                    <w:tl2br w:val="nil"/>
                    <w:tr2bl w:val="nil"/>
                  </w:tcBorders>
                  <w:shd w:val="clear" w:color="auto" w:fill="auto"/>
                  <w:vAlign w:val="center"/>
                </w:tcPr>
                <w:p w14:paraId="3E28F1E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颚式破碎机</w:t>
                  </w:r>
                </w:p>
              </w:tc>
              <w:tc>
                <w:tcPr>
                  <w:tcW w:w="2109" w:type="dxa"/>
                  <w:tcBorders>
                    <w:tl2br w:val="nil"/>
                    <w:tr2bl w:val="nil"/>
                  </w:tcBorders>
                  <w:shd w:val="clear" w:color="auto" w:fill="auto"/>
                  <w:vAlign w:val="center"/>
                </w:tcPr>
                <w:p w14:paraId="1C7513D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PE500*750</w:t>
                  </w:r>
                </w:p>
              </w:tc>
              <w:tc>
                <w:tcPr>
                  <w:tcW w:w="1110" w:type="dxa"/>
                  <w:tcBorders>
                    <w:tl2br w:val="nil"/>
                    <w:tr2bl w:val="nil"/>
                  </w:tcBorders>
                  <w:vAlign w:val="center"/>
                </w:tcPr>
                <w:p w14:paraId="1D96978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vAlign w:val="center"/>
                </w:tcPr>
                <w:p w14:paraId="223637A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54A2828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04BE9A9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4067204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522B9EB2">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1B97395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4CD3C26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shd w:val="clear" w:color="auto" w:fill="auto"/>
                  <w:vAlign w:val="center"/>
                </w:tcPr>
                <w:p w14:paraId="7DC1297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圆锥破碎机</w:t>
                  </w:r>
                </w:p>
              </w:tc>
              <w:tc>
                <w:tcPr>
                  <w:tcW w:w="2109" w:type="dxa"/>
                  <w:tcBorders>
                    <w:tl2br w:val="nil"/>
                    <w:tr2bl w:val="nil"/>
                  </w:tcBorders>
                  <w:shd w:val="clear" w:color="auto" w:fill="auto"/>
                  <w:vAlign w:val="center"/>
                </w:tcPr>
                <w:p w14:paraId="100D129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PY1200</w:t>
                  </w:r>
                </w:p>
              </w:tc>
              <w:tc>
                <w:tcPr>
                  <w:tcW w:w="1110" w:type="dxa"/>
                  <w:tcBorders>
                    <w:tl2br w:val="nil"/>
                    <w:tr2bl w:val="nil"/>
                  </w:tcBorders>
                  <w:vAlign w:val="center"/>
                </w:tcPr>
                <w:p w14:paraId="480735A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vAlign w:val="center"/>
                </w:tcPr>
                <w:p w14:paraId="64F49DD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384B065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0FB7E73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5D05B8D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1329C888">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43DA4E4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tcBorders>
                    <w:tl2br w:val="nil"/>
                    <w:tr2bl w:val="nil"/>
                  </w:tcBorders>
                  <w:vAlign w:val="center"/>
                </w:tcPr>
                <w:p w14:paraId="1290136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棒磨</w:t>
                  </w:r>
                </w:p>
              </w:tc>
              <w:tc>
                <w:tcPr>
                  <w:tcW w:w="2211" w:type="dxa"/>
                  <w:tcBorders>
                    <w:tl2br w:val="nil"/>
                    <w:tr2bl w:val="nil"/>
                  </w:tcBorders>
                  <w:vAlign w:val="center"/>
                </w:tcPr>
                <w:p w14:paraId="214D4E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棒磨机</w:t>
                  </w:r>
                </w:p>
              </w:tc>
              <w:tc>
                <w:tcPr>
                  <w:tcW w:w="2109" w:type="dxa"/>
                  <w:tcBorders>
                    <w:tl2br w:val="nil"/>
                    <w:tr2bl w:val="nil"/>
                  </w:tcBorders>
                  <w:vAlign w:val="center"/>
                </w:tcPr>
                <w:p w14:paraId="67D0468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BM2400*3000</w:t>
                  </w:r>
                </w:p>
              </w:tc>
              <w:tc>
                <w:tcPr>
                  <w:tcW w:w="1110" w:type="dxa"/>
                  <w:tcBorders>
                    <w:tl2br w:val="nil"/>
                    <w:tr2bl w:val="nil"/>
                  </w:tcBorders>
                  <w:shd w:val="clear" w:color="auto" w:fill="auto"/>
                  <w:vAlign w:val="center"/>
                </w:tcPr>
                <w:p w14:paraId="4CCDF86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shd w:val="clear" w:color="auto" w:fill="auto"/>
                  <w:vAlign w:val="center"/>
                </w:tcPr>
                <w:p w14:paraId="7401F62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shd w:val="clear" w:color="auto" w:fill="auto"/>
                  <w:vAlign w:val="center"/>
                </w:tcPr>
                <w:p w14:paraId="5729E4F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shd w:val="clear" w:color="auto" w:fill="auto"/>
                  <w:vAlign w:val="center"/>
                </w:tcPr>
                <w:p w14:paraId="383E008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7A7599F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10C3E434">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3BB3666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tcBorders>
                    <w:tl2br w:val="nil"/>
                    <w:tr2bl w:val="nil"/>
                  </w:tcBorders>
                  <w:vAlign w:val="center"/>
                </w:tcPr>
                <w:p w14:paraId="0CD2C76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筛分</w:t>
                  </w:r>
                </w:p>
              </w:tc>
              <w:tc>
                <w:tcPr>
                  <w:tcW w:w="2211" w:type="dxa"/>
                  <w:tcBorders>
                    <w:tl2br w:val="nil"/>
                    <w:tr2bl w:val="nil"/>
                  </w:tcBorders>
                  <w:vAlign w:val="center"/>
                </w:tcPr>
                <w:p w14:paraId="56D6110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滚笼筛</w:t>
                  </w:r>
                </w:p>
              </w:tc>
              <w:tc>
                <w:tcPr>
                  <w:tcW w:w="2109" w:type="dxa"/>
                  <w:tcBorders>
                    <w:tl2br w:val="nil"/>
                    <w:tr2bl w:val="nil"/>
                  </w:tcBorders>
                  <w:vAlign w:val="center"/>
                </w:tcPr>
                <w:p w14:paraId="7A615F1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w:t>
                  </w:r>
                </w:p>
              </w:tc>
              <w:tc>
                <w:tcPr>
                  <w:tcW w:w="1110" w:type="dxa"/>
                  <w:tcBorders>
                    <w:tl2br w:val="nil"/>
                    <w:tr2bl w:val="nil"/>
                  </w:tcBorders>
                  <w:vAlign w:val="center"/>
                </w:tcPr>
                <w:p w14:paraId="52902C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10</w:t>
                  </w:r>
                </w:p>
              </w:tc>
              <w:tc>
                <w:tcPr>
                  <w:tcW w:w="1710" w:type="dxa"/>
                  <w:tcBorders>
                    <w:tl2br w:val="nil"/>
                    <w:tr2bl w:val="nil"/>
                  </w:tcBorders>
                  <w:vAlign w:val="center"/>
                </w:tcPr>
                <w:p w14:paraId="4C2EB69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10</w:t>
                  </w:r>
                </w:p>
              </w:tc>
              <w:tc>
                <w:tcPr>
                  <w:tcW w:w="669" w:type="dxa"/>
                  <w:tcBorders>
                    <w:tl2br w:val="nil"/>
                    <w:tr2bl w:val="nil"/>
                  </w:tcBorders>
                  <w:shd w:val="clear" w:color="auto" w:fill="auto"/>
                  <w:vAlign w:val="center"/>
                </w:tcPr>
                <w:p w14:paraId="474121B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shd w:val="clear" w:color="auto" w:fill="auto"/>
                  <w:vAlign w:val="center"/>
                </w:tcPr>
                <w:p w14:paraId="1E34C79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2348077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5113703D">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644004B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restart"/>
                  <w:tcBorders>
                    <w:tl2br w:val="nil"/>
                    <w:tr2bl w:val="nil"/>
                  </w:tcBorders>
                  <w:vAlign w:val="center"/>
                </w:tcPr>
                <w:p w14:paraId="4BF9A72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分级</w:t>
                  </w:r>
                </w:p>
              </w:tc>
              <w:tc>
                <w:tcPr>
                  <w:tcW w:w="2211" w:type="dxa"/>
                  <w:tcBorders>
                    <w:tl2br w:val="nil"/>
                    <w:tr2bl w:val="nil"/>
                  </w:tcBorders>
                  <w:vAlign w:val="center"/>
                </w:tcPr>
                <w:p w14:paraId="0208E40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水力分级机</w:t>
                  </w:r>
                </w:p>
              </w:tc>
              <w:tc>
                <w:tcPr>
                  <w:tcW w:w="2109" w:type="dxa"/>
                  <w:tcBorders>
                    <w:tl2br w:val="nil"/>
                    <w:tr2bl w:val="nil"/>
                  </w:tcBorders>
                  <w:vAlign w:val="center"/>
                </w:tcPr>
                <w:p w14:paraId="56AFAA2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3m</w:t>
                  </w:r>
                </w:p>
              </w:tc>
              <w:tc>
                <w:tcPr>
                  <w:tcW w:w="1110" w:type="dxa"/>
                  <w:tcBorders>
                    <w:tl2br w:val="nil"/>
                    <w:tr2bl w:val="nil"/>
                  </w:tcBorders>
                  <w:vAlign w:val="center"/>
                </w:tcPr>
                <w:p w14:paraId="56F5132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w:t>
                  </w:r>
                </w:p>
              </w:tc>
              <w:tc>
                <w:tcPr>
                  <w:tcW w:w="1710" w:type="dxa"/>
                  <w:tcBorders>
                    <w:tl2br w:val="nil"/>
                    <w:tr2bl w:val="nil"/>
                  </w:tcBorders>
                  <w:vAlign w:val="center"/>
                </w:tcPr>
                <w:p w14:paraId="7BBBB0D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w:t>
                  </w:r>
                </w:p>
              </w:tc>
              <w:tc>
                <w:tcPr>
                  <w:tcW w:w="669" w:type="dxa"/>
                  <w:tcBorders>
                    <w:tl2br w:val="nil"/>
                    <w:tr2bl w:val="nil"/>
                  </w:tcBorders>
                  <w:vAlign w:val="center"/>
                </w:tcPr>
                <w:p w14:paraId="3DE0CFA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0EF16D8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7280A76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62D302C1">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2A32629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038E241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vAlign w:val="center"/>
                </w:tcPr>
                <w:p w14:paraId="0977ECD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中磁机</w:t>
                  </w:r>
                </w:p>
              </w:tc>
              <w:tc>
                <w:tcPr>
                  <w:tcW w:w="2109" w:type="dxa"/>
                  <w:tcBorders>
                    <w:tl2br w:val="nil"/>
                    <w:tr2bl w:val="nil"/>
                  </w:tcBorders>
                  <w:vAlign w:val="center"/>
                </w:tcPr>
                <w:p w14:paraId="43020CE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CTG-1015</w:t>
                  </w:r>
                </w:p>
              </w:tc>
              <w:tc>
                <w:tcPr>
                  <w:tcW w:w="1110" w:type="dxa"/>
                  <w:tcBorders>
                    <w:tl2br w:val="nil"/>
                    <w:tr2bl w:val="nil"/>
                  </w:tcBorders>
                  <w:vAlign w:val="center"/>
                </w:tcPr>
                <w:p w14:paraId="50E8735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w:t>
                  </w:r>
                </w:p>
              </w:tc>
              <w:tc>
                <w:tcPr>
                  <w:tcW w:w="1710" w:type="dxa"/>
                  <w:tcBorders>
                    <w:tl2br w:val="nil"/>
                    <w:tr2bl w:val="nil"/>
                  </w:tcBorders>
                  <w:vAlign w:val="center"/>
                </w:tcPr>
                <w:p w14:paraId="3529B8B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w:t>
                  </w:r>
                </w:p>
              </w:tc>
              <w:tc>
                <w:tcPr>
                  <w:tcW w:w="669" w:type="dxa"/>
                  <w:tcBorders>
                    <w:tl2br w:val="nil"/>
                    <w:tr2bl w:val="nil"/>
                  </w:tcBorders>
                  <w:vAlign w:val="center"/>
                </w:tcPr>
                <w:p w14:paraId="10ACAA0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41CAA93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0F0E4DD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7A03E262">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6461006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1C88D85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vAlign w:val="center"/>
                </w:tcPr>
                <w:p w14:paraId="1F73AA0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高效分级机</w:t>
                  </w:r>
                </w:p>
              </w:tc>
              <w:tc>
                <w:tcPr>
                  <w:tcW w:w="2109" w:type="dxa"/>
                  <w:tcBorders>
                    <w:tl2br w:val="nil"/>
                    <w:tr2bl w:val="nil"/>
                  </w:tcBorders>
                  <w:vAlign w:val="center"/>
                </w:tcPr>
                <w:p w14:paraId="29D2C84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2.5m</w:t>
                  </w:r>
                </w:p>
              </w:tc>
              <w:tc>
                <w:tcPr>
                  <w:tcW w:w="1110" w:type="dxa"/>
                  <w:tcBorders>
                    <w:tl2br w:val="nil"/>
                    <w:tr2bl w:val="nil"/>
                  </w:tcBorders>
                  <w:vAlign w:val="center"/>
                </w:tcPr>
                <w:p w14:paraId="1A30D72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w:t>
                  </w:r>
                </w:p>
              </w:tc>
              <w:tc>
                <w:tcPr>
                  <w:tcW w:w="1710" w:type="dxa"/>
                  <w:tcBorders>
                    <w:tl2br w:val="nil"/>
                    <w:tr2bl w:val="nil"/>
                  </w:tcBorders>
                  <w:vAlign w:val="center"/>
                </w:tcPr>
                <w:p w14:paraId="01E8B16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w:t>
                  </w:r>
                </w:p>
              </w:tc>
              <w:tc>
                <w:tcPr>
                  <w:tcW w:w="669" w:type="dxa"/>
                  <w:tcBorders>
                    <w:tl2br w:val="nil"/>
                    <w:tr2bl w:val="nil"/>
                  </w:tcBorders>
                  <w:vAlign w:val="center"/>
                </w:tcPr>
                <w:p w14:paraId="39827D4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3DA1F56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0F4341F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0123F197">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76BCD5B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0A72EC2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vAlign w:val="center"/>
                </w:tcPr>
                <w:p w14:paraId="4CA5AF4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旋流器</w:t>
                  </w:r>
                </w:p>
              </w:tc>
              <w:tc>
                <w:tcPr>
                  <w:tcW w:w="2109" w:type="dxa"/>
                  <w:tcBorders>
                    <w:tl2br w:val="nil"/>
                    <w:tr2bl w:val="nil"/>
                  </w:tcBorders>
                  <w:vAlign w:val="center"/>
                </w:tcPr>
                <w:p w14:paraId="639914C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vertAlign w:val="baseline"/>
                      <w:lang w:val="en-US" w:eastAsia="zh-CN"/>
                      <w14:textFill>
                        <w14:solidFill>
                          <w14:schemeClr w14:val="tx1"/>
                        </w14:solidFill>
                      </w14:textFill>
                    </w:rPr>
                    <w:t>φ</w:t>
                  </w:r>
                  <w:r>
                    <w:rPr>
                      <w:rFonts w:hint="default" w:ascii="Times New Roman" w:hAnsi="Times New Roman" w:eastAsia="宋体" w:cs="Times New Roman"/>
                      <w:b w:val="0"/>
                      <w:bCs w:val="0"/>
                      <w:color w:val="000000" w:themeColor="text1"/>
                      <w:spacing w:val="0"/>
                      <w:sz w:val="21"/>
                      <w:szCs w:val="21"/>
                      <w:highlight w:val="none"/>
                      <w:vertAlign w:val="baseline"/>
                      <w:lang w:val="en-US" w:eastAsia="zh-CN"/>
                      <w14:textFill>
                        <w14:solidFill>
                          <w14:schemeClr w14:val="tx1"/>
                        </w14:solidFill>
                      </w14:textFill>
                    </w:rPr>
                    <w:t>500</w:t>
                  </w:r>
                </w:p>
              </w:tc>
              <w:tc>
                <w:tcPr>
                  <w:tcW w:w="1110" w:type="dxa"/>
                  <w:tcBorders>
                    <w:tl2br w:val="nil"/>
                    <w:tr2bl w:val="nil"/>
                  </w:tcBorders>
                  <w:vAlign w:val="center"/>
                </w:tcPr>
                <w:p w14:paraId="1C81584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vAlign w:val="center"/>
                </w:tcPr>
                <w:p w14:paraId="24F88F0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0986205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5E87906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676A3BA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3D16A858">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157C973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restart"/>
                  <w:tcBorders>
                    <w:tl2br w:val="nil"/>
                    <w:tr2bl w:val="nil"/>
                  </w:tcBorders>
                  <w:vAlign w:val="center"/>
                </w:tcPr>
                <w:p w14:paraId="116217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输送</w:t>
                  </w:r>
                </w:p>
              </w:tc>
              <w:tc>
                <w:tcPr>
                  <w:tcW w:w="2211" w:type="dxa"/>
                  <w:tcBorders>
                    <w:tl2br w:val="nil"/>
                    <w:tr2bl w:val="nil"/>
                  </w:tcBorders>
                  <w:vAlign w:val="center"/>
                </w:tcPr>
                <w:p w14:paraId="0F3D524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皮带机</w:t>
                  </w:r>
                </w:p>
              </w:tc>
              <w:tc>
                <w:tcPr>
                  <w:tcW w:w="2109" w:type="dxa"/>
                  <w:tcBorders>
                    <w:tl2br w:val="nil"/>
                    <w:tr2bl w:val="nil"/>
                  </w:tcBorders>
                  <w:vAlign w:val="center"/>
                </w:tcPr>
                <w:p w14:paraId="61159EA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B650,40m</w:t>
                  </w:r>
                </w:p>
              </w:tc>
              <w:tc>
                <w:tcPr>
                  <w:tcW w:w="1110" w:type="dxa"/>
                  <w:tcBorders>
                    <w:tl2br w:val="nil"/>
                    <w:tr2bl w:val="nil"/>
                  </w:tcBorders>
                  <w:vAlign w:val="center"/>
                </w:tcPr>
                <w:p w14:paraId="72CCE1D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vAlign w:val="center"/>
                </w:tcPr>
                <w:p w14:paraId="05F58EA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4122CF9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23A85D7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12648F6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72F2C994">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2C2E51D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103377A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shd w:val="clear" w:color="auto" w:fill="auto"/>
                  <w:vAlign w:val="center"/>
                </w:tcPr>
                <w:p w14:paraId="6A67275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皮带机</w:t>
                  </w:r>
                </w:p>
              </w:tc>
              <w:tc>
                <w:tcPr>
                  <w:tcW w:w="2109" w:type="dxa"/>
                  <w:tcBorders>
                    <w:tl2br w:val="nil"/>
                    <w:tr2bl w:val="nil"/>
                  </w:tcBorders>
                  <w:shd w:val="clear" w:color="auto" w:fill="auto"/>
                  <w:vAlign w:val="center"/>
                </w:tcPr>
                <w:p w14:paraId="3C31508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B650,36m</w:t>
                  </w:r>
                </w:p>
              </w:tc>
              <w:tc>
                <w:tcPr>
                  <w:tcW w:w="1110" w:type="dxa"/>
                  <w:tcBorders>
                    <w:tl2br w:val="nil"/>
                    <w:tr2bl w:val="nil"/>
                  </w:tcBorders>
                  <w:shd w:val="clear" w:color="auto" w:fill="auto"/>
                  <w:vAlign w:val="center"/>
                </w:tcPr>
                <w:p w14:paraId="618A903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shd w:val="clear" w:color="auto" w:fill="auto"/>
                  <w:vAlign w:val="center"/>
                </w:tcPr>
                <w:p w14:paraId="242B76C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303567B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59B9049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3B612BB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2FA47B79">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42DDBA1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45824FC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shd w:val="clear" w:color="auto" w:fill="auto"/>
                  <w:vAlign w:val="center"/>
                </w:tcPr>
                <w:p w14:paraId="765AEB5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皮带机</w:t>
                  </w:r>
                </w:p>
              </w:tc>
              <w:tc>
                <w:tcPr>
                  <w:tcW w:w="2109" w:type="dxa"/>
                  <w:tcBorders>
                    <w:tl2br w:val="nil"/>
                    <w:tr2bl w:val="nil"/>
                  </w:tcBorders>
                  <w:shd w:val="clear" w:color="auto" w:fill="auto"/>
                  <w:vAlign w:val="center"/>
                </w:tcPr>
                <w:p w14:paraId="5A5274E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B650,18m</w:t>
                  </w:r>
                </w:p>
              </w:tc>
              <w:tc>
                <w:tcPr>
                  <w:tcW w:w="1110" w:type="dxa"/>
                  <w:tcBorders>
                    <w:tl2br w:val="nil"/>
                    <w:tr2bl w:val="nil"/>
                  </w:tcBorders>
                  <w:shd w:val="clear" w:color="auto" w:fill="auto"/>
                  <w:vAlign w:val="center"/>
                </w:tcPr>
                <w:p w14:paraId="01DA2F7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shd w:val="clear" w:color="auto" w:fill="auto"/>
                  <w:vAlign w:val="center"/>
                </w:tcPr>
                <w:p w14:paraId="6AFA40B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15EA299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6E08544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14264C1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0E324D2E">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4EC1EF6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599C5B3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vAlign w:val="center"/>
                </w:tcPr>
                <w:p w14:paraId="69B219B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胶泵</w:t>
                  </w:r>
                </w:p>
              </w:tc>
              <w:tc>
                <w:tcPr>
                  <w:tcW w:w="2109" w:type="dxa"/>
                  <w:tcBorders>
                    <w:tl2br w:val="nil"/>
                    <w:tr2bl w:val="nil"/>
                  </w:tcBorders>
                  <w:vAlign w:val="center"/>
                </w:tcPr>
                <w:p w14:paraId="0246ECD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6PNGB</w:t>
                  </w:r>
                </w:p>
              </w:tc>
              <w:tc>
                <w:tcPr>
                  <w:tcW w:w="1110" w:type="dxa"/>
                  <w:tcBorders>
                    <w:tl2br w:val="nil"/>
                    <w:tr2bl w:val="nil"/>
                  </w:tcBorders>
                  <w:vAlign w:val="center"/>
                </w:tcPr>
                <w:p w14:paraId="4BA1B3A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vAlign w:val="center"/>
                </w:tcPr>
                <w:p w14:paraId="670895B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34C36F0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2CCDD5C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4530527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4FBD0175">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167A795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28D8796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shd w:val="clear" w:color="auto" w:fill="auto"/>
                  <w:vAlign w:val="center"/>
                </w:tcPr>
                <w:p w14:paraId="73C9FB0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胶泵</w:t>
                  </w:r>
                </w:p>
              </w:tc>
              <w:tc>
                <w:tcPr>
                  <w:tcW w:w="2109" w:type="dxa"/>
                  <w:tcBorders>
                    <w:tl2br w:val="nil"/>
                    <w:tr2bl w:val="nil"/>
                  </w:tcBorders>
                  <w:shd w:val="clear" w:color="auto" w:fill="auto"/>
                  <w:vAlign w:val="center"/>
                </w:tcPr>
                <w:p w14:paraId="723ABA8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4PNGB</w:t>
                  </w:r>
                </w:p>
              </w:tc>
              <w:tc>
                <w:tcPr>
                  <w:tcW w:w="1110" w:type="dxa"/>
                  <w:tcBorders>
                    <w:tl2br w:val="nil"/>
                    <w:tr2bl w:val="nil"/>
                  </w:tcBorders>
                  <w:shd w:val="clear" w:color="auto" w:fill="auto"/>
                  <w:vAlign w:val="center"/>
                </w:tcPr>
                <w:p w14:paraId="22AC244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shd w:val="clear" w:color="auto" w:fill="auto"/>
                  <w:vAlign w:val="center"/>
                </w:tcPr>
                <w:p w14:paraId="4881589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63E5413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77895B3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797D9E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4B701159">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3CF634F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tcBorders>
                    <w:tl2br w:val="nil"/>
                    <w:tr2bl w:val="nil"/>
                  </w:tcBorders>
                  <w:vAlign w:val="center"/>
                </w:tcPr>
                <w:p w14:paraId="18A49C8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辅助</w:t>
                  </w:r>
                </w:p>
              </w:tc>
              <w:tc>
                <w:tcPr>
                  <w:tcW w:w="2211" w:type="dxa"/>
                  <w:tcBorders>
                    <w:tl2br w:val="nil"/>
                    <w:tr2bl w:val="nil"/>
                  </w:tcBorders>
                  <w:shd w:val="clear" w:color="auto" w:fill="auto"/>
                  <w:vAlign w:val="center"/>
                </w:tcPr>
                <w:p w14:paraId="66E89C7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循环水泵</w:t>
                  </w:r>
                </w:p>
              </w:tc>
              <w:tc>
                <w:tcPr>
                  <w:tcW w:w="2109" w:type="dxa"/>
                  <w:tcBorders>
                    <w:tl2br w:val="nil"/>
                    <w:tr2bl w:val="nil"/>
                  </w:tcBorders>
                  <w:shd w:val="clear" w:color="auto" w:fill="auto"/>
                  <w:vAlign w:val="center"/>
                </w:tcPr>
                <w:p w14:paraId="41E77F3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6PNGB</w:t>
                  </w:r>
                </w:p>
              </w:tc>
              <w:tc>
                <w:tcPr>
                  <w:tcW w:w="1110" w:type="dxa"/>
                  <w:tcBorders>
                    <w:tl2br w:val="nil"/>
                    <w:tr2bl w:val="nil"/>
                  </w:tcBorders>
                  <w:shd w:val="clear" w:color="auto" w:fill="auto"/>
                  <w:vAlign w:val="center"/>
                </w:tcPr>
                <w:p w14:paraId="32BE67A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shd w:val="clear" w:color="auto" w:fill="auto"/>
                  <w:vAlign w:val="center"/>
                </w:tcPr>
                <w:p w14:paraId="2F5C418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04836CF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43557F5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6FA0ABF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53BFF234">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restart"/>
                  <w:tcBorders>
                    <w:tl2br w:val="nil"/>
                    <w:tr2bl w:val="nil"/>
                  </w:tcBorders>
                  <w:vAlign w:val="center"/>
                </w:tcPr>
                <w:p w14:paraId="7545CDA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辅助单元</w:t>
                  </w:r>
                </w:p>
              </w:tc>
              <w:tc>
                <w:tcPr>
                  <w:tcW w:w="918" w:type="dxa"/>
                  <w:tcBorders>
                    <w:tl2br w:val="nil"/>
                    <w:tr2bl w:val="nil"/>
                  </w:tcBorders>
                  <w:vAlign w:val="center"/>
                </w:tcPr>
                <w:p w14:paraId="1862090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压滤</w:t>
                  </w:r>
                </w:p>
              </w:tc>
              <w:tc>
                <w:tcPr>
                  <w:tcW w:w="2211" w:type="dxa"/>
                  <w:tcBorders>
                    <w:tl2br w:val="nil"/>
                    <w:tr2bl w:val="nil"/>
                  </w:tcBorders>
                  <w:shd w:val="clear" w:color="auto" w:fill="auto"/>
                  <w:vAlign w:val="center"/>
                </w:tcPr>
                <w:p w14:paraId="0F4D1BA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200平自动压滤机</w:t>
                  </w:r>
                </w:p>
              </w:tc>
              <w:tc>
                <w:tcPr>
                  <w:tcW w:w="2109" w:type="dxa"/>
                  <w:tcBorders>
                    <w:tl2br w:val="nil"/>
                    <w:tr2bl w:val="nil"/>
                  </w:tcBorders>
                  <w:shd w:val="clear" w:color="auto" w:fill="auto"/>
                  <w:vAlign w:val="center"/>
                </w:tcPr>
                <w:p w14:paraId="168ADFD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XMYZ200m</w:t>
                  </w:r>
                  <w:r>
                    <w:rPr>
                      <w:rFonts w:hint="eastAsia" w:cs="Times New Roman"/>
                      <w:b w:val="0"/>
                      <w:bCs w:val="0"/>
                      <w:color w:val="000000" w:themeColor="text1"/>
                      <w:spacing w:val="0"/>
                      <w:sz w:val="21"/>
                      <w:szCs w:val="21"/>
                      <w:highlight w:val="none"/>
                      <w:vertAlign w:val="superscript"/>
                      <w:lang w:val="en-US" w:eastAsia="zh-CN"/>
                      <w14:textFill>
                        <w14:solidFill>
                          <w14:schemeClr w14:val="tx1"/>
                        </w14:solidFill>
                      </w14:textFill>
                    </w:rPr>
                    <w:t>2</w:t>
                  </w: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-1250型</w:t>
                  </w:r>
                </w:p>
              </w:tc>
              <w:tc>
                <w:tcPr>
                  <w:tcW w:w="1110" w:type="dxa"/>
                  <w:tcBorders>
                    <w:tl2br w:val="nil"/>
                    <w:tr2bl w:val="nil"/>
                  </w:tcBorders>
                  <w:shd w:val="clear" w:color="auto" w:fill="auto"/>
                  <w:vAlign w:val="center"/>
                </w:tcPr>
                <w:p w14:paraId="0F3E98B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shd w:val="clear" w:color="auto" w:fill="auto"/>
                  <w:vAlign w:val="center"/>
                </w:tcPr>
                <w:p w14:paraId="564F3C0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4A907F7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3A9838C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088C7D3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63B214C0">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76633A7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tcBorders>
                    <w:tl2br w:val="nil"/>
                    <w:tr2bl w:val="nil"/>
                  </w:tcBorders>
                  <w:vAlign w:val="center"/>
                </w:tcPr>
                <w:p w14:paraId="1952FF3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除尘</w:t>
                  </w:r>
                </w:p>
              </w:tc>
              <w:tc>
                <w:tcPr>
                  <w:tcW w:w="2211" w:type="dxa"/>
                  <w:tcBorders>
                    <w:tl2br w:val="nil"/>
                    <w:tr2bl w:val="nil"/>
                  </w:tcBorders>
                  <w:shd w:val="clear" w:color="auto" w:fill="auto"/>
                  <w:vAlign w:val="center"/>
                </w:tcPr>
                <w:p w14:paraId="4AB8C91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脉冲布袋除尘器</w:t>
                  </w:r>
                </w:p>
              </w:tc>
              <w:tc>
                <w:tcPr>
                  <w:tcW w:w="2109" w:type="dxa"/>
                  <w:tcBorders>
                    <w:tl2br w:val="nil"/>
                    <w:tr2bl w:val="nil"/>
                  </w:tcBorders>
                  <w:shd w:val="clear" w:color="auto" w:fill="auto"/>
                  <w:vAlign w:val="center"/>
                </w:tcPr>
                <w:p w14:paraId="506A10D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风量38000m</w:t>
                  </w:r>
                  <w:r>
                    <w:rPr>
                      <w:rFonts w:hint="eastAsia" w:cs="Times New Roman"/>
                      <w:b w:val="0"/>
                      <w:bCs w:val="0"/>
                      <w:color w:val="000000" w:themeColor="text1"/>
                      <w:spacing w:val="0"/>
                      <w:sz w:val="21"/>
                      <w:szCs w:val="21"/>
                      <w:highlight w:val="none"/>
                      <w:vertAlign w:val="superscript"/>
                      <w:lang w:val="en-US" w:eastAsia="zh-CN"/>
                      <w14:textFill>
                        <w14:solidFill>
                          <w14:schemeClr w14:val="tx1"/>
                        </w14:solidFill>
                      </w14:textFill>
                    </w:rPr>
                    <w:t>3</w:t>
                  </w: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/h</w:t>
                  </w:r>
                </w:p>
              </w:tc>
              <w:tc>
                <w:tcPr>
                  <w:tcW w:w="1110" w:type="dxa"/>
                  <w:tcBorders>
                    <w:tl2br w:val="nil"/>
                    <w:tr2bl w:val="nil"/>
                  </w:tcBorders>
                  <w:shd w:val="clear" w:color="auto" w:fill="auto"/>
                  <w:vAlign w:val="center"/>
                </w:tcPr>
                <w:p w14:paraId="4BF07B2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shd w:val="clear" w:color="auto" w:fill="auto"/>
                  <w:vAlign w:val="center"/>
                </w:tcPr>
                <w:p w14:paraId="2C86E1D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3EB82F0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1DD6974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11F195B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40B03CDC">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06C39D0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tcBorders>
                    <w:tl2br w:val="nil"/>
                    <w:tr2bl w:val="nil"/>
                  </w:tcBorders>
                  <w:vAlign w:val="center"/>
                </w:tcPr>
                <w:p w14:paraId="441275F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辅助</w:t>
                  </w:r>
                </w:p>
              </w:tc>
              <w:tc>
                <w:tcPr>
                  <w:tcW w:w="2211" w:type="dxa"/>
                  <w:tcBorders>
                    <w:tl2br w:val="nil"/>
                    <w:tr2bl w:val="nil"/>
                  </w:tcBorders>
                  <w:shd w:val="clear" w:color="auto" w:fill="auto"/>
                  <w:vAlign w:val="center"/>
                </w:tcPr>
                <w:p w14:paraId="70255FA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空压机</w:t>
                  </w:r>
                </w:p>
              </w:tc>
              <w:tc>
                <w:tcPr>
                  <w:tcW w:w="2109" w:type="dxa"/>
                  <w:tcBorders>
                    <w:tl2br w:val="nil"/>
                    <w:tr2bl w:val="nil"/>
                  </w:tcBorders>
                  <w:shd w:val="clear" w:color="auto" w:fill="auto"/>
                  <w:vAlign w:val="center"/>
                </w:tcPr>
                <w:p w14:paraId="65199EE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w:t>
                  </w:r>
                </w:p>
              </w:tc>
              <w:tc>
                <w:tcPr>
                  <w:tcW w:w="1110" w:type="dxa"/>
                  <w:tcBorders>
                    <w:tl2br w:val="nil"/>
                    <w:tr2bl w:val="nil"/>
                  </w:tcBorders>
                  <w:shd w:val="clear" w:color="auto" w:fill="auto"/>
                  <w:vAlign w:val="center"/>
                </w:tcPr>
                <w:p w14:paraId="0C366A0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1710" w:type="dxa"/>
                  <w:tcBorders>
                    <w:tl2br w:val="nil"/>
                    <w:tr2bl w:val="nil"/>
                  </w:tcBorders>
                  <w:shd w:val="clear" w:color="auto" w:fill="auto"/>
                  <w:vAlign w:val="center"/>
                </w:tcPr>
                <w:p w14:paraId="4B795C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vAlign w:val="center"/>
                </w:tcPr>
                <w:p w14:paraId="759E8B4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1AF85FA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579C8EF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7CD1F54F">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3D9A617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tcBorders>
                    <w:tl2br w:val="nil"/>
                    <w:tr2bl w:val="nil"/>
                  </w:tcBorders>
                  <w:vAlign w:val="center"/>
                </w:tcPr>
                <w:p w14:paraId="5439D9F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运输</w:t>
                  </w:r>
                </w:p>
              </w:tc>
              <w:tc>
                <w:tcPr>
                  <w:tcW w:w="2211" w:type="dxa"/>
                  <w:tcBorders>
                    <w:tl2br w:val="nil"/>
                    <w:tr2bl w:val="nil"/>
                  </w:tcBorders>
                  <w:shd w:val="clear" w:color="auto" w:fill="auto"/>
                  <w:vAlign w:val="center"/>
                </w:tcPr>
                <w:p w14:paraId="6A897B3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装载机</w:t>
                  </w:r>
                </w:p>
              </w:tc>
              <w:tc>
                <w:tcPr>
                  <w:tcW w:w="2109" w:type="dxa"/>
                  <w:tcBorders>
                    <w:tl2br w:val="nil"/>
                    <w:tr2bl w:val="nil"/>
                  </w:tcBorders>
                  <w:shd w:val="clear" w:color="auto" w:fill="auto"/>
                  <w:vAlign w:val="center"/>
                </w:tcPr>
                <w:p w14:paraId="22736CC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w:t>
                  </w:r>
                </w:p>
              </w:tc>
              <w:tc>
                <w:tcPr>
                  <w:tcW w:w="1110" w:type="dxa"/>
                  <w:tcBorders>
                    <w:tl2br w:val="nil"/>
                    <w:tr2bl w:val="nil"/>
                  </w:tcBorders>
                  <w:shd w:val="clear" w:color="auto" w:fill="auto"/>
                  <w:vAlign w:val="center"/>
                </w:tcPr>
                <w:p w14:paraId="4FF1FA5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w:t>
                  </w:r>
                </w:p>
              </w:tc>
              <w:tc>
                <w:tcPr>
                  <w:tcW w:w="1710" w:type="dxa"/>
                  <w:tcBorders>
                    <w:tl2br w:val="nil"/>
                    <w:tr2bl w:val="nil"/>
                  </w:tcBorders>
                  <w:shd w:val="clear" w:color="auto" w:fill="auto"/>
                  <w:vAlign w:val="center"/>
                </w:tcPr>
                <w:p w14:paraId="75E2410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2</w:t>
                  </w:r>
                </w:p>
              </w:tc>
              <w:tc>
                <w:tcPr>
                  <w:tcW w:w="669" w:type="dxa"/>
                  <w:tcBorders>
                    <w:tl2br w:val="nil"/>
                    <w:tr2bl w:val="nil"/>
                  </w:tcBorders>
                  <w:vAlign w:val="center"/>
                </w:tcPr>
                <w:p w14:paraId="3C961B8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783" w:type="dxa"/>
                  <w:tcBorders>
                    <w:tl2br w:val="nil"/>
                    <w:tr2bl w:val="nil"/>
                  </w:tcBorders>
                  <w:vAlign w:val="center"/>
                </w:tcPr>
                <w:p w14:paraId="0ECFDB8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利旧</w:t>
                  </w:r>
                </w:p>
              </w:tc>
            </w:tr>
            <w:tr w14:paraId="040949A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2F5D440F">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3919598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restart"/>
                  <w:tcBorders>
                    <w:tl2br w:val="nil"/>
                    <w:tr2bl w:val="nil"/>
                  </w:tcBorders>
                  <w:vAlign w:val="center"/>
                </w:tcPr>
                <w:p w14:paraId="03EA4E4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除尘</w:t>
                  </w:r>
                </w:p>
              </w:tc>
              <w:tc>
                <w:tcPr>
                  <w:tcW w:w="2211" w:type="dxa"/>
                  <w:tcBorders>
                    <w:tl2br w:val="nil"/>
                    <w:tr2bl w:val="nil"/>
                  </w:tcBorders>
                  <w:shd w:val="clear" w:color="auto" w:fill="auto"/>
                  <w:vAlign w:val="center"/>
                </w:tcPr>
                <w:p w14:paraId="75D34A4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脉冲布袋除尘器</w:t>
                  </w:r>
                </w:p>
              </w:tc>
              <w:tc>
                <w:tcPr>
                  <w:tcW w:w="2109" w:type="dxa"/>
                  <w:tcBorders>
                    <w:tl2br w:val="nil"/>
                    <w:tr2bl w:val="nil"/>
                  </w:tcBorders>
                  <w:shd w:val="clear" w:color="auto" w:fill="auto"/>
                  <w:vAlign w:val="center"/>
                </w:tcPr>
                <w:p w14:paraId="2358FB5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风量45000m</w:t>
                  </w:r>
                  <w:r>
                    <w:rPr>
                      <w:rFonts w:hint="eastAsia" w:cs="Times New Roman"/>
                      <w:b w:val="0"/>
                      <w:bCs w:val="0"/>
                      <w:color w:val="000000" w:themeColor="text1"/>
                      <w:spacing w:val="0"/>
                      <w:sz w:val="21"/>
                      <w:szCs w:val="21"/>
                      <w:highlight w:val="none"/>
                      <w:vertAlign w:val="superscript"/>
                      <w:lang w:val="en-US" w:eastAsia="zh-CN"/>
                      <w14:textFill>
                        <w14:solidFill>
                          <w14:schemeClr w14:val="tx1"/>
                        </w14:solidFill>
                      </w14:textFill>
                    </w:rPr>
                    <w:t>3</w:t>
                  </w: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/h</w:t>
                  </w:r>
                </w:p>
              </w:tc>
              <w:tc>
                <w:tcPr>
                  <w:tcW w:w="1110" w:type="dxa"/>
                  <w:tcBorders>
                    <w:tl2br w:val="nil"/>
                    <w:tr2bl w:val="nil"/>
                  </w:tcBorders>
                  <w:shd w:val="clear" w:color="auto" w:fill="auto"/>
                  <w:vAlign w:val="center"/>
                </w:tcPr>
                <w:p w14:paraId="34D3D50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0</w:t>
                  </w:r>
                </w:p>
              </w:tc>
              <w:tc>
                <w:tcPr>
                  <w:tcW w:w="1710" w:type="dxa"/>
                  <w:tcBorders>
                    <w:tl2br w:val="nil"/>
                    <w:tr2bl w:val="nil"/>
                  </w:tcBorders>
                  <w:shd w:val="clear" w:color="auto" w:fill="auto"/>
                  <w:vAlign w:val="center"/>
                </w:tcPr>
                <w:p w14:paraId="3A1FF66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669" w:type="dxa"/>
                  <w:tcBorders>
                    <w:tl2br w:val="nil"/>
                    <w:tr2bl w:val="nil"/>
                  </w:tcBorders>
                  <w:shd w:val="clear" w:color="auto" w:fill="auto"/>
                  <w:vAlign w:val="center"/>
                </w:tcPr>
                <w:p w14:paraId="4E20B06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w:t>
                  </w:r>
                </w:p>
              </w:tc>
              <w:tc>
                <w:tcPr>
                  <w:tcW w:w="783" w:type="dxa"/>
                  <w:tcBorders>
                    <w:tl2br w:val="nil"/>
                    <w:tr2bl w:val="nil"/>
                  </w:tcBorders>
                  <w:shd w:val="clear" w:color="auto" w:fill="auto"/>
                  <w:vAlign w:val="center"/>
                </w:tcPr>
                <w:p w14:paraId="24EF287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spacing w:val="0"/>
                      <w:kern w:val="2"/>
                      <w:sz w:val="21"/>
                      <w:szCs w:val="21"/>
                      <w:highlight w:val="none"/>
                      <w:vertAlign w:val="baseline"/>
                      <w:lang w:val="en-US" w:eastAsia="zh-CN" w:bidi="ar-SA"/>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新增</w:t>
                  </w:r>
                </w:p>
              </w:tc>
            </w:tr>
            <w:tr w14:paraId="457F44A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2" w:hRule="atLeast"/>
                <w:jc w:val="center"/>
              </w:trPr>
              <w:tc>
                <w:tcPr>
                  <w:tcW w:w="845" w:type="dxa"/>
                  <w:tcBorders>
                    <w:tl2br w:val="nil"/>
                    <w:tr2bl w:val="nil"/>
                  </w:tcBorders>
                  <w:vAlign w:val="center"/>
                </w:tcPr>
                <w:p w14:paraId="3E69E840">
                  <w:pPr>
                    <w:pStyle w:val="15"/>
                    <w:keepNext w:val="0"/>
                    <w:keepLines w:val="0"/>
                    <w:pageBreakBefore w:val="0"/>
                    <w:widowControl w:val="0"/>
                    <w:numPr>
                      <w:ilvl w:val="0"/>
                      <w:numId w:val="10"/>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1605" w:type="dxa"/>
                  <w:vMerge w:val="continue"/>
                  <w:tcBorders>
                    <w:tl2br w:val="nil"/>
                    <w:tr2bl w:val="nil"/>
                  </w:tcBorders>
                  <w:vAlign w:val="center"/>
                </w:tcPr>
                <w:p w14:paraId="1C75935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918" w:type="dxa"/>
                  <w:vMerge w:val="continue"/>
                  <w:tcBorders>
                    <w:tl2br w:val="nil"/>
                    <w:tr2bl w:val="nil"/>
                  </w:tcBorders>
                  <w:vAlign w:val="center"/>
                </w:tcPr>
                <w:p w14:paraId="2AF67CD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p>
              </w:tc>
              <w:tc>
                <w:tcPr>
                  <w:tcW w:w="2211" w:type="dxa"/>
                  <w:tcBorders>
                    <w:tl2br w:val="nil"/>
                    <w:tr2bl w:val="nil"/>
                  </w:tcBorders>
                  <w:shd w:val="clear" w:color="auto" w:fill="auto"/>
                  <w:vAlign w:val="center"/>
                </w:tcPr>
                <w:p w14:paraId="46B00D2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雾炮</w:t>
                  </w:r>
                </w:p>
              </w:tc>
              <w:tc>
                <w:tcPr>
                  <w:tcW w:w="2109" w:type="dxa"/>
                  <w:tcBorders>
                    <w:tl2br w:val="nil"/>
                    <w:tr2bl w:val="nil"/>
                  </w:tcBorders>
                  <w:shd w:val="clear" w:color="auto" w:fill="auto"/>
                  <w:vAlign w:val="center"/>
                </w:tcPr>
                <w:p w14:paraId="2DB14D2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w:t>
                  </w:r>
                </w:p>
              </w:tc>
              <w:tc>
                <w:tcPr>
                  <w:tcW w:w="1110" w:type="dxa"/>
                  <w:tcBorders>
                    <w:tl2br w:val="nil"/>
                    <w:tr2bl w:val="nil"/>
                  </w:tcBorders>
                  <w:shd w:val="clear" w:color="auto" w:fill="auto"/>
                  <w:vAlign w:val="center"/>
                </w:tcPr>
                <w:p w14:paraId="3BFFC09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4</w:t>
                  </w:r>
                </w:p>
              </w:tc>
              <w:tc>
                <w:tcPr>
                  <w:tcW w:w="1710" w:type="dxa"/>
                  <w:tcBorders>
                    <w:tl2br w:val="nil"/>
                    <w:tr2bl w:val="nil"/>
                  </w:tcBorders>
                  <w:shd w:val="clear" w:color="auto" w:fill="auto"/>
                  <w:vAlign w:val="center"/>
                </w:tcPr>
                <w:p w14:paraId="1AD287D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10</w:t>
                  </w:r>
                </w:p>
              </w:tc>
              <w:tc>
                <w:tcPr>
                  <w:tcW w:w="669" w:type="dxa"/>
                  <w:tcBorders>
                    <w:tl2br w:val="nil"/>
                    <w:tr2bl w:val="nil"/>
                  </w:tcBorders>
                  <w:shd w:val="clear" w:color="auto" w:fill="auto"/>
                  <w:vAlign w:val="center"/>
                </w:tcPr>
                <w:p w14:paraId="1471502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+6</w:t>
                  </w:r>
                </w:p>
              </w:tc>
              <w:tc>
                <w:tcPr>
                  <w:tcW w:w="783" w:type="dxa"/>
                  <w:tcBorders>
                    <w:tl2br w:val="nil"/>
                    <w:tr2bl w:val="nil"/>
                  </w:tcBorders>
                  <w:shd w:val="clear" w:color="auto" w:fill="auto"/>
                  <w:vAlign w:val="center"/>
                </w:tcPr>
                <w:p w14:paraId="742DA1D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pacing w:val="0"/>
                      <w:sz w:val="21"/>
                      <w:szCs w:val="21"/>
                      <w:highlight w:val="none"/>
                      <w:vertAlign w:val="baseline"/>
                      <w:lang w:val="en-US" w:eastAsia="zh-CN"/>
                      <w14:textFill>
                        <w14:solidFill>
                          <w14:schemeClr w14:val="tx1"/>
                        </w14:solidFill>
                      </w14:textFill>
                    </w:rPr>
                    <w:t>新增</w:t>
                  </w:r>
                </w:p>
              </w:tc>
            </w:tr>
          </w:tbl>
          <w:p w14:paraId="1FC28C42">
            <w:pPr>
              <w:pStyle w:val="15"/>
              <w:shd w:val="clear"/>
              <w:rPr>
                <w:color w:val="000000" w:themeColor="text1"/>
                <w:highlight w:val="none"/>
                <w:vertAlign w:val="baseline"/>
                <w14:textFill>
                  <w14:solidFill>
                    <w14:schemeClr w14:val="tx1"/>
                  </w14:solidFill>
                </w14:textFill>
              </w:rPr>
            </w:pPr>
          </w:p>
        </w:tc>
      </w:tr>
    </w:tbl>
    <w:p w14:paraId="150A83DF">
      <w:pPr>
        <w:pStyle w:val="15"/>
        <w:shd w:val="clear"/>
        <w:rPr>
          <w:color w:val="000000" w:themeColor="text1"/>
          <w:highlight w:val="none"/>
          <w14:textFill>
            <w14:solidFill>
              <w14:schemeClr w14:val="tx1"/>
            </w14:solidFill>
          </w14:textFill>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E6E4509">
      <w:pPr>
        <w:shd w:val="clear"/>
        <w:rPr>
          <w:color w:val="000000" w:themeColor="text1"/>
          <w:highlight w:val="none"/>
          <w14:textFill>
            <w14:solidFill>
              <w14:schemeClr w14:val="tx1"/>
            </w14:solidFill>
          </w14:textFill>
        </w:rPr>
      </w:pPr>
    </w:p>
    <w:tbl>
      <w:tblPr>
        <w:tblStyle w:val="32"/>
        <w:tblW w:w="9165"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23"/>
        <w:gridCol w:w="8342"/>
      </w:tblGrid>
      <w:tr w14:paraId="731262D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381" w:hRule="atLeast"/>
          <w:jc w:val="center"/>
        </w:trPr>
        <w:tc>
          <w:tcPr>
            <w:tcW w:w="823" w:type="dxa"/>
            <w:tcBorders>
              <w:tl2br w:val="nil"/>
              <w:tr2bl w:val="nil"/>
            </w:tcBorders>
            <w:noWrap w:val="0"/>
            <w:vAlign w:val="center"/>
          </w:tcPr>
          <w:p w14:paraId="578E836E">
            <w:pPr>
              <w:pStyle w:val="43"/>
              <w:shd w:val="clear"/>
              <w:bidi w:val="0"/>
              <w:rPr>
                <w:rFonts w:hint="default" w:ascii="Times New Roman" w:hAnsi="Times New Roman" w:cs="Times New Roman"/>
                <w:color w:val="000000" w:themeColor="text1"/>
                <w:sz w:val="24"/>
                <w:szCs w:val="24"/>
                <w:highlight w:val="none"/>
                <w14:textFill>
                  <w14:solidFill>
                    <w14:schemeClr w14:val="tx1"/>
                  </w14:solidFill>
                </w14:textFill>
              </w:rPr>
            </w:pPr>
          </w:p>
        </w:tc>
        <w:tc>
          <w:tcPr>
            <w:tcW w:w="8342" w:type="dxa"/>
            <w:tcBorders>
              <w:tl2br w:val="nil"/>
              <w:tr2bl w:val="nil"/>
            </w:tcBorders>
            <w:noWrap w:val="0"/>
            <w:vAlign w:val="top"/>
          </w:tcPr>
          <w:p w14:paraId="4F2527CC">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eastAsia"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给排水</w:t>
            </w:r>
          </w:p>
          <w:p w14:paraId="148A7CC0">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本项目用水主要为新增生活用水、新增雾化喷淋用水以及新增洗车用水，新水用量为3.156</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946.8</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cs="Times New Roman"/>
                <w:color w:val="000000" w:themeColor="text1"/>
                <w:sz w:val="24"/>
                <w:szCs w:val="24"/>
                <w:highlight w:val="none"/>
                <w:lang w:val="en-US" w:eastAsia="zh-CN"/>
                <w14:textFill>
                  <w14:solidFill>
                    <w14:schemeClr w14:val="tx1"/>
                  </w14:solidFill>
                </w14:textFill>
              </w:rPr>
              <w:t>。</w:t>
            </w:r>
          </w:p>
          <w:p w14:paraId="5A7C9163">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⑴</w:t>
            </w:r>
            <w:r>
              <w:rPr>
                <w:rFonts w:hint="eastAsia" w:ascii="Times New Roman" w:hAnsi="Times New Roman" w:cs="Times New Roman"/>
                <w:color w:val="000000" w:themeColor="text1"/>
                <w:sz w:val="24"/>
                <w:szCs w:val="24"/>
                <w:highlight w:val="none"/>
                <w:lang w:eastAsia="zh-CN"/>
                <w14:textFill>
                  <w14:solidFill>
                    <w14:schemeClr w14:val="tx1"/>
                  </w14:solidFill>
                </w14:textFill>
              </w:rPr>
              <w:t>本项目用水</w:t>
            </w:r>
          </w:p>
          <w:p w14:paraId="6ECA9A9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①生活用水</w:t>
            </w:r>
          </w:p>
          <w:p w14:paraId="463ABC7C">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本项目不设食堂、宿舍、洗浴设施，厕所为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防渗</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厕所</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根据《生活与服务业用水定额第1部分：居民生活》（DB13/T5450.1-2021），并结合区域特点，</w:t>
            </w:r>
            <w:r>
              <w:rPr>
                <w:rFonts w:hint="default" w:ascii="Times New Roman" w:hAnsi="Times New Roman" w:cs="Times New Roman"/>
                <w:color w:val="000000" w:themeColor="text1"/>
                <w:sz w:val="24"/>
                <w:szCs w:val="24"/>
                <w:highlight w:val="none"/>
                <w14:textFill>
                  <w14:solidFill>
                    <w14:schemeClr w14:val="tx1"/>
                  </w14:solidFill>
                </w14:textFill>
              </w:rPr>
              <w:t>职工生活用水量按</w:t>
            </w:r>
            <w:r>
              <w:rPr>
                <w:rFonts w:hint="eastAsia"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szCs w:val="24"/>
                <w:highlight w:val="none"/>
                <w14:textFill>
                  <w14:solidFill>
                    <w14:schemeClr w14:val="tx1"/>
                  </w14:solidFill>
                </w14:textFill>
              </w:rPr>
              <w:t>L/人·d计，主要为饮用、盥洗用水，</w:t>
            </w:r>
            <w:r>
              <w:rPr>
                <w:rFonts w:hint="eastAsia" w:ascii="Times New Roman" w:hAnsi="Times New Roman" w:cs="Times New Roman"/>
                <w:color w:val="000000" w:themeColor="text1"/>
                <w:sz w:val="24"/>
                <w:szCs w:val="24"/>
                <w:highlight w:val="none"/>
                <w:lang w:eastAsia="zh-CN"/>
                <w14:textFill>
                  <w14:solidFill>
                    <w14:schemeClr w14:val="tx1"/>
                  </w14:solidFill>
                </w14:textFill>
              </w:rPr>
              <w:t>本项目新增劳动人员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9人，</w:t>
            </w:r>
            <w:r>
              <w:rPr>
                <w:rFonts w:hint="default" w:ascii="Times New Roman" w:hAnsi="Times New Roman" w:cs="Times New Roman"/>
                <w:color w:val="000000" w:themeColor="text1"/>
                <w:sz w:val="24"/>
                <w:szCs w:val="24"/>
                <w:highlight w:val="none"/>
                <w14:textFill>
                  <w14:solidFill>
                    <w14:schemeClr w14:val="tx1"/>
                  </w14:solidFill>
                </w14:textFill>
              </w:rPr>
              <w:t>总用水量为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w:t>
            </w:r>
            <w:r>
              <w:rPr>
                <w:rFonts w:hint="eastAsia" w:cs="Times New Roman"/>
                <w:color w:val="000000" w:themeColor="text1"/>
                <w:sz w:val="24"/>
                <w:szCs w:val="24"/>
                <w:highlight w:val="none"/>
                <w:lang w:val="en-US" w:eastAsia="zh-CN"/>
                <w14:textFill>
                  <w14:solidFill>
                    <w14:schemeClr w14:val="tx1"/>
                  </w14:solidFill>
                </w14:textFill>
              </w:rPr>
              <w:t>09</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27</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/a），生活污水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按用水量的80%计，即生活污水产生量为0.</w:t>
            </w:r>
            <w:r>
              <w:rPr>
                <w:rFonts w:hint="eastAsia" w:cs="Times New Roman"/>
                <w:color w:val="000000" w:themeColor="text1"/>
                <w:sz w:val="24"/>
                <w:szCs w:val="24"/>
                <w:highlight w:val="none"/>
                <w:lang w:val="en-US" w:eastAsia="zh-CN"/>
                <w14:textFill>
                  <w14:solidFill>
                    <w14:schemeClr w14:val="tx1"/>
                  </w14:solidFill>
                </w14:textFill>
              </w:rPr>
              <w:t>072</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21.6</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生活污水仅盥洗废水，水质简单，</w:t>
            </w:r>
            <w:r>
              <w:rPr>
                <w:rFonts w:hint="eastAsia" w:cs="Times New Roman"/>
                <w:color w:val="000000" w:themeColor="text1"/>
                <w:sz w:val="24"/>
                <w:szCs w:val="24"/>
                <w:highlight w:val="none"/>
                <w:lang w:val="en-US" w:eastAsia="zh-CN"/>
                <w14:textFill>
                  <w14:solidFill>
                    <w14:schemeClr w14:val="tx1"/>
                  </w14:solidFill>
                </w14:textFill>
              </w:rPr>
              <w:t>泼洒抑尘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，不外排</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14:paraId="227B7FC9">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②</w:t>
            </w:r>
            <w:r>
              <w:rPr>
                <w:rFonts w:hint="eastAsia" w:cs="Times New Roman"/>
                <w:color w:val="000000" w:themeColor="text1"/>
                <w:sz w:val="24"/>
                <w:szCs w:val="24"/>
                <w:highlight w:val="none"/>
                <w:lang w:val="en-US" w:eastAsia="zh-CN"/>
                <w14:textFill>
                  <w14:solidFill>
                    <w14:schemeClr w14:val="tx1"/>
                  </w14:solidFill>
                </w14:textFill>
              </w:rPr>
              <w:t>雾化喷淋用水</w:t>
            </w:r>
          </w:p>
          <w:p w14:paraId="6E9E3CDB">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本项目预处理车间设置雾化喷淋抑尘系统</w:t>
            </w:r>
            <w:r>
              <w:rPr>
                <w:rFonts w:hint="eastAsia" w:cs="Times New Roman"/>
                <w:color w:val="000000" w:themeColor="text1"/>
                <w:sz w:val="24"/>
                <w:szCs w:val="24"/>
                <w:highlight w:val="none"/>
                <w:lang w:val="en-US" w:eastAsia="zh-CN"/>
                <w14:textFill>
                  <w14:solidFill>
                    <w14:schemeClr w14:val="tx1"/>
                  </w14:solidFill>
                </w14:textFill>
              </w:rPr>
              <w:t>和雾炮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，用水量为</w:t>
            </w:r>
            <w:r>
              <w:rPr>
                <w:rFonts w:hint="eastAsia"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m³/d（</w:t>
            </w:r>
            <w:r>
              <w:rPr>
                <w:rFonts w:hint="eastAsia"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00m³/a），喷淋</w:t>
            </w:r>
            <w:r>
              <w:rPr>
                <w:rFonts w:hint="eastAsia" w:cs="Times New Roman"/>
                <w:color w:val="000000" w:themeColor="text1"/>
                <w:sz w:val="24"/>
                <w:szCs w:val="24"/>
                <w:highlight w:val="none"/>
                <w:lang w:val="en-US" w:eastAsia="zh-CN"/>
                <w14:textFill>
                  <w14:solidFill>
                    <w14:schemeClr w14:val="tx1"/>
                  </w14:solidFill>
                </w14:textFill>
              </w:rPr>
              <w:t>用水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全部蒸发损耗，无废水产生及外排。</w:t>
            </w:r>
          </w:p>
          <w:p w14:paraId="16021BE2">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③</w:t>
            </w:r>
            <w:r>
              <w:rPr>
                <w:rFonts w:hint="eastAsia" w:cs="Times New Roman"/>
                <w:color w:val="000000" w:themeColor="text1"/>
                <w:sz w:val="24"/>
                <w:szCs w:val="24"/>
                <w:highlight w:val="none"/>
                <w:lang w:val="en-US" w:eastAsia="zh-CN"/>
                <w14:textFill>
                  <w14:solidFill>
                    <w14:schemeClr w14:val="tx1"/>
                  </w14:solidFill>
                </w14:textFill>
              </w:rPr>
              <w:t>洗车用水</w:t>
            </w:r>
          </w:p>
          <w:p w14:paraId="09649A85">
            <w:pPr>
              <w:pStyle w:val="108"/>
              <w:shd w:val="clear"/>
              <w:spacing w:line="360" w:lineRule="auto"/>
              <w:ind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本项目新增6万吨物料运输量，平均每日新增11辆运输车辆进场，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本次评价单个车辆进出厂区冲洗用水取30L/辆•次，</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则</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车辆冲洗用水量为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0.33</w:t>
            </w:r>
            <w:r>
              <w:rPr>
                <w:rFonts w:hint="default" w:ascii="Times New Roman" w:hAnsi="Times New Roman" w:cs="Times New Roman"/>
                <w:color w:val="000000" w:themeColor="text1"/>
                <w:sz w:val="24"/>
                <w:highlight w:val="none"/>
                <w14:textFill>
                  <w14:solidFill>
                    <w14:schemeClr w14:val="tx1"/>
                  </w14:solidFill>
                </w14:textFill>
              </w:rPr>
              <w:t>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d（</w:t>
            </w:r>
            <w:r>
              <w:rPr>
                <w:rFonts w:hint="eastAsia" w:ascii="Times New Roman" w:hAnsi="Times New Roman" w:cs="Times New Roman"/>
                <w:color w:val="000000" w:themeColor="text1"/>
                <w:sz w:val="24"/>
                <w:highlight w:val="none"/>
                <w:lang w:val="en-US" w:eastAsia="zh-CN"/>
                <w14:textFill>
                  <w14:solidFill>
                    <w14:schemeClr w14:val="tx1"/>
                  </w14:solidFill>
                </w14:textFill>
              </w:rPr>
              <w:t>99</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p>
          <w:p w14:paraId="25681F72">
            <w:pPr>
              <w:pStyle w:val="108"/>
              <w:shd w:val="clear"/>
              <w:spacing w:line="360" w:lineRule="auto"/>
              <w:ind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依托原有</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1座洗车平台，则洗车平台循环水量为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0.33</w:t>
            </w:r>
            <w:r>
              <w:rPr>
                <w:rFonts w:hint="default" w:ascii="Times New Roman" w:hAnsi="Times New Roman" w:cs="Times New Roman"/>
                <w:color w:val="000000" w:themeColor="text1"/>
                <w:sz w:val="24"/>
                <w:highlight w:val="none"/>
                <w14:textFill>
                  <w14:solidFill>
                    <w14:schemeClr w14:val="tx1"/>
                  </w14:solidFill>
                </w14:textFill>
              </w:rPr>
              <w:t>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d（</w:t>
            </w:r>
            <w:r>
              <w:rPr>
                <w:rFonts w:hint="eastAsia" w:ascii="Times New Roman" w:hAnsi="Times New Roman" w:cs="Times New Roman"/>
                <w:color w:val="000000" w:themeColor="text1"/>
                <w:sz w:val="24"/>
                <w:highlight w:val="none"/>
                <w:lang w:val="en-US" w:eastAsia="zh-CN"/>
                <w14:textFill>
                  <w14:solidFill>
                    <w14:schemeClr w14:val="tx1"/>
                  </w14:solidFill>
                </w14:textFill>
              </w:rPr>
              <w:t>99</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，洗车废水排入沉淀池后，清水进入洗车用清水池，返回洗车工序利用不外排。清洗过程中部分蒸发或损耗（以循环水量的</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%计算），定期补充新水，定期补充新水量</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0.066</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19.8</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p>
          <w:p w14:paraId="5C752EE9">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本项目水量平衡如下</w:t>
            </w:r>
            <w:r>
              <w:rPr>
                <w:rFonts w:hint="eastAsia" w:cs="Times New Roman"/>
                <w:color w:val="000000" w:themeColor="text1"/>
                <w:sz w:val="24"/>
                <w:szCs w:val="24"/>
                <w:highlight w:val="none"/>
                <w:lang w:val="en-US" w:eastAsia="zh-CN"/>
                <w14:textFill>
                  <w14:solidFill>
                    <w14:schemeClr w14:val="tx1"/>
                  </w14:solidFill>
                </w14:textFill>
              </w:rPr>
              <w:t>：</w:t>
            </w:r>
          </w:p>
          <w:p w14:paraId="69DE4B9B">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both"/>
              <w:textAlignment w:val="auto"/>
              <w:rPr>
                <w:rFonts w:hint="default"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 xml:space="preserve"> </w:t>
            </w:r>
          </w:p>
          <w:p w14:paraId="4DF3CFBC">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68B06FE6">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00BAD4E6">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1266000E">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73C02B76">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object>
                <v:shape id="_x0000_i1025" o:spt="75" type="#_x0000_t75" style="height:252.45pt;width:383.7pt;" o:ole="t" filled="f" o:preferrelative="t" stroked="f" coordsize="21600,21600">
                  <v:path/>
                  <v:fill on="f" focussize="0,0"/>
                  <v:stroke on="f"/>
                  <v:imagedata r:id="rId11" o:title=""/>
                  <o:lock v:ext="edit" aspectratio="f"/>
                  <w10:wrap type="none"/>
                  <w10:anchorlock/>
                </v:shape>
                <o:OLEObject Type="Embed" ProgID="Visio.Drawing.11" ShapeID="_x0000_i1025" DrawAspect="Content" ObjectID="_1468075725" r:id="rId10">
                  <o:LockedField>false</o:LockedField>
                </o:OLEObject>
              </w:object>
            </w:r>
          </w:p>
          <w:p w14:paraId="034D30D4">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本项目水量平衡图（m</w:t>
            </w:r>
            <w:r>
              <w:rPr>
                <w:rFonts w:hint="eastAsia"/>
                <w:b/>
                <w:bCs/>
                <w:color w:val="000000" w:themeColor="text1"/>
                <w:sz w:val="21"/>
                <w:szCs w:val="21"/>
                <w:highlight w:val="none"/>
                <w:vertAlign w:val="superscript"/>
                <w:lang w:val="en-US" w:eastAsia="zh-CN"/>
                <w14:textFill>
                  <w14:solidFill>
                    <w14:schemeClr w14:val="tx1"/>
                  </w14:solidFill>
                </w14:textFill>
              </w:rPr>
              <w:t>3</w:t>
            </w:r>
            <w:r>
              <w:rPr>
                <w:rFonts w:hint="eastAsia"/>
                <w:b/>
                <w:bCs/>
                <w:color w:val="000000" w:themeColor="text1"/>
                <w:sz w:val="21"/>
                <w:szCs w:val="21"/>
                <w:highlight w:val="none"/>
                <w:lang w:val="en-US" w:eastAsia="zh-CN"/>
                <w14:textFill>
                  <w14:solidFill>
                    <w14:schemeClr w14:val="tx1"/>
                  </w14:solidFill>
                </w14:textFill>
              </w:rPr>
              <w:t>/d）</w:t>
            </w:r>
          </w:p>
          <w:p w14:paraId="55262367">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⑵</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本项目技改完成后全厂用水</w:t>
            </w:r>
          </w:p>
          <w:p w14:paraId="0FF9F21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本项目建成后，全厂新水量为</w:t>
            </w:r>
            <w:r>
              <w:rPr>
                <w:rFonts w:hint="eastAsia" w:cs="Times New Roman"/>
                <w:color w:val="000000" w:themeColor="text1"/>
                <w:sz w:val="24"/>
                <w:szCs w:val="24"/>
                <w:highlight w:val="none"/>
                <w:lang w:val="en-US" w:eastAsia="zh-CN"/>
                <w14:textFill>
                  <w14:solidFill>
                    <w14:schemeClr w14:val="tx1"/>
                  </w14:solidFill>
                </w14:textFill>
              </w:rPr>
              <w:t>26.636</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7990.8</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cs="Times New Roman"/>
                <w:color w:val="000000" w:themeColor="text1"/>
                <w:sz w:val="24"/>
                <w:szCs w:val="24"/>
                <w:highlight w:val="none"/>
                <w:lang w:eastAsia="zh-CN"/>
                <w14:textFill>
                  <w14:solidFill>
                    <w14:schemeClr w14:val="tx1"/>
                  </w14:solidFill>
                </w14:textFill>
              </w:rPr>
              <w:t>。</w:t>
            </w:r>
          </w:p>
          <w:p w14:paraId="2E7C80B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①生活用水</w:t>
            </w:r>
          </w:p>
          <w:p w14:paraId="21827DF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根据《生活与服务业用水定额第1部分：居民生活》（DB13/T5450.1-2021），并结合区域特点，</w:t>
            </w:r>
            <w:r>
              <w:rPr>
                <w:rFonts w:hint="default" w:ascii="Times New Roman" w:hAnsi="Times New Roman" w:cs="Times New Roman"/>
                <w:color w:val="000000" w:themeColor="text1"/>
                <w:sz w:val="24"/>
                <w:szCs w:val="24"/>
                <w:highlight w:val="none"/>
                <w14:textFill>
                  <w14:solidFill>
                    <w14:schemeClr w14:val="tx1"/>
                  </w14:solidFill>
                </w14:textFill>
              </w:rPr>
              <w:t>职工生活用水量按</w:t>
            </w:r>
            <w:r>
              <w:rPr>
                <w:rFonts w:hint="eastAsia"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szCs w:val="24"/>
                <w:highlight w:val="none"/>
                <w14:textFill>
                  <w14:solidFill>
                    <w14:schemeClr w14:val="tx1"/>
                  </w14:solidFill>
                </w14:textFill>
              </w:rPr>
              <w:t>L/人·d计，主要为饮用、盥洗用水，</w:t>
            </w:r>
            <w:r>
              <w:rPr>
                <w:rFonts w:hint="eastAsia" w:ascii="Times New Roman" w:hAnsi="Times New Roman" w:cs="Times New Roman"/>
                <w:color w:val="000000" w:themeColor="text1"/>
                <w:sz w:val="24"/>
                <w:szCs w:val="24"/>
                <w:highlight w:val="none"/>
                <w:lang w:eastAsia="zh-CN"/>
                <w14:textFill>
                  <w14:solidFill>
                    <w14:schemeClr w14:val="tx1"/>
                  </w14:solidFill>
                </w14:textFill>
              </w:rPr>
              <w:t>本项目技改完成后全厂劳动人员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39人，</w:t>
            </w:r>
            <w:r>
              <w:rPr>
                <w:rFonts w:hint="default" w:ascii="Times New Roman" w:hAnsi="Times New Roman" w:cs="Times New Roman"/>
                <w:color w:val="000000" w:themeColor="text1"/>
                <w:sz w:val="24"/>
                <w:szCs w:val="24"/>
                <w:highlight w:val="none"/>
                <w14:textFill>
                  <w14:solidFill>
                    <w14:schemeClr w14:val="tx1"/>
                  </w14:solidFill>
                </w14:textFill>
              </w:rPr>
              <w:t>总用水量为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w:t>
            </w:r>
            <w:r>
              <w:rPr>
                <w:rFonts w:hint="eastAsia" w:cs="Times New Roman"/>
                <w:color w:val="000000" w:themeColor="text1"/>
                <w:sz w:val="24"/>
                <w:szCs w:val="24"/>
                <w:highlight w:val="none"/>
                <w:lang w:val="en-US" w:eastAsia="zh-CN"/>
                <w14:textFill>
                  <w14:solidFill>
                    <w14:schemeClr w14:val="tx1"/>
                  </w14:solidFill>
                </w14:textFill>
              </w:rPr>
              <w:t>39</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117</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/a），生活污水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按用水量的80%计，即生活污水产生量为0.312</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93.6</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生活污水仅盥洗废水，水质简单，</w:t>
            </w:r>
            <w:r>
              <w:rPr>
                <w:rFonts w:hint="eastAsia" w:cs="Times New Roman"/>
                <w:color w:val="000000" w:themeColor="text1"/>
                <w:sz w:val="24"/>
                <w:szCs w:val="24"/>
                <w:highlight w:val="none"/>
                <w:lang w:val="en-US" w:eastAsia="zh-CN"/>
                <w14:textFill>
                  <w14:solidFill>
                    <w14:schemeClr w14:val="tx1"/>
                  </w14:solidFill>
                </w14:textFill>
              </w:rPr>
              <w:t>泼洒抑尘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，不外排</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14:paraId="6F99368C">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②生产用水</w:t>
            </w:r>
          </w:p>
          <w:p w14:paraId="690FF277">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项目技改完成后，全厂</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生产用水量10</w:t>
            </w:r>
            <w:r>
              <w:rPr>
                <w:rFonts w:hint="eastAsia"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（306000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，主要用于棒磨等工序，其中循环用水9</w:t>
            </w:r>
            <w:r>
              <w:rPr>
                <w:rFonts w:hint="eastAsia" w:cs="Times New Roman"/>
                <w:color w:val="000000" w:themeColor="text1"/>
                <w:sz w:val="24"/>
                <w:szCs w:val="24"/>
                <w:highlight w:val="none"/>
                <w:lang w:val="en-US" w:eastAsia="zh-CN"/>
                <w14:textFill>
                  <w14:solidFill>
                    <w14:schemeClr w14:val="tx1"/>
                  </w14:solidFill>
                </w14:textFill>
              </w:rPr>
              <w:t>80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294000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，棒磨等工序补充新鲜水</w:t>
            </w:r>
            <w:r>
              <w:rPr>
                <w:rFonts w:hint="eastAsia"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6000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物料带入20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6000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尾矿砂带走5m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1500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cs="Times New Roman"/>
                <w:color w:val="000000" w:themeColor="text1"/>
                <w:sz w:val="24"/>
                <w:szCs w:val="24"/>
                <w:highlight w:val="none"/>
                <w:lang w:val="en-US" w:eastAsia="zh-CN"/>
                <w14:textFill>
                  <w14:solidFill>
                    <w14:schemeClr w14:val="tx1"/>
                  </w14:solidFill>
                </w14:textFill>
              </w:rPr>
              <w:t>，</w:t>
            </w:r>
          </w:p>
          <w:p w14:paraId="4CA7BCAE">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0" w:firstLineChars="0"/>
              <w:jc w:val="both"/>
              <w:textAlignment w:val="auto"/>
              <w:rPr>
                <w:rFonts w:hint="default"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成品带走15m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4500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蒸发或损耗</w:t>
            </w:r>
            <w:r>
              <w:rPr>
                <w:rFonts w:hint="eastAsia"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6000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无废水外排</w:t>
            </w:r>
            <w:r>
              <w:rPr>
                <w:rFonts w:hint="eastAsia" w:cs="Times New Roman"/>
                <w:color w:val="000000" w:themeColor="text1"/>
                <w:sz w:val="24"/>
                <w:szCs w:val="24"/>
                <w:highlight w:val="none"/>
                <w:lang w:val="en-US" w:eastAsia="zh-CN"/>
                <w14:textFill>
                  <w14:solidFill>
                    <w14:schemeClr w14:val="tx1"/>
                  </w14:solidFill>
                </w14:textFill>
              </w:rPr>
              <w:t>。</w:t>
            </w:r>
          </w:p>
          <w:p w14:paraId="4D4FD63E">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ascii="宋体" w:hAnsi="宋体" w:eastAsia="宋体" w:cs="宋体"/>
                <w:b w:val="0"/>
                <w:bCs w:val="0"/>
                <w:i w:val="0"/>
                <w:i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③</w:t>
            </w:r>
            <w:r>
              <w:rPr>
                <w:rFonts w:hint="eastAsia" w:cs="Times New Roman"/>
                <w:color w:val="000000" w:themeColor="text1"/>
                <w:sz w:val="24"/>
                <w:szCs w:val="24"/>
                <w:highlight w:val="none"/>
                <w:lang w:val="en-US" w:eastAsia="zh-CN"/>
                <w14:textFill>
                  <w14:solidFill>
                    <w14:schemeClr w14:val="tx1"/>
                  </w14:solidFill>
                </w14:textFill>
              </w:rPr>
              <w:t>雾化喷淋用水</w:t>
            </w:r>
          </w:p>
          <w:p w14:paraId="39FBEE89">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技改完成后，全厂雾化喷淋</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用水量为</w:t>
            </w:r>
            <w:r>
              <w:rPr>
                <w:rFonts w:hint="eastAsia"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m³/d（</w:t>
            </w:r>
            <w:r>
              <w:rPr>
                <w:rFonts w:hint="eastAsia" w:cs="Times New Roman"/>
                <w:color w:val="000000" w:themeColor="text1"/>
                <w:sz w:val="24"/>
                <w:szCs w:val="24"/>
                <w:highlight w:val="none"/>
                <w:lang w:val="en-US" w:eastAsia="zh-CN"/>
                <w14:textFill>
                  <w14:solidFill>
                    <w14:schemeClr w14:val="tx1"/>
                  </w14:solidFill>
                </w14:textFill>
              </w:rPr>
              <w:t>18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00m³/a），喷淋废水全部蒸发损耗，无废水产生及外排。</w:t>
            </w:r>
          </w:p>
          <w:p w14:paraId="26EBBA3E">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④</w:t>
            </w:r>
            <w:r>
              <w:rPr>
                <w:rFonts w:hint="eastAsia" w:cs="Times New Roman"/>
                <w:color w:val="000000" w:themeColor="text1"/>
                <w:sz w:val="24"/>
                <w:szCs w:val="24"/>
                <w:highlight w:val="none"/>
                <w:lang w:val="en-US" w:eastAsia="zh-CN"/>
                <w14:textFill>
                  <w14:solidFill>
                    <w14:schemeClr w14:val="tx1"/>
                  </w14:solidFill>
                </w14:textFill>
              </w:rPr>
              <w:t>洗车用水</w:t>
            </w:r>
          </w:p>
          <w:p w14:paraId="31FA9B9E">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技改完成后，全厂洗车用水量1.23</w:t>
            </w:r>
            <w:r>
              <w:rPr>
                <w:rFonts w:hint="default" w:ascii="Times New Roman" w:hAnsi="Times New Roman" w:cs="Times New Roman"/>
                <w:color w:val="000000" w:themeColor="text1"/>
                <w:sz w:val="24"/>
                <w:highlight w:val="none"/>
                <w14:textFill>
                  <w14:solidFill>
                    <w14:schemeClr w14:val="tx1"/>
                  </w14:solidFill>
                </w14:textFill>
              </w:rPr>
              <w:t>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d（</w:t>
            </w:r>
            <w:r>
              <w:rPr>
                <w:rFonts w:hint="eastAsia" w:cs="Times New Roman"/>
                <w:color w:val="000000" w:themeColor="text1"/>
                <w:sz w:val="24"/>
                <w:highlight w:val="none"/>
                <w:lang w:val="en-US" w:eastAsia="zh-CN"/>
                <w14:textFill>
                  <w14:solidFill>
                    <w14:schemeClr w14:val="tx1"/>
                  </w14:solidFill>
                </w14:textFill>
              </w:rPr>
              <w:t>369</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，循环水量为</w:t>
            </w:r>
            <w:r>
              <w:rPr>
                <w:rFonts w:hint="eastAsia" w:cs="Times New Roman"/>
                <w:color w:val="000000" w:themeColor="text1"/>
                <w:sz w:val="24"/>
                <w:szCs w:val="24"/>
                <w:highlight w:val="none"/>
                <w:lang w:val="en-US" w:eastAsia="zh-CN"/>
                <w14:textFill>
                  <w14:solidFill>
                    <w14:schemeClr w14:val="tx1"/>
                  </w14:solidFill>
                </w14:textFill>
              </w:rPr>
              <w:t>0.984</w:t>
            </w:r>
            <w:r>
              <w:rPr>
                <w:rFonts w:hint="default" w:ascii="Times New Roman" w:hAnsi="Times New Roman" w:cs="Times New Roman"/>
                <w:color w:val="000000" w:themeColor="text1"/>
                <w:sz w:val="24"/>
                <w:highlight w:val="none"/>
                <w14:textFill>
                  <w14:solidFill>
                    <w14:schemeClr w14:val="tx1"/>
                  </w14:solidFill>
                </w14:textFill>
              </w:rPr>
              <w:t>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d（</w:t>
            </w:r>
            <w:r>
              <w:rPr>
                <w:rFonts w:hint="eastAsia" w:cs="Times New Roman"/>
                <w:color w:val="000000" w:themeColor="text1"/>
                <w:sz w:val="24"/>
                <w:highlight w:val="none"/>
                <w:lang w:val="en-US" w:eastAsia="zh-CN"/>
                <w14:textFill>
                  <w14:solidFill>
                    <w14:schemeClr w14:val="tx1"/>
                  </w14:solidFill>
                </w14:textFill>
              </w:rPr>
              <w:t>295.2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清洗过程中部分蒸发或损耗（以循环水量的</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%计算）水量为0.</w:t>
            </w:r>
            <w:r>
              <w:rPr>
                <w:rFonts w:hint="eastAsia" w:cs="Times New Roman"/>
                <w:color w:val="000000" w:themeColor="text1"/>
                <w:sz w:val="24"/>
                <w:szCs w:val="24"/>
                <w:highlight w:val="none"/>
                <w:lang w:val="en-US" w:eastAsia="zh-CN"/>
                <w14:textFill>
                  <w14:solidFill>
                    <w14:schemeClr w14:val="tx1"/>
                  </w14:solidFill>
                </w14:textFill>
              </w:rPr>
              <w:t>246</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73.8</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，补充新水量0.</w:t>
            </w:r>
            <w:r>
              <w:rPr>
                <w:rFonts w:hint="eastAsia" w:cs="Times New Roman"/>
                <w:color w:val="000000" w:themeColor="text1"/>
                <w:sz w:val="24"/>
                <w:szCs w:val="24"/>
                <w:highlight w:val="none"/>
                <w:lang w:val="en-US" w:eastAsia="zh-CN"/>
                <w14:textFill>
                  <w14:solidFill>
                    <w14:schemeClr w14:val="tx1"/>
                  </w14:solidFill>
                </w14:textFill>
              </w:rPr>
              <w:t>246</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73.8</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14:paraId="7F36D963">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本项目建成后全厂水量平衡图如下：</w:t>
            </w:r>
          </w:p>
          <w:p w14:paraId="526EFDF6">
            <w:pPr>
              <w:pStyle w:val="80"/>
              <w:keepNext w:val="0"/>
              <w:keepLines w:val="0"/>
              <w:pageBreakBefore w:val="0"/>
              <w:widowControl w:val="0"/>
              <w:shd w:val="clear"/>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object>
                <v:shape id="_x0000_i1026" o:spt="75" type="#_x0000_t75" style="height:320.6pt;width:361.2pt;" o:ole="t" filled="f" o:preferrelative="t" stroked="f" coordsize="21600,21600">
                  <v:path/>
                  <v:fill on="f" focussize="0,0"/>
                  <v:stroke on="f"/>
                  <v:imagedata r:id="rId13" o:title=""/>
                  <o:lock v:ext="edit" aspectratio="f"/>
                  <w10:wrap type="none"/>
                  <w10:anchorlock/>
                </v:shape>
                <o:OLEObject Type="Embed" ProgID="Visio.Drawing.11" ShapeID="_x0000_i1026" DrawAspect="Content" ObjectID="_1468075726" r:id="rId12">
                  <o:LockedField>false</o:LockedField>
                </o:OLEObject>
              </w:object>
            </w:r>
          </w:p>
          <w:p w14:paraId="0A415CC5">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本项目建成后全厂水量平衡图（m</w:t>
            </w:r>
            <w:r>
              <w:rPr>
                <w:rFonts w:hint="eastAsia"/>
                <w:b/>
                <w:bCs/>
                <w:color w:val="000000" w:themeColor="text1"/>
                <w:sz w:val="21"/>
                <w:szCs w:val="21"/>
                <w:highlight w:val="none"/>
                <w:vertAlign w:val="superscript"/>
                <w:lang w:val="en-US" w:eastAsia="zh-CN"/>
                <w14:textFill>
                  <w14:solidFill>
                    <w14:schemeClr w14:val="tx1"/>
                  </w14:solidFill>
                </w14:textFill>
              </w:rPr>
              <w:t>3</w:t>
            </w:r>
            <w:r>
              <w:rPr>
                <w:rFonts w:hint="eastAsia"/>
                <w:b/>
                <w:bCs/>
                <w:color w:val="000000" w:themeColor="text1"/>
                <w:sz w:val="21"/>
                <w:szCs w:val="21"/>
                <w:highlight w:val="none"/>
                <w:lang w:val="en-US" w:eastAsia="zh-CN"/>
                <w14:textFill>
                  <w14:solidFill>
                    <w14:schemeClr w14:val="tx1"/>
                  </w14:solidFill>
                </w14:textFill>
              </w:rPr>
              <w:t>/d）</w:t>
            </w:r>
          </w:p>
          <w:p w14:paraId="752A2F8D">
            <w:pPr>
              <w:keepNext w:val="0"/>
              <w:keepLines w:val="0"/>
              <w:pageBreakBefore w:val="0"/>
              <w:numPr>
                <w:ilvl w:val="0"/>
                <w:numId w:val="11"/>
              </w:numPr>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本项目设备产能及设备工作时间</w:t>
            </w:r>
          </w:p>
          <w:p w14:paraId="59867D2B">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本项目产能及工作时间</w:t>
            </w:r>
          </w:p>
          <w:tbl>
            <w:tblPr>
              <w:tblStyle w:val="33"/>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962"/>
              <w:gridCol w:w="2004"/>
              <w:gridCol w:w="1281"/>
              <w:gridCol w:w="1685"/>
              <w:gridCol w:w="1484"/>
            </w:tblGrid>
            <w:tr w14:paraId="6F3A9E7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85" w:hRule="atLeast"/>
                <w:jc w:val="center"/>
              </w:trPr>
              <w:tc>
                <w:tcPr>
                  <w:tcW w:w="962" w:type="dxa"/>
                  <w:tcBorders>
                    <w:tl2br w:val="nil"/>
                    <w:tr2bl w:val="nil"/>
                  </w:tcBorders>
                  <w:vAlign w:val="center"/>
                </w:tcPr>
                <w:p w14:paraId="7C8A6B6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序号</w:t>
                  </w:r>
                </w:p>
              </w:tc>
              <w:tc>
                <w:tcPr>
                  <w:tcW w:w="2004" w:type="dxa"/>
                  <w:tcBorders>
                    <w:tl2br w:val="nil"/>
                    <w:tr2bl w:val="nil"/>
                  </w:tcBorders>
                  <w:vAlign w:val="center"/>
                </w:tcPr>
                <w:p w14:paraId="1156651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设备名称</w:t>
                  </w:r>
                </w:p>
              </w:tc>
              <w:tc>
                <w:tcPr>
                  <w:tcW w:w="1281" w:type="dxa"/>
                  <w:tcBorders>
                    <w:tl2br w:val="nil"/>
                    <w:tr2bl w:val="nil"/>
                  </w:tcBorders>
                  <w:shd w:val="clear" w:color="auto" w:fill="auto"/>
                  <w:vAlign w:val="center"/>
                </w:tcPr>
                <w:p w14:paraId="2420C15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处理能力（</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t/h</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w:t>
                  </w:r>
                </w:p>
              </w:tc>
              <w:tc>
                <w:tcPr>
                  <w:tcW w:w="1685" w:type="dxa"/>
                  <w:tcBorders>
                    <w:tl2br w:val="nil"/>
                    <w:tr2bl w:val="nil"/>
                  </w:tcBorders>
                  <w:shd w:val="clear" w:color="auto" w:fill="auto"/>
                  <w:vAlign w:val="center"/>
                </w:tcPr>
                <w:p w14:paraId="6023F59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年处理</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量</w:t>
                  </w:r>
                </w:p>
                <w:p w14:paraId="149F986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（万t/a）</w:t>
                  </w:r>
                </w:p>
              </w:tc>
              <w:tc>
                <w:tcPr>
                  <w:tcW w:w="1484" w:type="dxa"/>
                  <w:tcBorders>
                    <w:tl2br w:val="nil"/>
                    <w:tr2bl w:val="nil"/>
                  </w:tcBorders>
                  <w:shd w:val="clear" w:color="auto" w:fill="auto"/>
                  <w:vAlign w:val="center"/>
                </w:tcPr>
                <w:p w14:paraId="51EFBDF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年工作时间（</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h/a</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w:t>
                  </w:r>
                </w:p>
              </w:tc>
            </w:tr>
            <w:tr w14:paraId="73A0364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0" w:hRule="atLeast"/>
                <w:jc w:val="center"/>
              </w:trPr>
              <w:tc>
                <w:tcPr>
                  <w:tcW w:w="962" w:type="dxa"/>
                  <w:tcBorders>
                    <w:tl2br w:val="nil"/>
                    <w:tr2bl w:val="nil"/>
                  </w:tcBorders>
                  <w:vAlign w:val="center"/>
                </w:tcPr>
                <w:p w14:paraId="29679CB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w:t>
                  </w:r>
                </w:p>
              </w:tc>
              <w:tc>
                <w:tcPr>
                  <w:tcW w:w="2004" w:type="dxa"/>
                  <w:tcBorders>
                    <w:tl2br w:val="nil"/>
                    <w:tr2bl w:val="nil"/>
                  </w:tcBorders>
                  <w:vAlign w:val="center"/>
                </w:tcPr>
                <w:p w14:paraId="56E24F5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颚式破碎机</w:t>
                  </w:r>
                </w:p>
              </w:tc>
              <w:tc>
                <w:tcPr>
                  <w:tcW w:w="1281" w:type="dxa"/>
                  <w:tcBorders>
                    <w:tl2br w:val="nil"/>
                    <w:tr2bl w:val="nil"/>
                  </w:tcBorders>
                  <w:shd w:val="clear" w:color="auto" w:fill="auto"/>
                  <w:vAlign w:val="center"/>
                </w:tcPr>
                <w:p w14:paraId="73B8812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40</w:t>
                  </w:r>
                </w:p>
              </w:tc>
              <w:tc>
                <w:tcPr>
                  <w:tcW w:w="1685" w:type="dxa"/>
                  <w:tcBorders>
                    <w:tl2br w:val="nil"/>
                    <w:tr2bl w:val="nil"/>
                  </w:tcBorders>
                  <w:shd w:val="clear" w:color="auto" w:fill="auto"/>
                  <w:vAlign w:val="center"/>
                </w:tcPr>
                <w:p w14:paraId="7B3FFD4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9</w:t>
                  </w:r>
                </w:p>
              </w:tc>
              <w:tc>
                <w:tcPr>
                  <w:tcW w:w="1484" w:type="dxa"/>
                  <w:tcBorders>
                    <w:tl2br w:val="nil"/>
                    <w:tr2bl w:val="nil"/>
                  </w:tcBorders>
                  <w:shd w:val="clear" w:color="auto" w:fill="auto"/>
                  <w:vAlign w:val="center"/>
                </w:tcPr>
                <w:p w14:paraId="7FF94C3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2250</w:t>
                  </w:r>
                </w:p>
              </w:tc>
            </w:tr>
            <w:tr w14:paraId="251310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0" w:hRule="atLeast"/>
                <w:jc w:val="center"/>
              </w:trPr>
              <w:tc>
                <w:tcPr>
                  <w:tcW w:w="962" w:type="dxa"/>
                  <w:tcBorders>
                    <w:tl2br w:val="nil"/>
                    <w:tr2bl w:val="nil"/>
                  </w:tcBorders>
                  <w:vAlign w:val="center"/>
                </w:tcPr>
                <w:p w14:paraId="0E2D64A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w:t>
                  </w:r>
                </w:p>
              </w:tc>
              <w:tc>
                <w:tcPr>
                  <w:tcW w:w="2004" w:type="dxa"/>
                  <w:tcBorders>
                    <w:tl2br w:val="nil"/>
                    <w:tr2bl w:val="nil"/>
                  </w:tcBorders>
                  <w:vAlign w:val="center"/>
                </w:tcPr>
                <w:p w14:paraId="2486814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圆锥破碎机</w:t>
                  </w:r>
                </w:p>
              </w:tc>
              <w:tc>
                <w:tcPr>
                  <w:tcW w:w="1281" w:type="dxa"/>
                  <w:tcBorders>
                    <w:tl2br w:val="nil"/>
                    <w:tr2bl w:val="nil"/>
                  </w:tcBorders>
                  <w:shd w:val="clear" w:color="auto" w:fill="auto"/>
                  <w:vAlign w:val="center"/>
                </w:tcPr>
                <w:p w14:paraId="6D56861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40</w:t>
                  </w:r>
                </w:p>
              </w:tc>
              <w:tc>
                <w:tcPr>
                  <w:tcW w:w="1685" w:type="dxa"/>
                  <w:tcBorders>
                    <w:tl2br w:val="nil"/>
                    <w:tr2bl w:val="nil"/>
                  </w:tcBorders>
                  <w:shd w:val="clear" w:color="auto" w:fill="auto"/>
                  <w:vAlign w:val="center"/>
                </w:tcPr>
                <w:p w14:paraId="3FFFDC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9</w:t>
                  </w:r>
                </w:p>
              </w:tc>
              <w:tc>
                <w:tcPr>
                  <w:tcW w:w="1484" w:type="dxa"/>
                  <w:tcBorders>
                    <w:tl2br w:val="nil"/>
                    <w:tr2bl w:val="nil"/>
                  </w:tcBorders>
                  <w:shd w:val="clear" w:color="auto" w:fill="auto"/>
                  <w:vAlign w:val="center"/>
                </w:tcPr>
                <w:p w14:paraId="66FB1E6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2250</w:t>
                  </w:r>
                </w:p>
              </w:tc>
            </w:tr>
            <w:tr w14:paraId="7346C25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58" w:hRule="atLeast"/>
                <w:jc w:val="center"/>
              </w:trPr>
              <w:tc>
                <w:tcPr>
                  <w:tcW w:w="962" w:type="dxa"/>
                  <w:tcBorders>
                    <w:tl2br w:val="nil"/>
                    <w:tr2bl w:val="nil"/>
                  </w:tcBorders>
                  <w:vAlign w:val="center"/>
                </w:tcPr>
                <w:p w14:paraId="2A3356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2004" w:type="dxa"/>
                  <w:tcBorders>
                    <w:tl2br w:val="nil"/>
                    <w:tr2bl w:val="nil"/>
                  </w:tcBorders>
                  <w:vAlign w:val="center"/>
                </w:tcPr>
                <w:p w14:paraId="253CFA5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cs="Times New Roman"/>
                      <w:color w:val="000000" w:themeColor="text1"/>
                      <w:sz w:val="21"/>
                      <w:szCs w:val="21"/>
                      <w:highlight w:val="none"/>
                      <w:vertAlign w:val="baseline"/>
                      <w:lang w:eastAsia="zh-CN"/>
                      <w14:textFill>
                        <w14:solidFill>
                          <w14:schemeClr w14:val="tx1"/>
                        </w14:solidFill>
                      </w14:textFill>
                    </w:rPr>
                    <w:t>往复式摇筛</w:t>
                  </w:r>
                </w:p>
              </w:tc>
              <w:tc>
                <w:tcPr>
                  <w:tcW w:w="1281" w:type="dxa"/>
                  <w:tcBorders>
                    <w:tl2br w:val="nil"/>
                    <w:tr2bl w:val="nil"/>
                  </w:tcBorders>
                  <w:shd w:val="clear" w:color="auto" w:fill="auto"/>
                  <w:vAlign w:val="center"/>
                </w:tcPr>
                <w:p w14:paraId="45E47B0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40</w:t>
                  </w:r>
                </w:p>
              </w:tc>
              <w:tc>
                <w:tcPr>
                  <w:tcW w:w="1685" w:type="dxa"/>
                  <w:tcBorders>
                    <w:tl2br w:val="nil"/>
                    <w:tr2bl w:val="nil"/>
                  </w:tcBorders>
                  <w:shd w:val="clear" w:color="auto" w:fill="auto"/>
                  <w:vAlign w:val="center"/>
                </w:tcPr>
                <w:p w14:paraId="479BBFE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9</w:t>
                  </w:r>
                </w:p>
              </w:tc>
              <w:tc>
                <w:tcPr>
                  <w:tcW w:w="1484" w:type="dxa"/>
                  <w:tcBorders>
                    <w:tl2br w:val="nil"/>
                    <w:tr2bl w:val="nil"/>
                  </w:tcBorders>
                  <w:shd w:val="clear" w:color="auto" w:fill="auto"/>
                  <w:vAlign w:val="center"/>
                </w:tcPr>
                <w:p w14:paraId="7146F74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2250</w:t>
                  </w:r>
                </w:p>
              </w:tc>
            </w:tr>
            <w:tr w14:paraId="544FA27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58" w:hRule="atLeast"/>
                <w:jc w:val="center"/>
              </w:trPr>
              <w:tc>
                <w:tcPr>
                  <w:tcW w:w="7416" w:type="dxa"/>
                  <w:gridSpan w:val="5"/>
                  <w:tcBorders>
                    <w:tl2br w:val="nil"/>
                    <w:tr2bl w:val="nil"/>
                  </w:tcBorders>
                  <w:vAlign w:val="center"/>
                </w:tcPr>
                <w:p w14:paraId="421A23D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备注：本项目年工作日为300天，采用三班制生产运行，每班工作8小时，全年合计运行时间为7200小时。项目设备实际工作时间为2250小时，设备运行时长明显低于项目年总工作时间，主要原因系项目生产过程中物料周转时间较长，因此设备工作时间短、项目整体年工作时间长的情况符合实际生产组织特点。</w:t>
                  </w:r>
                </w:p>
              </w:tc>
            </w:tr>
          </w:tbl>
          <w:p w14:paraId="79ABD398">
            <w:pPr>
              <w:keepNext w:val="0"/>
              <w:keepLines w:val="0"/>
              <w:pageBreakBefore w:val="0"/>
              <w:numPr>
                <w:ilvl w:val="0"/>
                <w:numId w:val="11"/>
              </w:numPr>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取暖：</w:t>
            </w:r>
            <w:r>
              <w:rPr>
                <w:rFonts w:hint="default" w:ascii="Times New Roman" w:hAnsi="Times New Roman" w:cs="Times New Roman"/>
                <w:color w:val="000000" w:themeColor="text1"/>
                <w:highlight w:val="none"/>
                <w14:textFill>
                  <w14:solidFill>
                    <w14:schemeClr w14:val="tx1"/>
                  </w14:solidFill>
                </w14:textFill>
              </w:rPr>
              <w:t>本项目</w:t>
            </w:r>
            <w:r>
              <w:rPr>
                <w:rFonts w:hint="default" w:ascii="Times New Roman" w:hAnsi="Times New Roman" w:cs="Times New Roman"/>
                <w:color w:val="000000" w:themeColor="text1"/>
                <w:highlight w:val="none"/>
                <w:lang w:val="en-US" w:eastAsia="zh-CN"/>
                <w14:textFill>
                  <w14:solidFill>
                    <w14:schemeClr w14:val="tx1"/>
                  </w14:solidFill>
                </w14:textFill>
              </w:rPr>
              <w:t>生产区域不设取暖设施，办公取暖采用单体空调</w:t>
            </w:r>
            <w:r>
              <w:rPr>
                <w:rFonts w:hint="default" w:ascii="Times New Roman" w:hAnsi="Times New Roman" w:cs="Times New Roman"/>
                <w:color w:val="000000" w:themeColor="text1"/>
                <w:sz w:val="24"/>
                <w:szCs w:val="24"/>
                <w:highlight w:val="none"/>
                <w14:textFill>
                  <w14:solidFill>
                    <w14:schemeClr w14:val="tx1"/>
                  </w14:solidFill>
                </w14:textFill>
              </w:rPr>
              <w:t>。</w:t>
            </w:r>
          </w:p>
          <w:p w14:paraId="376EDDA1">
            <w:pPr>
              <w:keepNext w:val="0"/>
              <w:keepLines w:val="0"/>
              <w:pageBreakBefore w:val="0"/>
              <w:numPr>
                <w:ilvl w:val="0"/>
                <w:numId w:val="11"/>
              </w:numPr>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项目的地理位置、平面布置与周边关系：</w:t>
            </w:r>
          </w:p>
          <w:p w14:paraId="569EAE98">
            <w:pPr>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地理位置：本项目位于</w:t>
            </w:r>
            <w:r>
              <w:rPr>
                <w:rFonts w:hint="eastAsia" w:cs="Times New Roman"/>
                <w:color w:val="000000" w:themeColor="text1"/>
                <w:sz w:val="24"/>
                <w:szCs w:val="24"/>
                <w:highlight w:val="none"/>
                <w:lang w:val="en-US" w:eastAsia="zh-CN"/>
                <w14:textFill>
                  <w14:solidFill>
                    <w14:schemeClr w14:val="tx1"/>
                  </w14:solidFill>
                </w14:textFill>
              </w:rPr>
              <w:t>河北省唐山市滦州市雷庄镇耀隆宝峰矿业有限公司院内</w:t>
            </w:r>
            <w:r>
              <w:rPr>
                <w:rFonts w:hint="default" w:ascii="Times New Roman" w:hAnsi="Times New Roman" w:cs="Times New Roman"/>
                <w:color w:val="000000" w:themeColor="text1"/>
                <w:sz w:val="24"/>
                <w:szCs w:val="24"/>
                <w:highlight w:val="none"/>
                <w14:textFill>
                  <w14:solidFill>
                    <w14:schemeClr w14:val="tx1"/>
                  </w14:solidFill>
                </w14:textFill>
              </w:rPr>
              <w:t>，地理位置图详见附图1。</w:t>
            </w:r>
          </w:p>
          <w:p w14:paraId="35CA1C2A">
            <w:pPr>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平面布置</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本项目仅新建预处理车间1座，位于现有工程北侧。本次技改完成后，厂区北侧为滦州市耀隆宝峰矿业有限公司内部用地，西侧为滦州市江峰硅砂有限公司，南侧、东侧均为山体。</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项目平面布置</w:t>
            </w:r>
            <w:r>
              <w:rPr>
                <w:rFonts w:hint="eastAsia" w:cs="Times New Roman"/>
                <w:color w:val="000000" w:themeColor="text1"/>
                <w:kern w:val="0"/>
                <w:sz w:val="24"/>
                <w:szCs w:val="24"/>
                <w:highlight w:val="none"/>
                <w:lang w:val="en-US" w:eastAsia="zh-CN" w:bidi="ar"/>
                <w14:textFill>
                  <w14:solidFill>
                    <w14:schemeClr w14:val="tx1"/>
                  </w14:solidFill>
                </w14:textFill>
              </w:rPr>
              <w:t>图及</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周边关系图</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见附图2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14:paraId="216F5B18">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21F4E22A">
            <w:pPr>
              <w:pStyle w:val="15"/>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27A864C7">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4D37D7C7">
            <w:pPr>
              <w:pStyle w:val="15"/>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0B2674DE">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6EBE401F">
            <w:pPr>
              <w:pStyle w:val="15"/>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00BC5C91">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4BD10353">
            <w:pPr>
              <w:pStyle w:val="15"/>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5A0B05CD">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44C5A44F">
            <w:pPr>
              <w:pStyle w:val="15"/>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677F22DE">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1BAAC660">
            <w:pPr>
              <w:pStyle w:val="15"/>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6A999057">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1729F996">
            <w:pPr>
              <w:pStyle w:val="15"/>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049E4F68">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676A8587">
            <w:pPr>
              <w:pStyle w:val="15"/>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29F2C7C0">
            <w:pPr>
              <w:shd w:val="clear"/>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p w14:paraId="32FE18AB">
            <w:pPr>
              <w:pStyle w:val="15"/>
              <w:shd w:val="clear"/>
              <w:rPr>
                <w:rFonts w:hint="default"/>
                <w:color w:val="000000" w:themeColor="text1"/>
                <w:highlight w:val="none"/>
                <w:lang w:val="en-US" w:eastAsia="zh-CN"/>
                <w14:textFill>
                  <w14:solidFill>
                    <w14:schemeClr w14:val="tx1"/>
                  </w14:solidFill>
                </w14:textFill>
              </w:rPr>
            </w:pPr>
          </w:p>
        </w:tc>
      </w:tr>
    </w:tbl>
    <w:p w14:paraId="510F75F2">
      <w:pPr>
        <w:shd w:val="clear"/>
        <w:rPr>
          <w:color w:val="000000" w:themeColor="text1"/>
          <w:highlight w:val="none"/>
          <w14:textFill>
            <w14:solidFill>
              <w14:schemeClr w14:val="tx1"/>
            </w14:solidFill>
          </w14:textFill>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165"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23"/>
        <w:gridCol w:w="8342"/>
      </w:tblGrid>
      <w:tr w14:paraId="529C9C4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PrEx>
        <w:trPr>
          <w:trHeight w:val="13766" w:hRule="atLeast"/>
          <w:jc w:val="center"/>
        </w:trPr>
        <w:tc>
          <w:tcPr>
            <w:tcW w:w="823" w:type="dxa"/>
            <w:tcBorders>
              <w:tl2br w:val="nil"/>
              <w:tr2bl w:val="nil"/>
            </w:tcBorders>
            <w:noWrap w:val="0"/>
            <w:vAlign w:val="center"/>
          </w:tcPr>
          <w:p w14:paraId="0CC4B7B8">
            <w:pPr>
              <w:pStyle w:val="43"/>
              <w:shd w:val="clear"/>
              <w:bidi w:val="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工艺流程和产排污环节</w:t>
            </w:r>
          </w:p>
        </w:tc>
        <w:tc>
          <w:tcPr>
            <w:tcW w:w="8342" w:type="dxa"/>
            <w:tcBorders>
              <w:tl2br w:val="nil"/>
              <w:tr2bl w:val="nil"/>
            </w:tcBorders>
            <w:noWrap w:val="0"/>
            <w:vAlign w:val="top"/>
          </w:tcPr>
          <w:p w14:paraId="7B5B2618">
            <w:pPr>
              <w:keepNext w:val="0"/>
              <w:keepLines w:val="0"/>
              <w:pageBreakBefore w:val="0"/>
              <w:widowControl w:val="0"/>
              <w:shd w:val="clear"/>
              <w:kinsoku/>
              <w:wordWrap/>
              <w:overflowPunct/>
              <w:topLinePunct w:val="0"/>
              <w:autoSpaceDE/>
              <w:autoSpaceDN/>
              <w:bidi w:val="0"/>
              <w:adjustRightInd/>
              <w:snapToGrid/>
              <w:spacing w:line="460" w:lineRule="exact"/>
              <w:ind w:firstLine="482" w:firstLineChars="200"/>
              <w:jc w:val="both"/>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1、产品生产工艺流程</w:t>
            </w:r>
          </w:p>
          <w:p w14:paraId="3568D7DA">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本项目为年产10万t精制硅砂加工生产线配套建设的预处理单元，其工艺流程如下：</w:t>
            </w:r>
          </w:p>
          <w:p w14:paraId="1594DA4C">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⑴来料储存</w:t>
            </w:r>
          </w:p>
          <w:p w14:paraId="2FF3ECFB">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项目依托厂区原有洗车平台，运输车辆进出厂区时对轮胎及车身进行冲洗，有效减少道路扬尘。</w:t>
            </w:r>
          </w:p>
          <w:p w14:paraId="1DF97161">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不合格</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矿石原料</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采用密闭式运输车辆运至预处理车间。运输车辆装载高度最高点不超过车辆槽帮上沿40cm，两侧边缘低于槽帮上缘10cm；车斗采用苫布全覆盖，苫布边缘至少遮住槽帮上沿以下15cm，防止运输过程中物料遗撒及粉尘逸散。</w:t>
            </w:r>
          </w:p>
          <w:p w14:paraId="4C4F3169">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预处理车间内设置专用不合格</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矿石原料</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储存区，不合格</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矿石原料</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经密闭卸车后储存于该区域。</w:t>
            </w:r>
          </w:p>
          <w:p w14:paraId="017241D5">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预处理车间内设喷淋抑尘装置，抑制堆存、装卸过程粉尘产生。</w:t>
            </w:r>
          </w:p>
          <w:p w14:paraId="4B66FCEA">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本工序主要产污环节为：</w:t>
            </w:r>
            <w:r>
              <w:rPr>
                <w:rFonts w:hint="eastAsia" w:ascii="Times New Roman" w:hAnsi="Times New Roman" w:eastAsia="宋体" w:cs="Times New Roman"/>
                <w:i w:val="0"/>
                <w:iCs w:val="0"/>
                <w:caps w:val="0"/>
                <w:color w:val="000000" w:themeColor="text1"/>
                <w:spacing w:val="0"/>
                <w:sz w:val="24"/>
                <w:szCs w:val="24"/>
                <w:highlight w:val="none"/>
                <w:lang w:eastAsia="zh-CN"/>
                <w14:textFill>
                  <w14:solidFill>
                    <w14:schemeClr w14:val="tx1"/>
                  </w14:solidFill>
                </w14:textFill>
              </w:rPr>
              <w:t>不合格</w:t>
            </w:r>
            <w:r>
              <w:rPr>
                <w:rFonts w:hint="eastAsia" w:cs="Times New Roman"/>
                <w:i w:val="0"/>
                <w:iCs w:val="0"/>
                <w:caps w:val="0"/>
                <w:color w:val="000000" w:themeColor="text1"/>
                <w:spacing w:val="0"/>
                <w:sz w:val="24"/>
                <w:szCs w:val="24"/>
                <w:highlight w:val="none"/>
                <w:lang w:eastAsia="zh-CN"/>
                <w14:textFill>
                  <w14:solidFill>
                    <w14:schemeClr w14:val="tx1"/>
                  </w14:solidFill>
                </w14:textFill>
              </w:rPr>
              <w:t>矿石原料</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装卸、堆存过</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程</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产生的</w:t>
            </w:r>
            <w:r>
              <w:rPr>
                <w:rFonts w:hint="eastAsia" w:ascii="Times New Roman" w:hAnsi="Times New Roman" w:eastAsia="宋体" w:cs="Times New Roman"/>
                <w:i w:val="0"/>
                <w:iCs w:val="0"/>
                <w:caps w:val="0"/>
                <w:color w:val="000000" w:themeColor="text1"/>
                <w:spacing w:val="0"/>
                <w:sz w:val="24"/>
                <w:szCs w:val="24"/>
                <w:highlight w:val="none"/>
                <w:lang w:eastAsia="zh-CN"/>
                <w14:textFill>
                  <w14:solidFill>
                    <w14:schemeClr w14:val="tx1"/>
                  </w14:solidFill>
                </w14:textFill>
              </w:rPr>
              <w:t>废气</w:t>
            </w:r>
            <w:r>
              <w:rPr>
                <w:rFonts w:hint="eastAsia" w:cs="Times New Roman"/>
                <w:i w:val="0"/>
                <w:iCs w:val="0"/>
                <w:caps w:val="0"/>
                <w:color w:val="000000" w:themeColor="text1"/>
                <w:spacing w:val="0"/>
                <w:sz w:val="24"/>
                <w:szCs w:val="24"/>
                <w:highlight w:val="none"/>
                <w:lang w:eastAsia="zh-CN"/>
                <w14:textFill>
                  <w14:solidFill>
                    <w14:schemeClr w14:val="tx1"/>
                  </w14:solidFill>
                </w14:textFill>
              </w:rPr>
              <w:t>；洗车废水、洗车平台污泥</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w:t>
            </w:r>
          </w:p>
          <w:p w14:paraId="1099D107">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⑵上料</w:t>
            </w:r>
          </w:p>
          <w:p w14:paraId="30E072CE">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不合格</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矿石原料</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由铲车输送至上料仓。</w:t>
            </w:r>
          </w:p>
          <w:p w14:paraId="5FFAE0A0">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本工序主要产污环节为：</w:t>
            </w:r>
            <w:r>
              <w:rPr>
                <w:rFonts w:hint="eastAsia" w:ascii="Times New Roman" w:hAnsi="Times New Roman" w:eastAsia="宋体" w:cs="Times New Roman"/>
                <w:i w:val="0"/>
                <w:iCs w:val="0"/>
                <w:caps w:val="0"/>
                <w:color w:val="000000" w:themeColor="text1"/>
                <w:spacing w:val="0"/>
                <w:sz w:val="24"/>
                <w:szCs w:val="24"/>
                <w:highlight w:val="none"/>
                <w:lang w:eastAsia="zh-CN"/>
                <w14:textFill>
                  <w14:solidFill>
                    <w14:schemeClr w14:val="tx1"/>
                  </w14:solidFill>
                </w14:textFill>
              </w:rPr>
              <w:t>不合格</w:t>
            </w:r>
            <w:r>
              <w:rPr>
                <w:rFonts w:hint="eastAsia" w:cs="Times New Roman"/>
                <w:i w:val="0"/>
                <w:iCs w:val="0"/>
                <w:caps w:val="0"/>
                <w:color w:val="000000" w:themeColor="text1"/>
                <w:spacing w:val="0"/>
                <w:sz w:val="24"/>
                <w:szCs w:val="24"/>
                <w:highlight w:val="none"/>
                <w:lang w:eastAsia="zh-CN"/>
                <w14:textFill>
                  <w14:solidFill>
                    <w14:schemeClr w14:val="tx1"/>
                  </w14:solidFill>
                </w14:textFill>
              </w:rPr>
              <w:t>矿石原料</w:t>
            </w:r>
            <w:r>
              <w:rPr>
                <w:rFonts w:hint="eastAsia" w:ascii="Times New Roman" w:hAnsi="Times New Roman" w:cs="Times New Roman"/>
                <w:i w:val="0"/>
                <w:iCs w:val="0"/>
                <w:caps w:val="0"/>
                <w:color w:val="000000" w:themeColor="text1"/>
                <w:spacing w:val="0"/>
                <w:sz w:val="24"/>
                <w:szCs w:val="24"/>
                <w:highlight w:val="none"/>
                <w:lang w:eastAsia="zh-CN"/>
                <w14:textFill>
                  <w14:solidFill>
                    <w14:schemeClr w14:val="tx1"/>
                  </w14:solidFill>
                </w14:textFill>
              </w:rPr>
              <w:t>上料过程产生的废气。</w:t>
            </w:r>
          </w:p>
          <w:p w14:paraId="21861950">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eastAsia" w:ascii="Times New Roman" w:hAnsi="Times New Roman" w:eastAsia="宋体" w:cs="Times New Roman"/>
                <w:i w:val="0"/>
                <w:iCs w:val="0"/>
                <w:caps w:val="0"/>
                <w:color w:val="000000" w:themeColor="text1"/>
                <w:spacing w:val="0"/>
                <w:sz w:val="24"/>
                <w:szCs w:val="24"/>
                <w:highlight w:val="none"/>
                <w:lang w:eastAsia="zh-CN"/>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⑶</w:t>
            </w:r>
            <w:r>
              <w:rPr>
                <w:rFonts w:hint="eastAsia" w:cs="Times New Roman"/>
                <w:i w:val="0"/>
                <w:iCs w:val="0"/>
                <w:caps w:val="0"/>
                <w:color w:val="000000" w:themeColor="text1"/>
                <w:spacing w:val="0"/>
                <w:sz w:val="24"/>
                <w:szCs w:val="24"/>
                <w:highlight w:val="none"/>
                <w:lang w:eastAsia="zh-CN"/>
                <w14:textFill>
                  <w14:solidFill>
                    <w14:schemeClr w14:val="tx1"/>
                  </w14:solidFill>
                </w14:textFill>
              </w:rPr>
              <w:t>颚破</w:t>
            </w:r>
          </w:p>
          <w:p w14:paraId="2E0F9BC9">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经上料仓卸料后进入颚式破碎机进行初次破碎，破碎后粒径控制在50～100mm。</w:t>
            </w:r>
          </w:p>
          <w:p w14:paraId="0FBB38FB">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本工序主要产污环节为：</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颚式破碎机</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上料、破碎、落料过程产生的</w:t>
            </w:r>
            <w:r>
              <w:rPr>
                <w:rFonts w:hint="eastAsia" w:ascii="Times New Roman" w:hAnsi="Times New Roman" w:eastAsia="宋体" w:cs="Times New Roman"/>
                <w:i w:val="0"/>
                <w:iCs w:val="0"/>
                <w:caps w:val="0"/>
                <w:color w:val="000000" w:themeColor="text1"/>
                <w:spacing w:val="0"/>
                <w:sz w:val="24"/>
                <w:szCs w:val="24"/>
                <w:highlight w:val="none"/>
                <w:lang w:eastAsia="zh-CN"/>
                <w14:textFill>
                  <w14:solidFill>
                    <w14:schemeClr w14:val="tx1"/>
                  </w14:solidFill>
                </w14:textFill>
              </w:rPr>
              <w:t>废气</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；颚式破碎机运行产生的设备噪声。</w:t>
            </w:r>
          </w:p>
          <w:p w14:paraId="2526F197">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⑷圆锥破</w:t>
            </w:r>
          </w:p>
          <w:p w14:paraId="56547CCC">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经颚式破碎机破碎后的物料，通过全封闭皮带输送机输送至圆锥破碎机进行二次破碎，破碎后粒径控制在30～50mm。</w:t>
            </w:r>
          </w:p>
          <w:p w14:paraId="481B3E77">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本工序主要产污环节为：</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圆锥破碎机</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上料、破碎、落料过程产生的</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废气</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；圆锥破碎机运行产生的设备噪声。</w:t>
            </w:r>
          </w:p>
          <w:p w14:paraId="76060C9A">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⑸</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筛分</w:t>
            </w:r>
          </w:p>
          <w:p w14:paraId="1B74D490">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圆锥破碎后的物料通过全封闭皮带输送机输送至1台</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往复式摇筛</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进行筛分，筛分孔径为30mm，经筛分后分离为筛上料与筛下料。其中，筛上料作为合格</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矿石原料</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；筛下料（土渣）外售至水泥厂，实现综合利用。</w:t>
            </w:r>
          </w:p>
          <w:p w14:paraId="61F761F6">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筛分工序布置于密闭筛分间内，筛上物料经密闭溜槽输送至预处理车间；筛下料直接落至往复式摇筛出料口下方的皮带输送机，由皮带机转运至筛分间外（预处理车间内）</w:t>
            </w:r>
            <w:r>
              <w:rPr>
                <w:rFonts w:hint="eastAsia" w:ascii="宋体" w:hAnsi="宋体" w:eastAsia="宋体" w:cs="宋体"/>
                <w:color w:val="000000" w:themeColor="text1"/>
                <w:sz w:val="24"/>
                <w:szCs w:val="24"/>
                <w:lang w:eastAsia="zh-CN"/>
                <w14:textFill>
                  <w14:solidFill>
                    <w14:schemeClr w14:val="tx1"/>
                  </w14:solidFill>
                </w14:textFill>
              </w:rPr>
              <w:t>。</w:t>
            </w:r>
          </w:p>
          <w:p w14:paraId="2E4C5A9F">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本工序主要产污环节为：</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往复式摇筛</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上料、筛分、落料（共2处落料点）过程产生的</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废气</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eastAsia="zh-CN"/>
                <w14:textFill>
                  <w14:solidFill>
                    <w14:schemeClr w14:val="tx1"/>
                  </w14:solidFill>
                </w14:textFill>
              </w:rPr>
              <w:t>合格矿石原料以及土渣</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装卸、</w:t>
            </w:r>
            <w:r>
              <w:rPr>
                <w:rFonts w:hint="eastAsia" w:ascii="Times New Roman" w:hAnsi="Times New Roman" w:cs="Times New Roman"/>
                <w:b w:val="0"/>
                <w:bCs w:val="0"/>
                <w:color w:val="000000" w:themeColor="text1"/>
                <w:sz w:val="24"/>
                <w:szCs w:val="24"/>
                <w:highlight w:val="none"/>
                <w:lang w:eastAsia="zh-CN"/>
                <w14:textFill>
                  <w14:solidFill>
                    <w14:schemeClr w14:val="tx1"/>
                  </w14:solidFill>
                </w14:textFill>
              </w:rPr>
              <w:t>堆存</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过程产生的颗粒物</w:t>
            </w:r>
            <w:r>
              <w:rPr>
                <w:rFonts w:hint="eastAsia" w:cs="Times New Roman"/>
                <w:b w:val="0"/>
                <w:bCs w:val="0"/>
                <w:color w:val="000000" w:themeColor="text1"/>
                <w:sz w:val="24"/>
                <w:szCs w:val="24"/>
                <w:highlight w:val="none"/>
                <w:lang w:eastAsia="zh-CN"/>
                <w14:textFill>
                  <w14:solidFill>
                    <w14:schemeClr w14:val="tx1"/>
                  </w14:solidFill>
                </w14:textFill>
              </w:rPr>
              <w:t>；</w:t>
            </w: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往复式摇筛</w:t>
            </w:r>
            <w:r>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t>运行产生的设备噪声。</w:t>
            </w:r>
          </w:p>
          <w:p w14:paraId="7B5D7542">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⑹与现有工程衔接</w:t>
            </w:r>
          </w:p>
          <w:p w14:paraId="60901679">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筛上物料为合格</w:t>
            </w:r>
            <w:r>
              <w:rPr>
                <w:rFonts w:hint="eastAsia" w:cs="Times New Roman"/>
                <w:b w:val="0"/>
                <w:bCs w:val="0"/>
                <w:color w:val="000000" w:themeColor="text1"/>
                <w:sz w:val="24"/>
                <w:szCs w:val="24"/>
                <w:highlight w:val="none"/>
                <w:lang w:eastAsia="zh-CN"/>
                <w14:textFill>
                  <w14:solidFill>
                    <w14:schemeClr w14:val="tx1"/>
                  </w14:solidFill>
                </w14:textFill>
              </w:rPr>
              <w:t>矿石原料</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，暂存于预处理车间</w:t>
            </w:r>
            <w:r>
              <w:rPr>
                <w:rStyle w:val="35"/>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合格</w:t>
            </w:r>
            <w:r>
              <w:rPr>
                <w:rStyle w:val="35"/>
                <w:rFonts w:hint="eastAsia" w:cs="Times New Roman"/>
                <w:b w:val="0"/>
                <w:bCs w:val="0"/>
                <w:color w:val="000000" w:themeColor="text1"/>
                <w:sz w:val="24"/>
                <w:szCs w:val="24"/>
                <w:highlight w:val="none"/>
                <w:lang w:eastAsia="zh-CN"/>
                <w14:textFill>
                  <w14:solidFill>
                    <w14:schemeClr w14:val="tx1"/>
                  </w14:solidFill>
                </w14:textFill>
              </w:rPr>
              <w:t>矿石原料</w:t>
            </w:r>
            <w:r>
              <w:rPr>
                <w:rStyle w:val="35"/>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储存区</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利用装载机</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定期送至现有工程原料库储存，与无需预处理的合格</w:t>
            </w:r>
            <w:r>
              <w:rPr>
                <w:rFonts w:hint="eastAsia" w:cs="Times New Roman"/>
                <w:b w:val="0"/>
                <w:bCs w:val="0"/>
                <w:color w:val="000000" w:themeColor="text1"/>
                <w:sz w:val="24"/>
                <w:szCs w:val="24"/>
                <w:highlight w:val="none"/>
                <w:lang w:eastAsia="zh-CN"/>
                <w14:textFill>
                  <w14:solidFill>
                    <w14:schemeClr w14:val="tx1"/>
                  </w14:solidFill>
                </w14:textFill>
              </w:rPr>
              <w:t>矿石原料</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共同用于</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现有工程</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生产</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使用</w:t>
            </w:r>
            <w:r>
              <w:rPr>
                <w:rFonts w:hint="eastAsia" w:cs="Times New Roman"/>
                <w:b w:val="0"/>
                <w:bCs w:val="0"/>
                <w:color w:val="000000" w:themeColor="text1"/>
                <w:sz w:val="24"/>
                <w:szCs w:val="24"/>
                <w:highlight w:val="none"/>
                <w:lang w:eastAsia="zh-CN"/>
                <w14:textFill>
                  <w14:solidFill>
                    <w14:schemeClr w14:val="tx1"/>
                  </w14:solidFill>
                </w14:textFill>
              </w:rPr>
              <w:t>。</w:t>
            </w:r>
          </w:p>
          <w:p w14:paraId="1030DAC0">
            <w:pPr>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本项目仅涉及原料预处理工序建设，建成投运后现有主体生产工艺及产排污环节均不发生改变，故本次环评对现有生产工艺不再重复论述。</w:t>
            </w:r>
          </w:p>
          <w:p w14:paraId="4158F362">
            <w:pPr>
              <w:keepNext w:val="0"/>
              <w:keepLines w:val="0"/>
              <w:pageBreakBefore w:val="0"/>
              <w:widowControl w:val="0"/>
              <w:shd w:val="clear"/>
              <w:kinsoku/>
              <w:wordWrap/>
              <w:overflowPunct/>
              <w:topLinePunct w:val="0"/>
              <w:autoSpaceDE/>
              <w:autoSpaceDN/>
              <w:bidi w:val="0"/>
              <w:adjustRightInd/>
              <w:snapToGrid/>
              <w:spacing w:line="460" w:lineRule="exact"/>
              <w:ind w:firstLine="480" w:firstLineChars="200"/>
              <w:jc w:val="both"/>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eastAsia="zh-CN"/>
                <w14:textFill>
                  <w14:solidFill>
                    <w14:schemeClr w14:val="tx1"/>
                  </w14:solidFill>
                </w14:textFill>
              </w:rPr>
              <w:t>本项目</w:t>
            </w:r>
            <w:r>
              <w:rPr>
                <w:rFonts w:hint="default" w:ascii="Times New Roman" w:hAnsi="Times New Roman" w:eastAsia="宋体" w:cs="Times New Roman"/>
                <w:color w:val="000000" w:themeColor="text1"/>
                <w:sz w:val="24"/>
                <w:highlight w:val="none"/>
                <w14:textFill>
                  <w14:solidFill>
                    <w14:schemeClr w14:val="tx1"/>
                  </w14:solidFill>
                </w14:textFill>
              </w:rPr>
              <w:t>生产工艺流程及排污节点图见下图：</w:t>
            </w:r>
          </w:p>
          <w:p w14:paraId="2DAE4EDF">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object>
                <v:shape id="_x0000_i1027" o:spt="75" type="#_x0000_t75" style="height:297.4pt;width:324.8pt;" o:ole="t" filled="f" o:preferrelative="t" stroked="f" coordsize="21600,21600">
                  <v:path/>
                  <v:fill on="f" focussize="0,0"/>
                  <v:stroke on="f"/>
                  <v:imagedata r:id="rId15" o:title=""/>
                  <o:lock v:ext="edit" aspectratio="f"/>
                  <w10:wrap type="none"/>
                  <w10:anchorlock/>
                </v:shape>
                <o:OLEObject Type="Embed" ProgID="Visio.Drawing.11" ShapeID="_x0000_i1027" DrawAspect="Content" ObjectID="_1468075727" r:id="rId14">
                  <o:LockedField>false</o:LockedField>
                </o:OLEObject>
              </w:object>
            </w:r>
          </w:p>
          <w:p w14:paraId="6E9F9931">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生产工艺流程及排污节点图</w:t>
            </w:r>
          </w:p>
          <w:p w14:paraId="017CD143">
            <w:pPr>
              <w:keepNext w:val="0"/>
              <w:keepLines w:val="0"/>
              <w:pageBreakBefore w:val="0"/>
              <w:shd w:val="clea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其他</w:t>
            </w: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产排污</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节点</w:t>
            </w:r>
          </w:p>
          <w:p w14:paraId="5FB15BE1">
            <w:pPr>
              <w:pStyle w:val="117"/>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废气处理装置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收集的除尘灰</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（除尘器</w:t>
            </w:r>
            <w:r>
              <w:rPr>
                <w:rFonts w:hint="eastAsia"/>
                <w:color w:val="000000" w:themeColor="text1"/>
                <w:highlight w:val="none"/>
                <w14:textFill>
                  <w14:solidFill>
                    <w14:schemeClr w14:val="tx1"/>
                  </w14:solidFill>
                </w14:textFill>
              </w:rPr>
              <w:t>卸灰</w:t>
            </w:r>
            <w:r>
              <w:rPr>
                <w:rFonts w:hint="eastAsia"/>
                <w:color w:val="000000" w:themeColor="text1"/>
                <w:highlight w:val="none"/>
                <w:lang w:eastAsia="zh-CN"/>
                <w14:textFill>
                  <w14:solidFill>
                    <w14:schemeClr w14:val="tx1"/>
                  </w14:solidFill>
                </w14:textFill>
              </w:rPr>
              <w:t>采用封闭袋装</w:t>
            </w:r>
            <w:r>
              <w:rPr>
                <w:rFonts w:hint="eastAsia"/>
                <w:color w:val="000000" w:themeColor="text1"/>
                <w:highlight w:val="none"/>
                <w14:textFill>
                  <w14:solidFill>
                    <w14:schemeClr w14:val="tx1"/>
                  </w14:solidFill>
                </w14:textFill>
              </w:rPr>
              <w:t>，卸灰区封闭</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、脉冲布袋除尘器</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更换的废布袋</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、设备检修产生的废润滑油、废油桶、职工日常生活产生的生活垃圾</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51E5634">
            <w:pPr>
              <w:keepNext w:val="0"/>
              <w:keepLines w:val="0"/>
              <w:pageBreakBefore w:val="0"/>
              <w:widowControl w:val="0"/>
              <w:shd w:val="clear"/>
              <w:kinsoku/>
              <w:wordWrap/>
              <w:overflowPunct/>
              <w:topLinePunct w:val="0"/>
              <w:autoSpaceDE w:val="0"/>
              <w:autoSpaceDN w:val="0"/>
              <w:bidi w:val="0"/>
              <w:adjustRightInd w:val="0"/>
              <w:snapToGrid/>
              <w:spacing w:line="480" w:lineRule="exact"/>
              <w:ind w:firstLine="480" w:firstLineChars="200"/>
              <w:textAlignment w:val="auto"/>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污染物主要排放节点如下：</w:t>
            </w:r>
          </w:p>
          <w:p w14:paraId="1BE9DFC6">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污染物排放节点简况</w:t>
            </w:r>
          </w:p>
          <w:tbl>
            <w:tblPr>
              <w:tblStyle w:val="32"/>
              <w:tblW w:w="7659"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496"/>
              <w:gridCol w:w="709"/>
              <w:gridCol w:w="84"/>
              <w:gridCol w:w="990"/>
              <w:gridCol w:w="945"/>
              <w:gridCol w:w="2610"/>
              <w:gridCol w:w="1095"/>
              <w:gridCol w:w="730"/>
            </w:tblGrid>
            <w:tr w14:paraId="779EE29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tcBorders>
                    <w:tl2br w:val="nil"/>
                    <w:tr2bl w:val="nil"/>
                  </w:tcBorders>
                  <w:noWrap w:val="0"/>
                  <w:vAlign w:val="center"/>
                </w:tcPr>
                <w:p w14:paraId="3C04ACD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类别</w:t>
                  </w:r>
                </w:p>
              </w:tc>
              <w:tc>
                <w:tcPr>
                  <w:tcW w:w="1783" w:type="dxa"/>
                  <w:gridSpan w:val="3"/>
                  <w:tcBorders>
                    <w:tl2br w:val="nil"/>
                    <w:tr2bl w:val="nil"/>
                  </w:tcBorders>
                  <w:noWrap w:val="0"/>
                  <w:vAlign w:val="center"/>
                </w:tcPr>
                <w:p w14:paraId="196FAEF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污染源</w:t>
                  </w:r>
                </w:p>
              </w:tc>
              <w:tc>
                <w:tcPr>
                  <w:tcW w:w="945" w:type="dxa"/>
                  <w:tcBorders>
                    <w:tl2br w:val="nil"/>
                    <w:tr2bl w:val="nil"/>
                  </w:tcBorders>
                  <w:noWrap w:val="0"/>
                  <w:vAlign w:val="center"/>
                </w:tcPr>
                <w:p w14:paraId="5D94FF3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污染因子</w:t>
                  </w:r>
                </w:p>
              </w:tc>
              <w:tc>
                <w:tcPr>
                  <w:tcW w:w="3705" w:type="dxa"/>
                  <w:gridSpan w:val="2"/>
                  <w:tcBorders>
                    <w:tl2br w:val="nil"/>
                    <w:tr2bl w:val="nil"/>
                  </w:tcBorders>
                  <w:noWrap w:val="0"/>
                  <w:vAlign w:val="center"/>
                </w:tcPr>
                <w:p w14:paraId="17C9990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治理措施</w:t>
                  </w:r>
                </w:p>
              </w:tc>
              <w:tc>
                <w:tcPr>
                  <w:tcW w:w="730" w:type="dxa"/>
                  <w:tcBorders>
                    <w:tl2br w:val="nil"/>
                    <w:tr2bl w:val="nil"/>
                  </w:tcBorders>
                  <w:noWrap w:val="0"/>
                  <w:vAlign w:val="center"/>
                </w:tcPr>
                <w:p w14:paraId="20390BE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排放特征</w:t>
                  </w:r>
                </w:p>
              </w:tc>
            </w:tr>
            <w:tr w14:paraId="49DC4D6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restart"/>
                  <w:tcBorders>
                    <w:tl2br w:val="nil"/>
                    <w:tr2bl w:val="nil"/>
                  </w:tcBorders>
                  <w:noWrap w:val="0"/>
                  <w:vAlign w:val="center"/>
                </w:tcPr>
                <w:p w14:paraId="06477D1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废气</w:t>
                  </w:r>
                </w:p>
              </w:tc>
              <w:tc>
                <w:tcPr>
                  <w:tcW w:w="1783" w:type="dxa"/>
                  <w:gridSpan w:val="3"/>
                  <w:tcBorders>
                    <w:tl2br w:val="nil"/>
                    <w:tr2bl w:val="nil"/>
                  </w:tcBorders>
                  <w:shd w:val="clear" w:color="auto" w:fill="auto"/>
                  <w:noWrap w:val="0"/>
                  <w:vAlign w:val="center"/>
                </w:tcPr>
                <w:p w14:paraId="1500EC8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不合格矿石原料上料过程</w:t>
                  </w:r>
                </w:p>
              </w:tc>
              <w:tc>
                <w:tcPr>
                  <w:tcW w:w="945" w:type="dxa"/>
                  <w:tcBorders>
                    <w:tl2br w:val="nil"/>
                    <w:tr2bl w:val="nil"/>
                  </w:tcBorders>
                  <w:shd w:val="clear" w:color="auto" w:fill="auto"/>
                  <w:noWrap w:val="0"/>
                  <w:vAlign w:val="center"/>
                </w:tcPr>
                <w:p w14:paraId="09F7D6E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2610" w:type="dxa"/>
                  <w:tcBorders>
                    <w:tl2br w:val="nil"/>
                    <w:tr2bl w:val="nil"/>
                  </w:tcBorders>
                  <w:shd w:val="clear" w:color="auto" w:fill="auto"/>
                  <w:noWrap w:val="0"/>
                  <w:vAlign w:val="center"/>
                </w:tcPr>
                <w:p w14:paraId="4CC6458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left"/>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仓</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三面及顶部围挡，</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入料口上</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面设置软帘</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（软帘下高度1.5m）</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入料口下方用彩钢板封闭，顶部设置集气管</w:t>
                  </w:r>
                  <w:r>
                    <w:rPr>
                      <w:rFonts w:hint="eastAsia" w:cs="Times New Roman"/>
                      <w:b w:val="0"/>
                      <w:bCs w:val="0"/>
                      <w:strike/>
                      <w:dstrike w:val="0"/>
                      <w:snapToGrid w:val="0"/>
                      <w:color w:val="000000" w:themeColor="text1"/>
                      <w:kern w:val="0"/>
                      <w:sz w:val="21"/>
                      <w:szCs w:val="21"/>
                      <w:highlight w:val="none"/>
                      <w:vertAlign w:val="baseline"/>
                      <w:lang w:val="en-US" w:eastAsia="zh-CN" w:bidi="ar-SA"/>
                      <w14:textFill>
                        <w14:solidFill>
                          <w14:schemeClr w14:val="tx1"/>
                        </w14:solidFill>
                      </w14:textFill>
                    </w:rPr>
                    <w:t>罩</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；设置伞状喷雾抑尘装置，喷雾抑尘装置范围应覆盖整个落料点（电伴热）</w:t>
                  </w:r>
                </w:p>
              </w:tc>
              <w:tc>
                <w:tcPr>
                  <w:tcW w:w="1095" w:type="dxa"/>
                  <w:vMerge w:val="restart"/>
                  <w:tcBorders>
                    <w:tl2br w:val="nil"/>
                    <w:tr2bl w:val="nil"/>
                  </w:tcBorders>
                  <w:shd w:val="clear" w:color="auto" w:fill="auto"/>
                  <w:noWrap w:val="0"/>
                  <w:vAlign w:val="center"/>
                </w:tcPr>
                <w:p w14:paraId="636D874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上述工序产生的废气经集气装置收集后，由1套</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脉冲布袋除尘器</w:t>
                  </w:r>
                  <w:r>
                    <w:rPr>
                      <w:rFonts w:hint="eastAsia" w:eastAsia="宋体" w:cs="Times New Roman"/>
                      <w:color w:val="000000" w:themeColor="text1"/>
                      <w:sz w:val="21"/>
                      <w:szCs w:val="21"/>
                      <w:highlight w:val="none"/>
                      <w:lang w:val="en-US" w:eastAsia="zh-CN"/>
                      <w14:textFill>
                        <w14:solidFill>
                          <w14:schemeClr w14:val="tx1"/>
                        </w14:solidFill>
                      </w14:textFill>
                    </w:rPr>
                    <w:t>处理，经1根</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排气筒（DA00</w:t>
                  </w:r>
                  <w:r>
                    <w:rPr>
                      <w:rFonts w:hint="eastAsia"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eastAsia="宋体" w:cs="Times New Roman"/>
                      <w:color w:val="000000" w:themeColor="text1"/>
                      <w:sz w:val="21"/>
                      <w:szCs w:val="21"/>
                      <w:highlight w:val="none"/>
                      <w:lang w:val="en-US" w:eastAsia="zh-CN"/>
                      <w14:textFill>
                        <w14:solidFill>
                          <w14:schemeClr w14:val="tx1"/>
                        </w14:solidFill>
                      </w14:textFill>
                    </w:rPr>
                    <w:t>排放</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eastAsia="zh-CN"/>
                      <w14:textFill>
                        <w14:solidFill>
                          <w14:schemeClr w14:val="tx1"/>
                        </w14:solidFill>
                      </w14:textFill>
                    </w:rPr>
                    <w:t>风机风量</w:t>
                  </w:r>
                  <w:r>
                    <w:rPr>
                      <w:rFonts w:hint="eastAsia" w:cs="Times New Roman"/>
                      <w:color w:val="000000" w:themeColor="text1"/>
                      <w:sz w:val="21"/>
                      <w:szCs w:val="21"/>
                      <w:highlight w:val="none"/>
                      <w:lang w:val="en-US" w:eastAsia="zh-CN"/>
                      <w14:textFill>
                        <w14:solidFill>
                          <w14:schemeClr w14:val="tx1"/>
                        </w14:solidFill>
                      </w14:textFill>
                    </w:rPr>
                    <w:t>45000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w:t>
                  </w:r>
                </w:p>
              </w:tc>
              <w:tc>
                <w:tcPr>
                  <w:tcW w:w="730" w:type="dxa"/>
                  <w:vMerge w:val="restart"/>
                  <w:tcBorders>
                    <w:tl2br w:val="nil"/>
                    <w:tr2bl w:val="nil"/>
                  </w:tcBorders>
                  <w:shd w:val="clear" w:color="auto" w:fill="auto"/>
                  <w:noWrap w:val="0"/>
                  <w:vAlign w:val="center"/>
                </w:tcPr>
                <w:p w14:paraId="35B8D08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连续</w:t>
                  </w:r>
                </w:p>
              </w:tc>
            </w:tr>
            <w:tr w14:paraId="18C5ADF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7761AE4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93" w:type="dxa"/>
                  <w:gridSpan w:val="2"/>
                  <w:vMerge w:val="restart"/>
                  <w:tcBorders>
                    <w:tl2br w:val="nil"/>
                    <w:tr2bl w:val="nil"/>
                  </w:tcBorders>
                  <w:noWrap w:val="0"/>
                  <w:vAlign w:val="center"/>
                </w:tcPr>
                <w:p w14:paraId="4B36339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颚式破碎机</w:t>
                  </w:r>
                </w:p>
              </w:tc>
              <w:tc>
                <w:tcPr>
                  <w:tcW w:w="990" w:type="dxa"/>
                  <w:tcBorders>
                    <w:tl2br w:val="nil"/>
                    <w:tr2bl w:val="nil"/>
                  </w:tcBorders>
                  <w:noWrap w:val="0"/>
                  <w:vAlign w:val="center"/>
                </w:tcPr>
                <w:p w14:paraId="47FCC41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上料、破碎</w:t>
                  </w:r>
                </w:p>
              </w:tc>
              <w:tc>
                <w:tcPr>
                  <w:tcW w:w="945" w:type="dxa"/>
                  <w:tcBorders>
                    <w:tl2br w:val="nil"/>
                    <w:tr2bl w:val="nil"/>
                  </w:tcBorders>
                  <w:shd w:val="clear" w:color="auto" w:fill="auto"/>
                  <w:noWrap w:val="0"/>
                  <w:vAlign w:val="center"/>
                </w:tcPr>
                <w:p w14:paraId="48364BF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2610" w:type="dxa"/>
                  <w:tcBorders>
                    <w:tl2br w:val="nil"/>
                    <w:tr2bl w:val="nil"/>
                  </w:tcBorders>
                  <w:shd w:val="clear" w:color="auto" w:fill="auto"/>
                  <w:noWrap w:val="0"/>
                  <w:vAlign w:val="center"/>
                </w:tcPr>
                <w:p w14:paraId="6F42ACD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上料仓</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落料点以及</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颚式破碎机入料口</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上方设置集气罩</w:t>
                  </w:r>
                </w:p>
              </w:tc>
              <w:tc>
                <w:tcPr>
                  <w:tcW w:w="1095" w:type="dxa"/>
                  <w:vMerge w:val="continue"/>
                  <w:tcBorders>
                    <w:tl2br w:val="nil"/>
                    <w:tr2bl w:val="nil"/>
                  </w:tcBorders>
                  <w:noWrap w:val="0"/>
                  <w:vAlign w:val="center"/>
                </w:tcPr>
                <w:p w14:paraId="72D2135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730" w:type="dxa"/>
                  <w:vMerge w:val="continue"/>
                  <w:tcBorders>
                    <w:tl2br w:val="nil"/>
                    <w:tr2bl w:val="nil"/>
                  </w:tcBorders>
                  <w:noWrap w:val="0"/>
                  <w:vAlign w:val="center"/>
                </w:tcPr>
                <w:p w14:paraId="64EAE37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p>
              </w:tc>
            </w:tr>
            <w:tr w14:paraId="390DCD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0BE2A09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93" w:type="dxa"/>
                  <w:gridSpan w:val="2"/>
                  <w:vMerge w:val="continue"/>
                  <w:tcBorders>
                    <w:tl2br w:val="nil"/>
                    <w:tr2bl w:val="nil"/>
                  </w:tcBorders>
                  <w:noWrap w:val="0"/>
                  <w:vAlign w:val="center"/>
                </w:tcPr>
                <w:p w14:paraId="07CDAC3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990" w:type="dxa"/>
                  <w:tcBorders>
                    <w:tl2br w:val="nil"/>
                    <w:tr2bl w:val="nil"/>
                  </w:tcBorders>
                  <w:noWrap w:val="0"/>
                  <w:vAlign w:val="center"/>
                </w:tcPr>
                <w:p w14:paraId="2B90EE1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落料</w:t>
                  </w:r>
                </w:p>
              </w:tc>
              <w:tc>
                <w:tcPr>
                  <w:tcW w:w="945" w:type="dxa"/>
                  <w:tcBorders>
                    <w:tl2br w:val="nil"/>
                    <w:tr2bl w:val="nil"/>
                  </w:tcBorders>
                  <w:noWrap w:val="0"/>
                  <w:vAlign w:val="center"/>
                </w:tcPr>
                <w:p w14:paraId="5C33DE2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2610" w:type="dxa"/>
                  <w:tcBorders>
                    <w:tl2br w:val="nil"/>
                    <w:tr2bl w:val="nil"/>
                  </w:tcBorders>
                  <w:noWrap w:val="0"/>
                  <w:vAlign w:val="center"/>
                </w:tcPr>
                <w:p w14:paraId="3C0C819F">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left"/>
                    <w:textAlignment w:val="auto"/>
                    <w:rPr>
                      <w:rFonts w:hint="default"/>
                      <w:color w:val="000000" w:themeColor="text1"/>
                      <w:sz w:val="21"/>
                      <w:szCs w:val="21"/>
                      <w:highlight w:val="none"/>
                      <w:lang w:val="en-US"/>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物料落料处全封闭，落料点上方设置集气引风口</w:t>
                  </w:r>
                </w:p>
              </w:tc>
              <w:tc>
                <w:tcPr>
                  <w:tcW w:w="1095" w:type="dxa"/>
                  <w:vMerge w:val="continue"/>
                  <w:tcBorders>
                    <w:tl2br w:val="nil"/>
                    <w:tr2bl w:val="nil"/>
                  </w:tcBorders>
                  <w:noWrap w:val="0"/>
                  <w:vAlign w:val="center"/>
                </w:tcPr>
                <w:p w14:paraId="36EA95F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p>
              </w:tc>
              <w:tc>
                <w:tcPr>
                  <w:tcW w:w="730" w:type="dxa"/>
                  <w:vMerge w:val="continue"/>
                  <w:tcBorders>
                    <w:tl2br w:val="nil"/>
                    <w:tr2bl w:val="nil"/>
                  </w:tcBorders>
                  <w:noWrap w:val="0"/>
                  <w:vAlign w:val="center"/>
                </w:tcPr>
                <w:p w14:paraId="1C70F79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r>
            <w:tr w14:paraId="623164F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68A3E05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93" w:type="dxa"/>
                  <w:gridSpan w:val="2"/>
                  <w:vMerge w:val="restart"/>
                  <w:tcBorders>
                    <w:tl2br w:val="nil"/>
                    <w:tr2bl w:val="nil"/>
                  </w:tcBorders>
                  <w:noWrap w:val="0"/>
                  <w:vAlign w:val="center"/>
                </w:tcPr>
                <w:p w14:paraId="48F8FF7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圆锥破碎机</w:t>
                  </w:r>
                </w:p>
              </w:tc>
              <w:tc>
                <w:tcPr>
                  <w:tcW w:w="990" w:type="dxa"/>
                  <w:tcBorders>
                    <w:tl2br w:val="nil"/>
                    <w:tr2bl w:val="nil"/>
                  </w:tcBorders>
                  <w:noWrap w:val="0"/>
                  <w:vAlign w:val="center"/>
                </w:tcPr>
                <w:p w14:paraId="604EA3C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上料、破碎</w:t>
                  </w:r>
                </w:p>
              </w:tc>
              <w:tc>
                <w:tcPr>
                  <w:tcW w:w="945" w:type="dxa"/>
                  <w:tcBorders>
                    <w:tl2br w:val="nil"/>
                    <w:tr2bl w:val="nil"/>
                  </w:tcBorders>
                  <w:noWrap w:val="0"/>
                  <w:vAlign w:val="center"/>
                </w:tcPr>
                <w:p w14:paraId="368E778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2610" w:type="dxa"/>
                  <w:tcBorders>
                    <w:tl2br w:val="nil"/>
                    <w:tr2bl w:val="nil"/>
                  </w:tcBorders>
                  <w:noWrap w:val="0"/>
                  <w:vAlign w:val="center"/>
                </w:tcPr>
                <w:p w14:paraId="05D1E7F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皮带输送机与圆锥破碎机封闭相连，圆锥破碎机入料口上方设置集气罩</w:t>
                  </w:r>
                </w:p>
              </w:tc>
              <w:tc>
                <w:tcPr>
                  <w:tcW w:w="1095" w:type="dxa"/>
                  <w:vMerge w:val="continue"/>
                  <w:tcBorders>
                    <w:tl2br w:val="nil"/>
                    <w:tr2bl w:val="nil"/>
                  </w:tcBorders>
                  <w:noWrap w:val="0"/>
                  <w:vAlign w:val="center"/>
                </w:tcPr>
                <w:p w14:paraId="0EC5BBB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p>
              </w:tc>
              <w:tc>
                <w:tcPr>
                  <w:tcW w:w="730" w:type="dxa"/>
                  <w:vMerge w:val="continue"/>
                  <w:tcBorders>
                    <w:tl2br w:val="nil"/>
                    <w:tr2bl w:val="nil"/>
                  </w:tcBorders>
                  <w:noWrap w:val="0"/>
                  <w:vAlign w:val="center"/>
                </w:tcPr>
                <w:p w14:paraId="45B4DA4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r>
            <w:tr w14:paraId="12675E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52DCFF8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93" w:type="dxa"/>
                  <w:gridSpan w:val="2"/>
                  <w:vMerge w:val="continue"/>
                  <w:tcBorders>
                    <w:tl2br w:val="nil"/>
                    <w:tr2bl w:val="nil"/>
                  </w:tcBorders>
                  <w:noWrap w:val="0"/>
                  <w:vAlign w:val="center"/>
                </w:tcPr>
                <w:p w14:paraId="7342AF8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990" w:type="dxa"/>
                  <w:tcBorders>
                    <w:tl2br w:val="nil"/>
                    <w:tr2bl w:val="nil"/>
                  </w:tcBorders>
                  <w:noWrap w:val="0"/>
                  <w:vAlign w:val="center"/>
                </w:tcPr>
                <w:p w14:paraId="4736064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落料</w:t>
                  </w:r>
                </w:p>
              </w:tc>
              <w:tc>
                <w:tcPr>
                  <w:tcW w:w="945" w:type="dxa"/>
                  <w:tcBorders>
                    <w:tl2br w:val="nil"/>
                    <w:tr2bl w:val="nil"/>
                  </w:tcBorders>
                  <w:noWrap w:val="0"/>
                  <w:vAlign w:val="center"/>
                </w:tcPr>
                <w:p w14:paraId="6FDC158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2610" w:type="dxa"/>
                  <w:tcBorders>
                    <w:tl2br w:val="nil"/>
                    <w:tr2bl w:val="nil"/>
                  </w:tcBorders>
                  <w:noWrap w:val="0"/>
                  <w:vAlign w:val="center"/>
                </w:tcPr>
                <w:p w14:paraId="7CD6412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物料落料处全封闭，落料点上方设置集气引风口</w:t>
                  </w:r>
                </w:p>
              </w:tc>
              <w:tc>
                <w:tcPr>
                  <w:tcW w:w="1095" w:type="dxa"/>
                  <w:vMerge w:val="continue"/>
                  <w:tcBorders>
                    <w:tl2br w:val="nil"/>
                    <w:tr2bl w:val="nil"/>
                  </w:tcBorders>
                  <w:noWrap w:val="0"/>
                  <w:vAlign w:val="center"/>
                </w:tcPr>
                <w:p w14:paraId="1C7ADC0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p>
              </w:tc>
              <w:tc>
                <w:tcPr>
                  <w:tcW w:w="730" w:type="dxa"/>
                  <w:vMerge w:val="continue"/>
                  <w:tcBorders>
                    <w:tl2br w:val="nil"/>
                    <w:tr2bl w:val="nil"/>
                  </w:tcBorders>
                  <w:noWrap w:val="0"/>
                  <w:vAlign w:val="center"/>
                </w:tcPr>
                <w:p w14:paraId="746A7EC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r>
            <w:tr w14:paraId="59F7366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369FC8C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93" w:type="dxa"/>
                  <w:gridSpan w:val="2"/>
                  <w:vMerge w:val="restart"/>
                  <w:tcBorders>
                    <w:tl2br w:val="nil"/>
                    <w:tr2bl w:val="nil"/>
                  </w:tcBorders>
                  <w:noWrap w:val="0"/>
                  <w:vAlign w:val="center"/>
                </w:tcPr>
                <w:p w14:paraId="4C91704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eastAsia="宋体" w:cs="Times New Roman"/>
                      <w:i w:val="0"/>
                      <w:iCs w:val="0"/>
                      <w:caps w:val="0"/>
                      <w:color w:val="000000" w:themeColor="text1"/>
                      <w:spacing w:val="0"/>
                      <w:sz w:val="21"/>
                      <w:szCs w:val="21"/>
                      <w:highlight w:val="none"/>
                      <w:lang w:eastAsia="zh-CN"/>
                      <w14:textFill>
                        <w14:solidFill>
                          <w14:schemeClr w14:val="tx1"/>
                        </w14:solidFill>
                      </w14:textFill>
                    </w:rPr>
                    <w:t>往复式摇筛</w:t>
                  </w:r>
                </w:p>
              </w:tc>
              <w:tc>
                <w:tcPr>
                  <w:tcW w:w="990" w:type="dxa"/>
                  <w:tcBorders>
                    <w:tl2br w:val="nil"/>
                    <w:tr2bl w:val="nil"/>
                  </w:tcBorders>
                  <w:noWrap w:val="0"/>
                  <w:vAlign w:val="center"/>
                </w:tcPr>
                <w:p w14:paraId="1513F1C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上料、筛分</w:t>
                  </w:r>
                </w:p>
              </w:tc>
              <w:tc>
                <w:tcPr>
                  <w:tcW w:w="945" w:type="dxa"/>
                  <w:tcBorders>
                    <w:tl2br w:val="nil"/>
                    <w:tr2bl w:val="nil"/>
                  </w:tcBorders>
                  <w:noWrap w:val="0"/>
                  <w:vAlign w:val="center"/>
                </w:tcPr>
                <w:p w14:paraId="3B46F53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颗粒物</w:t>
                  </w:r>
                </w:p>
              </w:tc>
              <w:tc>
                <w:tcPr>
                  <w:tcW w:w="2610" w:type="dxa"/>
                  <w:tcBorders>
                    <w:tl2br w:val="nil"/>
                    <w:tr2bl w:val="nil"/>
                  </w:tcBorders>
                  <w:noWrap w:val="0"/>
                  <w:vAlign w:val="center"/>
                </w:tcPr>
                <w:p w14:paraId="63F3D9B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本次配套建设全密闭筛分间，物料上料转运、筛分分级等产污工序均置于密闭空间内实施，在筛分间顶部开设集气引风口</w:t>
                  </w:r>
                </w:p>
              </w:tc>
              <w:tc>
                <w:tcPr>
                  <w:tcW w:w="1095" w:type="dxa"/>
                  <w:vMerge w:val="continue"/>
                  <w:tcBorders>
                    <w:tl2br w:val="nil"/>
                    <w:tr2bl w:val="nil"/>
                  </w:tcBorders>
                  <w:noWrap w:val="0"/>
                  <w:vAlign w:val="center"/>
                </w:tcPr>
                <w:p w14:paraId="63BE2C4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p>
              </w:tc>
              <w:tc>
                <w:tcPr>
                  <w:tcW w:w="730" w:type="dxa"/>
                  <w:vMerge w:val="continue"/>
                  <w:tcBorders>
                    <w:tl2br w:val="nil"/>
                    <w:tr2bl w:val="nil"/>
                  </w:tcBorders>
                  <w:noWrap w:val="0"/>
                  <w:vAlign w:val="center"/>
                </w:tcPr>
                <w:p w14:paraId="4533443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r>
            <w:tr w14:paraId="6644367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496" w:type="dxa"/>
                  <w:vMerge w:val="continue"/>
                  <w:tcBorders>
                    <w:tl2br w:val="nil"/>
                    <w:tr2bl w:val="nil"/>
                  </w:tcBorders>
                  <w:noWrap w:val="0"/>
                  <w:vAlign w:val="center"/>
                </w:tcPr>
                <w:p w14:paraId="691792B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93" w:type="dxa"/>
                  <w:gridSpan w:val="2"/>
                  <w:vMerge w:val="continue"/>
                  <w:tcBorders>
                    <w:tl2br w:val="nil"/>
                    <w:tr2bl w:val="nil"/>
                  </w:tcBorders>
                  <w:noWrap w:val="0"/>
                  <w:vAlign w:val="center"/>
                </w:tcPr>
                <w:p w14:paraId="4888E69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990" w:type="dxa"/>
                  <w:vMerge w:val="restart"/>
                  <w:tcBorders>
                    <w:tl2br w:val="nil"/>
                    <w:tr2bl w:val="nil"/>
                  </w:tcBorders>
                  <w:noWrap w:val="0"/>
                  <w:vAlign w:val="center"/>
                </w:tcPr>
                <w:p w14:paraId="1A1196D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落料</w:t>
                  </w:r>
                </w:p>
              </w:tc>
              <w:tc>
                <w:tcPr>
                  <w:tcW w:w="945" w:type="dxa"/>
                  <w:vMerge w:val="restart"/>
                  <w:tcBorders>
                    <w:tl2br w:val="nil"/>
                    <w:tr2bl w:val="nil"/>
                  </w:tcBorders>
                  <w:noWrap w:val="0"/>
                  <w:vAlign w:val="center"/>
                </w:tcPr>
                <w:p w14:paraId="3E22873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颗粒物</w:t>
                  </w:r>
                </w:p>
              </w:tc>
              <w:tc>
                <w:tcPr>
                  <w:tcW w:w="2610" w:type="dxa"/>
                  <w:tcBorders>
                    <w:tl2br w:val="nil"/>
                    <w:tr2bl w:val="nil"/>
                  </w:tcBorders>
                  <w:noWrap w:val="0"/>
                  <w:vAlign w:val="center"/>
                </w:tcPr>
                <w:p w14:paraId="6904BAF5">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left"/>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土渣直接落料至往复式摇筛出料口下方皮带输送机（此落料点位于封闭的筛分间内，通过筛分间集气措施收集落料点产生的颗粒物），通过皮带机输送至筛分间外（预处理车间内），此落料点上方设置集气罩，并设置伞状喷雾抑尘装置（设置电伴热装置），喷雾抑尘装置范围覆盖整个落料点</w:t>
                  </w:r>
                </w:p>
              </w:tc>
              <w:tc>
                <w:tcPr>
                  <w:tcW w:w="1095" w:type="dxa"/>
                  <w:vMerge w:val="continue"/>
                  <w:tcBorders>
                    <w:tl2br w:val="nil"/>
                    <w:tr2bl w:val="nil"/>
                  </w:tcBorders>
                  <w:noWrap w:val="0"/>
                  <w:vAlign w:val="center"/>
                </w:tcPr>
                <w:p w14:paraId="3F3CB74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p>
              </w:tc>
              <w:tc>
                <w:tcPr>
                  <w:tcW w:w="730" w:type="dxa"/>
                  <w:vMerge w:val="continue"/>
                  <w:tcBorders>
                    <w:tl2br w:val="nil"/>
                    <w:tr2bl w:val="nil"/>
                  </w:tcBorders>
                  <w:noWrap w:val="0"/>
                  <w:vAlign w:val="center"/>
                </w:tcPr>
                <w:p w14:paraId="4452F3E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r>
            <w:tr w14:paraId="2D2B26E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02" w:hRule="atLeast"/>
                <w:jc w:val="center"/>
              </w:trPr>
              <w:tc>
                <w:tcPr>
                  <w:tcW w:w="496" w:type="dxa"/>
                  <w:vMerge w:val="continue"/>
                  <w:tcBorders>
                    <w:tl2br w:val="nil"/>
                    <w:tr2bl w:val="nil"/>
                  </w:tcBorders>
                  <w:noWrap w:val="0"/>
                  <w:vAlign w:val="center"/>
                </w:tcPr>
                <w:p w14:paraId="6594F79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93" w:type="dxa"/>
                  <w:gridSpan w:val="2"/>
                  <w:vMerge w:val="continue"/>
                  <w:tcBorders>
                    <w:tl2br w:val="nil"/>
                    <w:tr2bl w:val="nil"/>
                  </w:tcBorders>
                  <w:noWrap w:val="0"/>
                  <w:vAlign w:val="center"/>
                </w:tcPr>
                <w:p w14:paraId="563CF9A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990" w:type="dxa"/>
                  <w:vMerge w:val="continue"/>
                  <w:tcBorders>
                    <w:tl2br w:val="nil"/>
                    <w:tr2bl w:val="nil"/>
                  </w:tcBorders>
                  <w:noWrap w:val="0"/>
                  <w:vAlign w:val="center"/>
                </w:tcPr>
                <w:p w14:paraId="6210536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945" w:type="dxa"/>
                  <w:vMerge w:val="continue"/>
                  <w:tcBorders>
                    <w:tl2br w:val="nil"/>
                    <w:tr2bl w:val="nil"/>
                  </w:tcBorders>
                  <w:noWrap w:val="0"/>
                  <w:vAlign w:val="center"/>
                </w:tcPr>
                <w:p w14:paraId="2EDB750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2610" w:type="dxa"/>
                  <w:tcBorders>
                    <w:tl2br w:val="nil"/>
                    <w:tr2bl w:val="nil"/>
                  </w:tcBorders>
                  <w:noWrap w:val="0"/>
                  <w:vAlign w:val="center"/>
                </w:tcPr>
                <w:p w14:paraId="09D04201">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合格矿石原料落料至筛分间外（预处理车间内），落料点上方设置集气罩，并设置伞状喷雾抑尘装置（设置电伴热装置），喷雾抑尘装置范围覆盖整个落料点</w:t>
                  </w:r>
                </w:p>
              </w:tc>
              <w:tc>
                <w:tcPr>
                  <w:tcW w:w="1095" w:type="dxa"/>
                  <w:vMerge w:val="continue"/>
                  <w:tcBorders>
                    <w:tl2br w:val="nil"/>
                    <w:tr2bl w:val="nil"/>
                  </w:tcBorders>
                  <w:noWrap w:val="0"/>
                  <w:vAlign w:val="center"/>
                </w:tcPr>
                <w:p w14:paraId="39F4775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730" w:type="dxa"/>
                  <w:vMerge w:val="continue"/>
                  <w:tcBorders>
                    <w:tl2br w:val="nil"/>
                    <w:tr2bl w:val="nil"/>
                  </w:tcBorders>
                  <w:noWrap w:val="0"/>
                  <w:vAlign w:val="center"/>
                </w:tcPr>
                <w:p w14:paraId="065B1DC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r>
            <w:tr w14:paraId="0D9F278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348" w:hRule="atLeast"/>
                <w:jc w:val="center"/>
              </w:trPr>
              <w:tc>
                <w:tcPr>
                  <w:tcW w:w="496" w:type="dxa"/>
                  <w:vMerge w:val="continue"/>
                  <w:tcBorders>
                    <w:tl2br w:val="nil"/>
                    <w:tr2bl w:val="nil"/>
                  </w:tcBorders>
                  <w:noWrap w:val="0"/>
                  <w:vAlign w:val="center"/>
                </w:tcPr>
                <w:p w14:paraId="0F7DDF3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1783" w:type="dxa"/>
                  <w:gridSpan w:val="3"/>
                  <w:tcBorders>
                    <w:tl2br w:val="nil"/>
                    <w:tr2bl w:val="nil"/>
                  </w:tcBorders>
                  <w:shd w:val="clear" w:color="auto" w:fill="auto"/>
                  <w:noWrap w:val="0"/>
                  <w:vAlign w:val="center"/>
                </w:tcPr>
                <w:p w14:paraId="19C6EBD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不合格矿石原料装卸、堆存过程</w:t>
                  </w:r>
                </w:p>
              </w:tc>
              <w:tc>
                <w:tcPr>
                  <w:tcW w:w="945" w:type="dxa"/>
                  <w:tcBorders>
                    <w:tl2br w:val="nil"/>
                    <w:tr2bl w:val="nil"/>
                  </w:tcBorders>
                  <w:shd w:val="clear" w:color="auto" w:fill="auto"/>
                  <w:noWrap w:val="0"/>
                  <w:vAlign w:val="center"/>
                </w:tcPr>
                <w:p w14:paraId="19C0CBD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705" w:type="dxa"/>
                  <w:gridSpan w:val="2"/>
                  <w:vMerge w:val="restart"/>
                  <w:tcBorders>
                    <w:tl2br w:val="nil"/>
                    <w:tr2bl w:val="nil"/>
                  </w:tcBorders>
                  <w:shd w:val="clear" w:color="auto" w:fill="auto"/>
                  <w:noWrap w:val="0"/>
                  <w:vAlign w:val="center"/>
                </w:tcPr>
                <w:p w14:paraId="5E45945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⑴</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装卸过程在封闭的</w:t>
                  </w: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预处理</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车间内进行，</w:t>
                  </w: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预处理车间设置</w:t>
                  </w:r>
                  <w:r>
                    <w:rPr>
                      <w:rFonts w:hint="eastAsia" w:cs="Times New Roman"/>
                      <w:color w:val="000000" w:themeColor="text1"/>
                      <w:kern w:val="0"/>
                      <w:sz w:val="21"/>
                      <w:szCs w:val="21"/>
                      <w:highlight w:val="none"/>
                      <w:lang w:val="en-US" w:eastAsia="zh-CN"/>
                      <w14:textFill>
                        <w14:solidFill>
                          <w14:schemeClr w14:val="tx1"/>
                        </w14:solidFill>
                      </w14:textFill>
                    </w:rPr>
                    <w:t>6台雾炮</w:t>
                  </w: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，保证不合格矿石原料、合格矿石原料、土渣装卸区域全部覆盖</w:t>
                  </w:r>
                  <w:r>
                    <w:rPr>
                      <w:rFonts w:hint="eastAsia" w:ascii="Times New Roman" w:hAnsi="Times New Roman" w:eastAsia="宋体" w:cs="Times New Roman"/>
                      <w:b w:val="0"/>
                      <w:bCs w:val="0"/>
                      <w:snapToGrid w:val="0"/>
                      <w:color w:val="000000" w:themeColor="text1"/>
                      <w:kern w:val="0"/>
                      <w:sz w:val="21"/>
                      <w:szCs w:val="21"/>
                      <w:highlight w:val="none"/>
                      <w:lang w:val="en-US" w:eastAsia="zh-CN"/>
                      <w14:textFill>
                        <w14:solidFill>
                          <w14:schemeClr w14:val="tx1"/>
                        </w14:solidFill>
                      </w14:textFill>
                    </w:rPr>
                    <w:t>，可有效降低原料区扬尘污染</w:t>
                  </w:r>
                  <w:r>
                    <w:rPr>
                      <w:rFonts w:hint="eastAsia" w:ascii="Times New Roman" w:hAnsi="Times New Roman" w:cs="Times New Roman"/>
                      <w:b w:val="0"/>
                      <w:bCs w:val="0"/>
                      <w:snapToGrid w:val="0"/>
                      <w:color w:val="000000" w:themeColor="text1"/>
                      <w:kern w:val="0"/>
                      <w:sz w:val="21"/>
                      <w:szCs w:val="21"/>
                      <w:highlight w:val="none"/>
                      <w:lang w:val="en-US" w:eastAsia="zh-CN"/>
                      <w14:textFill>
                        <w14:solidFill>
                          <w14:schemeClr w14:val="tx1"/>
                        </w14:solidFill>
                      </w14:textFill>
                    </w:rPr>
                    <w:t>；</w:t>
                  </w:r>
                </w:p>
                <w:p w14:paraId="527CE5E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⑵</w:t>
                  </w:r>
                  <w:r>
                    <w:rPr>
                      <w:rFonts w:hint="eastAsia" w:cs="Times New Roman"/>
                      <w:color w:val="000000" w:themeColor="text1"/>
                      <w:kern w:val="0"/>
                      <w:sz w:val="21"/>
                      <w:szCs w:val="21"/>
                      <w:highlight w:val="none"/>
                      <w:lang w:val="en-US" w:eastAsia="zh-CN"/>
                      <w14:textFill>
                        <w14:solidFill>
                          <w14:schemeClr w14:val="tx1"/>
                        </w14:solidFill>
                      </w14:textFill>
                    </w:rPr>
                    <w:t>不合格矿石原料上料仓设置伞状喷雾抑尘装置</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，喷雾抑尘装置范围应覆盖整个落料点（电伴热）；</w:t>
                  </w:r>
                  <w:r>
                    <w:rPr>
                      <w:rFonts w:hint="eastAsia" w:cs="Times New Roman"/>
                      <w:color w:val="000000" w:themeColor="text1"/>
                      <w:kern w:val="0"/>
                      <w:sz w:val="21"/>
                      <w:szCs w:val="21"/>
                      <w:highlight w:val="none"/>
                      <w:lang w:val="en-US" w:eastAsia="zh-CN"/>
                      <w14:textFill>
                        <w14:solidFill>
                          <w14:schemeClr w14:val="tx1"/>
                        </w14:solidFill>
                      </w14:textFill>
                    </w:rPr>
                    <w:t>往复式摇筛</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落料</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点（2处）分别设置伞状喷雾抑尘装置（设置电伴热装置），喷雾抑尘装置范围应覆盖整个落料点；</w:t>
                  </w:r>
                </w:p>
                <w:p w14:paraId="292287F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⑶</w:t>
                  </w:r>
                  <w:r>
                    <w:rPr>
                      <w:rFonts w:ascii="宋体" w:hAnsi="宋体" w:eastAsia="宋体" w:cs="宋体"/>
                      <w:color w:val="000000" w:themeColor="text1"/>
                      <w:sz w:val="21"/>
                      <w:szCs w:val="21"/>
                      <w:highlight w:val="none"/>
                      <w14:textFill>
                        <w14:solidFill>
                          <w14:schemeClr w14:val="tx1"/>
                        </w14:solidFill>
                      </w14:textFill>
                    </w:rPr>
                    <w:t>预处理车间与现有工程原料库直接相连，不另行单独设置出入口，人员及物料进出均依托现有工程原料库出入口。原料库已配备自动感应门，物料输送系统采用全封闭</w:t>
                  </w:r>
                  <w:r>
                    <w:rPr>
                      <w:rFonts w:hint="eastAsia" w:ascii="宋体" w:hAnsi="宋体" w:cs="宋体"/>
                      <w:color w:val="000000" w:themeColor="text1"/>
                      <w:sz w:val="21"/>
                      <w:szCs w:val="21"/>
                      <w:highlight w:val="none"/>
                      <w:lang w:eastAsia="zh-CN"/>
                      <w14:textFill>
                        <w14:solidFill>
                          <w14:schemeClr w14:val="tx1"/>
                        </w14:solidFill>
                      </w14:textFill>
                    </w:rPr>
                    <w:t>设计，可有</w:t>
                  </w:r>
                  <w:r>
                    <w:rPr>
                      <w:rFonts w:ascii="宋体" w:hAnsi="宋体" w:eastAsia="宋体" w:cs="宋体"/>
                      <w:color w:val="000000" w:themeColor="text1"/>
                      <w:sz w:val="21"/>
                      <w:szCs w:val="21"/>
                      <w:highlight w:val="none"/>
                      <w14:textFill>
                        <w14:solidFill>
                          <w14:schemeClr w14:val="tx1"/>
                        </w14:solidFill>
                      </w14:textFill>
                    </w:rPr>
                    <w:t>效控制无组织排放</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p w14:paraId="547B318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⑷</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车间及厂区道路地面全部硬化，</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未硬化的区域应采取绿化措施；</w:t>
                  </w:r>
                </w:p>
                <w:p w14:paraId="3C566EB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⑸</w:t>
                  </w:r>
                  <w:r>
                    <w:rPr>
                      <w:rFonts w:hint="eastAsia" w:cs="Times New Roman"/>
                      <w:color w:val="000000" w:themeColor="text1"/>
                      <w:kern w:val="0"/>
                      <w:sz w:val="21"/>
                      <w:szCs w:val="21"/>
                      <w:highlight w:val="none"/>
                      <w:lang w:val="en-US" w:eastAsia="zh-CN"/>
                      <w14:textFill>
                        <w14:solidFill>
                          <w14:schemeClr w14:val="tx1"/>
                        </w14:solidFill>
                      </w14:textFill>
                    </w:rPr>
                    <w:t>运输车辆车斗采用苫布苫盖；</w:t>
                  </w:r>
                </w:p>
                <w:p w14:paraId="2537D56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⑹</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现有工程已设置车辆洗车平台，并配套建设沉淀池、清水池等废水处理设施。本项目</w:t>
                  </w:r>
                  <w:r>
                    <w:rPr>
                      <w:rFonts w:hint="eastAsia" w:cs="Times New Roman"/>
                      <w:color w:val="000000" w:themeColor="text1"/>
                      <w:kern w:val="0"/>
                      <w:sz w:val="21"/>
                      <w:szCs w:val="21"/>
                      <w:highlight w:val="none"/>
                      <w:lang w:val="en-US" w:eastAsia="zh-CN"/>
                      <w14:textFill>
                        <w14:solidFill>
                          <w14:schemeClr w14:val="tx1"/>
                        </w14:solidFill>
                      </w14:textFill>
                    </w:rPr>
                    <w:t>新增运输车辆</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清洗作业依托现有洗车平台统一实施</w:t>
                  </w:r>
                </w:p>
              </w:tc>
              <w:tc>
                <w:tcPr>
                  <w:tcW w:w="730" w:type="dxa"/>
                  <w:vMerge w:val="restart"/>
                  <w:tcBorders>
                    <w:tl2br w:val="nil"/>
                    <w:tr2bl w:val="nil"/>
                  </w:tcBorders>
                  <w:noWrap w:val="0"/>
                  <w:vAlign w:val="center"/>
                </w:tcPr>
                <w:p w14:paraId="6359F1E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间断</w:t>
                  </w:r>
                </w:p>
              </w:tc>
            </w:tr>
            <w:tr w14:paraId="3AF109C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348" w:hRule="atLeast"/>
                <w:jc w:val="center"/>
              </w:trPr>
              <w:tc>
                <w:tcPr>
                  <w:tcW w:w="496" w:type="dxa"/>
                  <w:vMerge w:val="continue"/>
                  <w:tcBorders>
                    <w:tl2br w:val="nil"/>
                    <w:tr2bl w:val="nil"/>
                  </w:tcBorders>
                  <w:noWrap w:val="0"/>
                  <w:vAlign w:val="center"/>
                </w:tcPr>
                <w:p w14:paraId="2FD9CF5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1783" w:type="dxa"/>
                  <w:gridSpan w:val="3"/>
                  <w:tcBorders>
                    <w:tl2br w:val="nil"/>
                    <w:tr2bl w:val="nil"/>
                  </w:tcBorders>
                  <w:noWrap w:val="0"/>
                  <w:vAlign w:val="center"/>
                </w:tcPr>
                <w:p w14:paraId="0889F4A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合格矿石原料、装卸、堆存过程</w:t>
                  </w:r>
                </w:p>
              </w:tc>
              <w:tc>
                <w:tcPr>
                  <w:tcW w:w="945" w:type="dxa"/>
                  <w:tcBorders>
                    <w:tl2br w:val="nil"/>
                    <w:tr2bl w:val="nil"/>
                  </w:tcBorders>
                  <w:noWrap w:val="0"/>
                  <w:vAlign w:val="center"/>
                </w:tcPr>
                <w:p w14:paraId="199FFC8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705" w:type="dxa"/>
                  <w:gridSpan w:val="2"/>
                  <w:vMerge w:val="continue"/>
                  <w:tcBorders>
                    <w:tl2br w:val="nil"/>
                    <w:tr2bl w:val="nil"/>
                  </w:tcBorders>
                  <w:noWrap w:val="0"/>
                  <w:vAlign w:val="center"/>
                </w:tcPr>
                <w:p w14:paraId="0DC2190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p>
              </w:tc>
              <w:tc>
                <w:tcPr>
                  <w:tcW w:w="730" w:type="dxa"/>
                  <w:vMerge w:val="continue"/>
                  <w:tcBorders>
                    <w:tl2br w:val="nil"/>
                    <w:tr2bl w:val="nil"/>
                  </w:tcBorders>
                  <w:noWrap w:val="0"/>
                  <w:vAlign w:val="center"/>
                </w:tcPr>
                <w:p w14:paraId="031E5EF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p>
              </w:tc>
            </w:tr>
            <w:tr w14:paraId="7A3A4F2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983" w:hRule="atLeast"/>
                <w:jc w:val="center"/>
              </w:trPr>
              <w:tc>
                <w:tcPr>
                  <w:tcW w:w="496" w:type="dxa"/>
                  <w:vMerge w:val="continue"/>
                  <w:tcBorders>
                    <w:tl2br w:val="nil"/>
                    <w:tr2bl w:val="nil"/>
                  </w:tcBorders>
                  <w:noWrap w:val="0"/>
                  <w:vAlign w:val="center"/>
                </w:tcPr>
                <w:p w14:paraId="1BA78FB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1783" w:type="dxa"/>
                  <w:gridSpan w:val="3"/>
                  <w:tcBorders>
                    <w:tl2br w:val="nil"/>
                    <w:tr2bl w:val="nil"/>
                  </w:tcBorders>
                  <w:noWrap w:val="0"/>
                  <w:vAlign w:val="center"/>
                </w:tcPr>
                <w:p w14:paraId="3ADFA5D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土渣装卸、堆存过程</w:t>
                  </w:r>
                </w:p>
              </w:tc>
              <w:tc>
                <w:tcPr>
                  <w:tcW w:w="945" w:type="dxa"/>
                  <w:tcBorders>
                    <w:tl2br w:val="nil"/>
                    <w:tr2bl w:val="nil"/>
                  </w:tcBorders>
                  <w:noWrap w:val="0"/>
                  <w:vAlign w:val="center"/>
                </w:tcPr>
                <w:p w14:paraId="0BF9C78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705" w:type="dxa"/>
                  <w:gridSpan w:val="2"/>
                  <w:vMerge w:val="continue"/>
                  <w:tcBorders>
                    <w:tl2br w:val="nil"/>
                    <w:tr2bl w:val="nil"/>
                  </w:tcBorders>
                  <w:noWrap w:val="0"/>
                  <w:vAlign w:val="center"/>
                </w:tcPr>
                <w:p w14:paraId="55534FD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p>
              </w:tc>
              <w:tc>
                <w:tcPr>
                  <w:tcW w:w="730" w:type="dxa"/>
                  <w:vMerge w:val="continue"/>
                  <w:tcBorders>
                    <w:tl2br w:val="nil"/>
                    <w:tr2bl w:val="nil"/>
                  </w:tcBorders>
                  <w:noWrap w:val="0"/>
                  <w:vAlign w:val="center"/>
                </w:tcPr>
                <w:p w14:paraId="2625ECD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000000" w:themeColor="text1"/>
                      <w:sz w:val="21"/>
                      <w:szCs w:val="21"/>
                      <w:highlight w:val="none"/>
                      <w:lang w:eastAsia="zh-CN"/>
                      <w14:textFill>
                        <w14:solidFill>
                          <w14:schemeClr w14:val="tx1"/>
                        </w14:solidFill>
                      </w14:textFill>
                    </w:rPr>
                  </w:pPr>
                </w:p>
              </w:tc>
            </w:tr>
            <w:tr w14:paraId="024DCCE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1" w:hRule="atLeast"/>
                <w:jc w:val="center"/>
              </w:trPr>
              <w:tc>
                <w:tcPr>
                  <w:tcW w:w="496" w:type="dxa"/>
                  <w:tcBorders>
                    <w:tl2br w:val="nil"/>
                    <w:tr2bl w:val="nil"/>
                  </w:tcBorders>
                  <w:noWrap w:val="0"/>
                  <w:vAlign w:val="center"/>
                </w:tcPr>
                <w:p w14:paraId="79E3035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噪声</w:t>
                  </w:r>
                </w:p>
              </w:tc>
              <w:tc>
                <w:tcPr>
                  <w:tcW w:w="1783" w:type="dxa"/>
                  <w:gridSpan w:val="3"/>
                  <w:tcBorders>
                    <w:tl2br w:val="nil"/>
                    <w:tr2bl w:val="nil"/>
                  </w:tcBorders>
                  <w:noWrap w:val="0"/>
                  <w:vAlign w:val="center"/>
                </w:tcPr>
                <w:p w14:paraId="404FB61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产噪设备</w:t>
                  </w:r>
                </w:p>
              </w:tc>
              <w:tc>
                <w:tcPr>
                  <w:tcW w:w="945" w:type="dxa"/>
                  <w:tcBorders>
                    <w:tl2br w:val="nil"/>
                    <w:tr2bl w:val="nil"/>
                  </w:tcBorders>
                  <w:noWrap w:val="0"/>
                  <w:vAlign w:val="center"/>
                </w:tcPr>
                <w:p w14:paraId="5B51D9F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噪声</w:t>
                  </w:r>
                </w:p>
              </w:tc>
              <w:tc>
                <w:tcPr>
                  <w:tcW w:w="3705" w:type="dxa"/>
                  <w:gridSpan w:val="2"/>
                  <w:tcBorders>
                    <w:tl2br w:val="nil"/>
                    <w:tr2bl w:val="nil"/>
                  </w:tcBorders>
                  <w:noWrap w:val="0"/>
                  <w:vAlign w:val="center"/>
                </w:tcPr>
                <w:p w14:paraId="63E2341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选用低噪设备，基础减振、厂房隔声</w:t>
                  </w:r>
                </w:p>
              </w:tc>
              <w:tc>
                <w:tcPr>
                  <w:tcW w:w="730" w:type="dxa"/>
                  <w:tcBorders>
                    <w:tl2br w:val="nil"/>
                    <w:tr2bl w:val="nil"/>
                  </w:tcBorders>
                  <w:noWrap w:val="0"/>
                  <w:vAlign w:val="center"/>
                </w:tcPr>
                <w:p w14:paraId="57BB42A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连续</w:t>
                  </w:r>
                </w:p>
              </w:tc>
            </w:tr>
            <w:tr w14:paraId="71E7716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1" w:hRule="atLeast"/>
                <w:jc w:val="center"/>
              </w:trPr>
              <w:tc>
                <w:tcPr>
                  <w:tcW w:w="496" w:type="dxa"/>
                  <w:vMerge w:val="restart"/>
                  <w:tcBorders>
                    <w:tl2br w:val="nil"/>
                    <w:tr2bl w:val="nil"/>
                  </w:tcBorders>
                  <w:noWrap w:val="0"/>
                  <w:vAlign w:val="center"/>
                </w:tcPr>
                <w:p w14:paraId="197FB0A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废水</w:t>
                  </w:r>
                </w:p>
              </w:tc>
              <w:tc>
                <w:tcPr>
                  <w:tcW w:w="1783" w:type="dxa"/>
                  <w:gridSpan w:val="3"/>
                  <w:tcBorders>
                    <w:tl2br w:val="nil"/>
                    <w:tr2bl w:val="nil"/>
                  </w:tcBorders>
                  <w:noWrap w:val="0"/>
                  <w:vAlign w:val="center"/>
                </w:tcPr>
                <w:p w14:paraId="22F306D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生活废水</w:t>
                  </w:r>
                </w:p>
              </w:tc>
              <w:tc>
                <w:tcPr>
                  <w:tcW w:w="945" w:type="dxa"/>
                  <w:tcBorders>
                    <w:tl2br w:val="nil"/>
                    <w:tr2bl w:val="nil"/>
                  </w:tcBorders>
                  <w:noWrap w:val="0"/>
                  <w:vAlign w:val="center"/>
                </w:tcPr>
                <w:p w14:paraId="2E92310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COD、SS</w:t>
                  </w:r>
                </w:p>
              </w:tc>
              <w:tc>
                <w:tcPr>
                  <w:tcW w:w="3705" w:type="dxa"/>
                  <w:gridSpan w:val="2"/>
                  <w:tcBorders>
                    <w:tl2br w:val="nil"/>
                    <w:tr2bl w:val="nil"/>
                  </w:tcBorders>
                  <w:noWrap w:val="0"/>
                  <w:vAlign w:val="center"/>
                </w:tcPr>
                <w:p w14:paraId="3B751A3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水质简单，泼洒抑尘，不外排</w:t>
                  </w:r>
                </w:p>
              </w:tc>
              <w:tc>
                <w:tcPr>
                  <w:tcW w:w="730" w:type="dxa"/>
                  <w:tcBorders>
                    <w:tl2br w:val="nil"/>
                    <w:tr2bl w:val="nil"/>
                  </w:tcBorders>
                  <w:noWrap w:val="0"/>
                  <w:vAlign w:val="center"/>
                </w:tcPr>
                <w:p w14:paraId="017CD3D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间断</w:t>
                  </w:r>
                </w:p>
              </w:tc>
            </w:tr>
            <w:tr w14:paraId="02B699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1" w:hRule="atLeast"/>
                <w:jc w:val="center"/>
              </w:trPr>
              <w:tc>
                <w:tcPr>
                  <w:tcW w:w="496" w:type="dxa"/>
                  <w:vMerge w:val="continue"/>
                  <w:tcBorders>
                    <w:tl2br w:val="nil"/>
                    <w:tr2bl w:val="nil"/>
                  </w:tcBorders>
                  <w:noWrap w:val="0"/>
                  <w:vAlign w:val="center"/>
                </w:tcPr>
                <w:p w14:paraId="0A730A2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c>
                <w:tcPr>
                  <w:tcW w:w="1783" w:type="dxa"/>
                  <w:gridSpan w:val="3"/>
                  <w:tcBorders>
                    <w:tl2br w:val="nil"/>
                    <w:tr2bl w:val="nil"/>
                  </w:tcBorders>
                  <w:noWrap w:val="0"/>
                  <w:vAlign w:val="center"/>
                </w:tcPr>
                <w:p w14:paraId="29F4E57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洗车废水</w:t>
                  </w:r>
                </w:p>
              </w:tc>
              <w:tc>
                <w:tcPr>
                  <w:tcW w:w="945" w:type="dxa"/>
                  <w:tcBorders>
                    <w:tl2br w:val="nil"/>
                    <w:tr2bl w:val="nil"/>
                  </w:tcBorders>
                  <w:noWrap w:val="0"/>
                  <w:vAlign w:val="center"/>
                </w:tcPr>
                <w:p w14:paraId="13F8AC6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COD、SS</w:t>
                  </w:r>
                </w:p>
              </w:tc>
              <w:tc>
                <w:tcPr>
                  <w:tcW w:w="3705" w:type="dxa"/>
                  <w:gridSpan w:val="2"/>
                  <w:tcBorders>
                    <w:tl2br w:val="nil"/>
                    <w:tr2bl w:val="nil"/>
                  </w:tcBorders>
                  <w:noWrap w:val="0"/>
                  <w:vAlign w:val="center"/>
                </w:tcPr>
                <w:p w14:paraId="594C1DC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依托现有洗车平台沉淀池、清水池</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循环利用，不外排</w:t>
                  </w:r>
                </w:p>
              </w:tc>
              <w:tc>
                <w:tcPr>
                  <w:tcW w:w="730" w:type="dxa"/>
                  <w:tcBorders>
                    <w:tl2br w:val="nil"/>
                    <w:tr2bl w:val="nil"/>
                  </w:tcBorders>
                  <w:noWrap w:val="0"/>
                  <w:vAlign w:val="center"/>
                </w:tcPr>
                <w:p w14:paraId="6160D06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间断</w:t>
                  </w:r>
                </w:p>
              </w:tc>
            </w:tr>
            <w:tr w14:paraId="79E10B6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05" w:hRule="atLeast"/>
                <w:jc w:val="center"/>
              </w:trPr>
              <w:tc>
                <w:tcPr>
                  <w:tcW w:w="496" w:type="dxa"/>
                  <w:vMerge w:val="restart"/>
                  <w:tcBorders>
                    <w:tl2br w:val="nil"/>
                    <w:tr2bl w:val="nil"/>
                  </w:tcBorders>
                  <w:noWrap w:val="0"/>
                  <w:vAlign w:val="center"/>
                </w:tcPr>
                <w:p w14:paraId="26B27F43">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default"/>
                      <w:color w:val="000000" w:themeColor="text1"/>
                      <w:sz w:val="21"/>
                      <w:szCs w:val="21"/>
                      <w:highlight w:val="none"/>
                      <w14:textFill>
                        <w14:solidFill>
                          <w14:schemeClr w14:val="tx1"/>
                        </w14:solidFill>
                      </w14:textFill>
                    </w:rPr>
                    <w:t>固废</w:t>
                  </w:r>
                </w:p>
              </w:tc>
              <w:tc>
                <w:tcPr>
                  <w:tcW w:w="709" w:type="dxa"/>
                  <w:vMerge w:val="restart"/>
                  <w:tcBorders>
                    <w:tl2br w:val="nil"/>
                    <w:tr2bl w:val="nil"/>
                  </w:tcBorders>
                  <w:noWrap w:val="0"/>
                  <w:vAlign w:val="center"/>
                </w:tcPr>
                <w:p w14:paraId="4807A7F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一般固体废物</w:t>
                  </w:r>
                </w:p>
              </w:tc>
              <w:tc>
                <w:tcPr>
                  <w:tcW w:w="1074" w:type="dxa"/>
                  <w:gridSpan w:val="2"/>
                  <w:vMerge w:val="restart"/>
                  <w:tcBorders>
                    <w:tl2br w:val="nil"/>
                    <w:tr2bl w:val="nil"/>
                  </w:tcBorders>
                  <w:noWrap w:val="0"/>
                  <w:vAlign w:val="center"/>
                </w:tcPr>
                <w:p w14:paraId="75FBDEC3">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布袋除尘器</w:t>
                  </w:r>
                </w:p>
              </w:tc>
              <w:tc>
                <w:tcPr>
                  <w:tcW w:w="945" w:type="dxa"/>
                  <w:tcBorders>
                    <w:tl2br w:val="nil"/>
                    <w:tr2bl w:val="nil"/>
                  </w:tcBorders>
                  <w:noWrap w:val="0"/>
                  <w:vAlign w:val="center"/>
                </w:tcPr>
                <w:p w14:paraId="02147F9A">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废布袋</w:t>
                  </w:r>
                </w:p>
              </w:tc>
              <w:tc>
                <w:tcPr>
                  <w:tcW w:w="3705" w:type="dxa"/>
                  <w:gridSpan w:val="2"/>
                  <w:tcBorders>
                    <w:tl2br w:val="nil"/>
                    <w:tr2bl w:val="nil"/>
                  </w:tcBorders>
                  <w:noWrap w:val="0"/>
                  <w:vAlign w:val="center"/>
                </w:tcPr>
                <w:p w14:paraId="491DC2B6">
                  <w:pPr>
                    <w:shd w:val="clear"/>
                    <w:spacing w:line="0" w:lineRule="atLeast"/>
                    <w:ind w:left="0" w:leftChars="0" w:right="0" w:rightChars="0" w:firstLine="0" w:firstLineChars="0"/>
                    <w:jc w:val="left"/>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更换后，直接外售废品回收站</w:t>
                  </w:r>
                </w:p>
              </w:tc>
              <w:tc>
                <w:tcPr>
                  <w:tcW w:w="730" w:type="dxa"/>
                  <w:vMerge w:val="restart"/>
                  <w:tcBorders>
                    <w:tl2br w:val="nil"/>
                    <w:tr2bl w:val="nil"/>
                  </w:tcBorders>
                  <w:noWrap w:val="0"/>
                  <w:vAlign w:val="center"/>
                </w:tcPr>
                <w:p w14:paraId="68C9C485">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bookmarkStart w:id="3" w:name="OLE_LINK2"/>
                  <w:r>
                    <w:rPr>
                      <w:rFonts w:hint="eastAsia"/>
                      <w:color w:val="000000" w:themeColor="text1"/>
                      <w:sz w:val="21"/>
                      <w:szCs w:val="21"/>
                      <w:highlight w:val="none"/>
                      <w:lang w:val="en-US" w:eastAsia="zh-CN"/>
                      <w14:textFill>
                        <w14:solidFill>
                          <w14:schemeClr w14:val="tx1"/>
                        </w14:solidFill>
                      </w14:textFill>
                    </w:rPr>
                    <w:t>间断</w:t>
                  </w:r>
                  <w:bookmarkEnd w:id="3"/>
                </w:p>
              </w:tc>
            </w:tr>
            <w:tr w14:paraId="0E68380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48309B85">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09" w:type="dxa"/>
                  <w:vMerge w:val="continue"/>
                  <w:tcBorders>
                    <w:tl2br w:val="nil"/>
                    <w:tr2bl w:val="nil"/>
                  </w:tcBorders>
                  <w:noWrap w:val="0"/>
                  <w:vAlign w:val="center"/>
                </w:tcPr>
                <w:p w14:paraId="6476034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c>
                <w:tcPr>
                  <w:tcW w:w="1074" w:type="dxa"/>
                  <w:gridSpan w:val="2"/>
                  <w:vMerge w:val="continue"/>
                  <w:tcBorders>
                    <w:tl2br w:val="nil"/>
                    <w:tr2bl w:val="nil"/>
                  </w:tcBorders>
                  <w:noWrap w:val="0"/>
                  <w:vAlign w:val="center"/>
                </w:tcPr>
                <w:p w14:paraId="1E3B7905">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eastAsia"/>
                      <w:color w:val="000000" w:themeColor="text1"/>
                      <w:sz w:val="21"/>
                      <w:szCs w:val="21"/>
                      <w:highlight w:val="none"/>
                      <w:lang w:val="en-US" w:eastAsia="zh-CN"/>
                      <w14:textFill>
                        <w14:solidFill>
                          <w14:schemeClr w14:val="tx1"/>
                        </w14:solidFill>
                      </w14:textFill>
                    </w:rPr>
                  </w:pPr>
                </w:p>
              </w:tc>
              <w:tc>
                <w:tcPr>
                  <w:tcW w:w="945" w:type="dxa"/>
                  <w:tcBorders>
                    <w:tl2br w:val="nil"/>
                    <w:tr2bl w:val="nil"/>
                  </w:tcBorders>
                  <w:noWrap w:val="0"/>
                  <w:vAlign w:val="center"/>
                </w:tcPr>
                <w:p w14:paraId="067D69FC">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eastAsia" w:eastAsia="宋体"/>
                      <w:b w:val="0"/>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除尘灰</w:t>
                  </w:r>
                </w:p>
              </w:tc>
              <w:tc>
                <w:tcPr>
                  <w:tcW w:w="3705" w:type="dxa"/>
                  <w:gridSpan w:val="2"/>
                  <w:tcBorders>
                    <w:tl2br w:val="nil"/>
                    <w:tr2bl w:val="nil"/>
                  </w:tcBorders>
                  <w:noWrap w:val="0"/>
                  <w:vAlign w:val="center"/>
                </w:tcPr>
                <w:p w14:paraId="078B1A21">
                  <w:pPr>
                    <w:shd w:val="clear"/>
                    <w:spacing w:line="0" w:lineRule="atLeast"/>
                    <w:ind w:left="0" w:leftChars="0" w:right="0" w:rightChars="0" w:firstLine="0" w:firstLineChars="0"/>
                    <w:jc w:val="left"/>
                    <w:rPr>
                      <w:rFonts w:hint="default"/>
                      <w:color w:val="000000" w:themeColor="text1"/>
                      <w:sz w:val="21"/>
                      <w:szCs w:val="21"/>
                      <w:highlight w:val="none"/>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集中</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收集</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eastAsia="zh-CN"/>
                      <w14:textFill>
                        <w14:solidFill>
                          <w14:schemeClr w14:val="tx1"/>
                        </w14:solidFill>
                      </w14:textFill>
                    </w:rPr>
                    <w:t>暂存于一般固废暂存间，定期外售水泥厂</w:t>
                  </w:r>
                </w:p>
              </w:tc>
              <w:tc>
                <w:tcPr>
                  <w:tcW w:w="730" w:type="dxa"/>
                  <w:vMerge w:val="continue"/>
                  <w:tcBorders>
                    <w:tl2br w:val="nil"/>
                    <w:tr2bl w:val="nil"/>
                  </w:tcBorders>
                  <w:noWrap w:val="0"/>
                  <w:vAlign w:val="center"/>
                </w:tcPr>
                <w:p w14:paraId="3F4CC2F3">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r>
            <w:tr w14:paraId="19A891A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0E9A0BBD">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09" w:type="dxa"/>
                  <w:vMerge w:val="continue"/>
                  <w:tcBorders>
                    <w:tl2br w:val="nil"/>
                    <w:tr2bl w:val="nil"/>
                  </w:tcBorders>
                  <w:noWrap w:val="0"/>
                  <w:vAlign w:val="center"/>
                </w:tcPr>
                <w:p w14:paraId="55B8119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c>
                <w:tcPr>
                  <w:tcW w:w="1074" w:type="dxa"/>
                  <w:gridSpan w:val="2"/>
                  <w:tcBorders>
                    <w:tl2br w:val="nil"/>
                    <w:tr2bl w:val="nil"/>
                  </w:tcBorders>
                  <w:noWrap w:val="0"/>
                  <w:vAlign w:val="center"/>
                </w:tcPr>
                <w:p w14:paraId="728EBEAA">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洗车平台</w:t>
                  </w:r>
                </w:p>
              </w:tc>
              <w:tc>
                <w:tcPr>
                  <w:tcW w:w="945" w:type="dxa"/>
                  <w:tcBorders>
                    <w:tl2br w:val="nil"/>
                    <w:tr2bl w:val="nil"/>
                  </w:tcBorders>
                  <w:noWrap w:val="0"/>
                  <w:vAlign w:val="center"/>
                </w:tcPr>
                <w:p w14:paraId="12BCA75E">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b w:val="0"/>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污泥</w:t>
                  </w:r>
                </w:p>
              </w:tc>
              <w:tc>
                <w:tcPr>
                  <w:tcW w:w="3705" w:type="dxa"/>
                  <w:gridSpan w:val="2"/>
                  <w:tcBorders>
                    <w:tl2br w:val="nil"/>
                    <w:tr2bl w:val="nil"/>
                  </w:tcBorders>
                  <w:noWrap w:val="0"/>
                  <w:vAlign w:val="center"/>
                </w:tcPr>
                <w:p w14:paraId="20F2AF93">
                  <w:pPr>
                    <w:keepNext w:val="0"/>
                    <w:keepLines w:val="0"/>
                    <w:pageBreakBefore w:val="0"/>
                    <w:widowControl w:val="0"/>
                    <w:suppressLineNumbers w:val="0"/>
                    <w:shd w:val="clear"/>
                    <w:kinsoku/>
                    <w:wordWrap/>
                    <w:overflowPunct/>
                    <w:topLinePunct w:val="0"/>
                    <w:autoSpaceDE/>
                    <w:autoSpaceDN/>
                    <w:bidi w:val="0"/>
                    <w:adjustRightInd/>
                    <w:spacing w:before="0" w:beforeAutospacing="0" w:after="0" w:afterAutospacing="0" w:line="240" w:lineRule="auto"/>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定期清理，清理后</w:t>
                  </w:r>
                  <w:r>
                    <w:rPr>
                      <w:rFonts w:hint="eastAsia" w:cs="Times New Roman"/>
                      <w:b w:val="0"/>
                      <w:bCs/>
                      <w:color w:val="000000" w:themeColor="text1"/>
                      <w:sz w:val="21"/>
                      <w:szCs w:val="21"/>
                      <w:highlight w:val="none"/>
                      <w:lang w:val="en-US" w:eastAsia="zh-CN"/>
                      <w14:textFill>
                        <w14:solidFill>
                          <w14:schemeClr w14:val="tx1"/>
                        </w14:solidFill>
                      </w14:textFill>
                    </w:rPr>
                    <w:t>直接外售水泥厂</w:t>
                  </w:r>
                </w:p>
              </w:tc>
              <w:tc>
                <w:tcPr>
                  <w:tcW w:w="730" w:type="dxa"/>
                  <w:vMerge w:val="continue"/>
                  <w:tcBorders>
                    <w:tl2br w:val="nil"/>
                    <w:tr2bl w:val="nil"/>
                  </w:tcBorders>
                  <w:noWrap w:val="0"/>
                  <w:vAlign w:val="center"/>
                </w:tcPr>
                <w:p w14:paraId="191CD8AE">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r>
            <w:tr w14:paraId="0F01488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591E02B8">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09" w:type="dxa"/>
                  <w:vMerge w:val="continue"/>
                  <w:tcBorders>
                    <w:tl2br w:val="nil"/>
                    <w:tr2bl w:val="nil"/>
                  </w:tcBorders>
                  <w:noWrap w:val="0"/>
                  <w:vAlign w:val="center"/>
                </w:tcPr>
                <w:p w14:paraId="6AE4CD6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c>
                <w:tcPr>
                  <w:tcW w:w="1074" w:type="dxa"/>
                  <w:gridSpan w:val="2"/>
                  <w:tcBorders>
                    <w:tl2br w:val="nil"/>
                    <w:tr2bl w:val="nil"/>
                  </w:tcBorders>
                  <w:noWrap w:val="0"/>
                  <w:vAlign w:val="center"/>
                </w:tcPr>
                <w:p w14:paraId="5585350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筛下料</w:t>
                  </w:r>
                </w:p>
              </w:tc>
              <w:tc>
                <w:tcPr>
                  <w:tcW w:w="945" w:type="dxa"/>
                  <w:tcBorders>
                    <w:tl2br w:val="nil"/>
                    <w:tr2bl w:val="nil"/>
                  </w:tcBorders>
                  <w:noWrap w:val="0"/>
                  <w:vAlign w:val="center"/>
                </w:tcPr>
                <w:p w14:paraId="2F93113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b w:val="0"/>
                      <w:bCs/>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土渣</w:t>
                  </w:r>
                </w:p>
              </w:tc>
              <w:tc>
                <w:tcPr>
                  <w:tcW w:w="3705" w:type="dxa"/>
                  <w:gridSpan w:val="2"/>
                  <w:tcBorders>
                    <w:tl2br w:val="nil"/>
                    <w:tr2bl w:val="nil"/>
                  </w:tcBorders>
                  <w:noWrap w:val="0"/>
                  <w:vAlign w:val="center"/>
                </w:tcPr>
                <w:p w14:paraId="73D0554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暂存于预处理车间土渣储存区，定期外售水泥厂</w:t>
                  </w:r>
                </w:p>
              </w:tc>
              <w:tc>
                <w:tcPr>
                  <w:tcW w:w="730" w:type="dxa"/>
                  <w:vMerge w:val="continue"/>
                  <w:tcBorders>
                    <w:tl2br w:val="nil"/>
                    <w:tr2bl w:val="nil"/>
                  </w:tcBorders>
                  <w:noWrap w:val="0"/>
                  <w:vAlign w:val="center"/>
                </w:tcPr>
                <w:p w14:paraId="6FECFD1F">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r>
            <w:tr w14:paraId="24D12F1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3E5B4AF9">
                  <w:pPr>
                    <w:pStyle w:val="15"/>
                    <w:keepNext w:val="0"/>
                    <w:keepLines w:val="0"/>
                    <w:pageBreakBefore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09" w:type="dxa"/>
                  <w:vMerge w:val="restart"/>
                  <w:tcBorders>
                    <w:tl2br w:val="nil"/>
                    <w:tr2bl w:val="nil"/>
                  </w:tcBorders>
                  <w:noWrap w:val="0"/>
                  <w:vAlign w:val="center"/>
                </w:tcPr>
                <w:p w14:paraId="08E40BD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危险废物</w:t>
                  </w:r>
                </w:p>
              </w:tc>
              <w:tc>
                <w:tcPr>
                  <w:tcW w:w="1074" w:type="dxa"/>
                  <w:gridSpan w:val="2"/>
                  <w:vMerge w:val="restart"/>
                  <w:tcBorders>
                    <w:tl2br w:val="nil"/>
                    <w:tr2bl w:val="nil"/>
                  </w:tcBorders>
                  <w:noWrap w:val="0"/>
                  <w:vAlign w:val="center"/>
                </w:tcPr>
                <w:p w14:paraId="453FEAF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设备维护</w:t>
                  </w:r>
                </w:p>
              </w:tc>
              <w:tc>
                <w:tcPr>
                  <w:tcW w:w="945" w:type="dxa"/>
                  <w:tcBorders>
                    <w:tl2br w:val="nil"/>
                    <w:tr2bl w:val="nil"/>
                  </w:tcBorders>
                  <w:noWrap w:val="0"/>
                  <w:vAlign w:val="center"/>
                </w:tcPr>
                <w:p w14:paraId="650BAF3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废润滑油</w:t>
                  </w:r>
                </w:p>
              </w:tc>
              <w:tc>
                <w:tcPr>
                  <w:tcW w:w="3705" w:type="dxa"/>
                  <w:gridSpan w:val="2"/>
                  <w:vMerge w:val="restart"/>
                  <w:tcBorders>
                    <w:tl2br w:val="nil"/>
                    <w:tr2bl w:val="nil"/>
                  </w:tcBorders>
                  <w:noWrap w:val="0"/>
                  <w:vAlign w:val="center"/>
                </w:tcPr>
                <w:p w14:paraId="6DAEE12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分类</w:t>
                  </w:r>
                  <w:r>
                    <w:rPr>
                      <w:rFonts w:hint="default"/>
                      <w:color w:val="000000" w:themeColor="text1"/>
                      <w:sz w:val="21"/>
                      <w:szCs w:val="21"/>
                      <w:highlight w:val="none"/>
                      <w14:textFill>
                        <w14:solidFill>
                          <w14:schemeClr w14:val="tx1"/>
                        </w14:solidFill>
                      </w14:textFill>
                    </w:rPr>
                    <w:t>暂存于</w:t>
                  </w:r>
                  <w:r>
                    <w:rPr>
                      <w:rFonts w:hint="eastAsia"/>
                      <w:color w:val="000000" w:themeColor="text1"/>
                      <w:sz w:val="21"/>
                      <w:szCs w:val="21"/>
                      <w:highlight w:val="none"/>
                      <w:lang w:eastAsia="zh-CN"/>
                      <w14:textFill>
                        <w14:solidFill>
                          <w14:schemeClr w14:val="tx1"/>
                        </w14:solidFill>
                      </w14:textFill>
                    </w:rPr>
                    <w:t>危险废物暂存间</w:t>
                  </w:r>
                  <w:r>
                    <w:rPr>
                      <w:rFonts w:hint="default"/>
                      <w:color w:val="000000" w:themeColor="text1"/>
                      <w:sz w:val="21"/>
                      <w:szCs w:val="21"/>
                      <w:highlight w:val="none"/>
                      <w14:textFill>
                        <w14:solidFill>
                          <w14:schemeClr w14:val="tx1"/>
                        </w14:solidFill>
                      </w14:textFill>
                    </w:rPr>
                    <w:t>，定期由有资质的公司进行处置</w:t>
                  </w:r>
                </w:p>
              </w:tc>
              <w:tc>
                <w:tcPr>
                  <w:tcW w:w="730" w:type="dxa"/>
                  <w:vMerge w:val="continue"/>
                  <w:tcBorders>
                    <w:tl2br w:val="nil"/>
                    <w:tr2bl w:val="nil"/>
                  </w:tcBorders>
                  <w:noWrap w:val="0"/>
                  <w:vAlign w:val="center"/>
                </w:tcPr>
                <w:p w14:paraId="19ADCB78">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p>
              </w:tc>
            </w:tr>
            <w:tr w14:paraId="5F1DCBA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6" w:hRule="atLeast"/>
                <w:jc w:val="center"/>
              </w:trPr>
              <w:tc>
                <w:tcPr>
                  <w:tcW w:w="496" w:type="dxa"/>
                  <w:vMerge w:val="continue"/>
                  <w:tcBorders>
                    <w:tl2br w:val="nil"/>
                    <w:tr2bl w:val="nil"/>
                  </w:tcBorders>
                  <w:noWrap w:val="0"/>
                  <w:vAlign w:val="center"/>
                </w:tcPr>
                <w:p w14:paraId="7343E906">
                  <w:pPr>
                    <w:pStyle w:val="15"/>
                    <w:keepNext w:val="0"/>
                    <w:keepLines w:val="0"/>
                    <w:pageBreakBefore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709" w:type="dxa"/>
                  <w:vMerge w:val="continue"/>
                  <w:tcBorders>
                    <w:tl2br w:val="nil"/>
                    <w:tr2bl w:val="nil"/>
                  </w:tcBorders>
                  <w:noWrap w:val="0"/>
                  <w:vAlign w:val="center"/>
                </w:tcPr>
                <w:p w14:paraId="5C1F103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c>
                <w:tcPr>
                  <w:tcW w:w="1074" w:type="dxa"/>
                  <w:gridSpan w:val="2"/>
                  <w:vMerge w:val="continue"/>
                  <w:tcBorders>
                    <w:tl2br w:val="nil"/>
                    <w:tr2bl w:val="nil"/>
                  </w:tcBorders>
                  <w:noWrap w:val="0"/>
                  <w:vAlign w:val="center"/>
                </w:tcPr>
                <w:p w14:paraId="45DCC85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p>
              </w:tc>
              <w:tc>
                <w:tcPr>
                  <w:tcW w:w="945" w:type="dxa"/>
                  <w:tcBorders>
                    <w:tl2br w:val="nil"/>
                    <w:tr2bl w:val="nil"/>
                  </w:tcBorders>
                  <w:noWrap w:val="0"/>
                  <w:vAlign w:val="center"/>
                </w:tcPr>
                <w:p w14:paraId="752CA0F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废油桶</w:t>
                  </w:r>
                </w:p>
              </w:tc>
              <w:tc>
                <w:tcPr>
                  <w:tcW w:w="3705" w:type="dxa"/>
                  <w:gridSpan w:val="2"/>
                  <w:vMerge w:val="continue"/>
                  <w:tcBorders>
                    <w:tl2br w:val="nil"/>
                    <w:tr2bl w:val="nil"/>
                  </w:tcBorders>
                  <w:noWrap w:val="0"/>
                  <w:vAlign w:val="center"/>
                </w:tcPr>
                <w:p w14:paraId="160A54D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p>
              </w:tc>
              <w:tc>
                <w:tcPr>
                  <w:tcW w:w="730" w:type="dxa"/>
                  <w:vMerge w:val="continue"/>
                  <w:tcBorders>
                    <w:tl2br w:val="nil"/>
                    <w:tr2bl w:val="nil"/>
                  </w:tcBorders>
                  <w:noWrap w:val="0"/>
                  <w:vAlign w:val="center"/>
                </w:tcPr>
                <w:p w14:paraId="3857B7E0">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p>
              </w:tc>
            </w:tr>
            <w:tr w14:paraId="10775A6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13" w:hRule="atLeast"/>
                <w:jc w:val="center"/>
              </w:trPr>
              <w:tc>
                <w:tcPr>
                  <w:tcW w:w="496" w:type="dxa"/>
                  <w:vMerge w:val="continue"/>
                  <w:tcBorders>
                    <w:tl2br w:val="nil"/>
                    <w:tr2bl w:val="nil"/>
                  </w:tcBorders>
                  <w:noWrap w:val="0"/>
                  <w:vAlign w:val="center"/>
                </w:tcPr>
                <w:p w14:paraId="0B524E58">
                  <w:pPr>
                    <w:pStyle w:val="15"/>
                    <w:keepNext w:val="0"/>
                    <w:keepLines w:val="0"/>
                    <w:pageBreakBefore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14:textFill>
                        <w14:solidFill>
                          <w14:schemeClr w14:val="tx1"/>
                        </w14:solidFill>
                      </w14:textFill>
                    </w:rPr>
                  </w:pPr>
                </w:p>
              </w:tc>
              <w:tc>
                <w:tcPr>
                  <w:tcW w:w="1783" w:type="dxa"/>
                  <w:gridSpan w:val="3"/>
                  <w:tcBorders>
                    <w:tl2br w:val="nil"/>
                    <w:tr2bl w:val="nil"/>
                  </w:tcBorders>
                  <w:noWrap w:val="0"/>
                  <w:vAlign w:val="center"/>
                </w:tcPr>
                <w:p w14:paraId="0E69496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职工生活</w:t>
                  </w:r>
                </w:p>
              </w:tc>
              <w:tc>
                <w:tcPr>
                  <w:tcW w:w="945" w:type="dxa"/>
                  <w:tcBorders>
                    <w:tl2br w:val="nil"/>
                    <w:tr2bl w:val="nil"/>
                  </w:tcBorders>
                  <w:noWrap w:val="0"/>
                  <w:vAlign w:val="center"/>
                </w:tcPr>
                <w:p w14:paraId="2FCDCF9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生活垃圾</w:t>
                  </w:r>
                </w:p>
              </w:tc>
              <w:tc>
                <w:tcPr>
                  <w:tcW w:w="3705" w:type="dxa"/>
                  <w:gridSpan w:val="2"/>
                  <w:tcBorders>
                    <w:tl2br w:val="nil"/>
                    <w:tr2bl w:val="nil"/>
                  </w:tcBorders>
                  <w:noWrap w:val="0"/>
                  <w:vAlign w:val="center"/>
                </w:tcPr>
                <w:p w14:paraId="6601AA4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default"/>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袋装化，</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集中收集，送当地环卫部门指定地点</w:t>
                  </w:r>
                  <w:r>
                    <w:rPr>
                      <w:rFonts w:hint="eastAsia" w:cs="Times New Roman"/>
                      <w:color w:val="000000" w:themeColor="text1"/>
                      <w:sz w:val="21"/>
                      <w:szCs w:val="21"/>
                      <w:highlight w:val="none"/>
                      <w:shd w:val="clear" w:color="auto" w:fill="auto"/>
                      <w:lang w:val="en-US" w:eastAsia="zh-CN"/>
                      <w14:textFill>
                        <w14:solidFill>
                          <w14:schemeClr w14:val="tx1"/>
                        </w14:solidFill>
                      </w14:textFill>
                    </w:rPr>
                    <w:t>统</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一处理</w:t>
                  </w:r>
                </w:p>
              </w:tc>
              <w:tc>
                <w:tcPr>
                  <w:tcW w:w="730" w:type="dxa"/>
                  <w:tcBorders>
                    <w:tl2br w:val="nil"/>
                    <w:tr2bl w:val="nil"/>
                  </w:tcBorders>
                  <w:noWrap w:val="0"/>
                  <w:vAlign w:val="center"/>
                </w:tcPr>
                <w:p w14:paraId="76641FCB">
                  <w:pPr>
                    <w:keepNext w:val="0"/>
                    <w:keepLines w:val="0"/>
                    <w:pageBreakBefore w:val="0"/>
                    <w:widowControl/>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间断</w:t>
                  </w:r>
                </w:p>
              </w:tc>
            </w:tr>
          </w:tbl>
          <w:p w14:paraId="58C0D93A">
            <w:pPr>
              <w:pStyle w:val="15"/>
              <w:shd w:val="clear"/>
              <w:ind w:left="0" w:leftChars="0" w:firstLine="0" w:firstLineChars="0"/>
              <w:rPr>
                <w:rFonts w:hint="default"/>
                <w:color w:val="000000" w:themeColor="text1"/>
                <w:highlight w:val="none"/>
                <w:lang w:val="en-US" w:eastAsia="zh-CN"/>
                <w14:textFill>
                  <w14:solidFill>
                    <w14:schemeClr w14:val="tx1"/>
                  </w14:solidFill>
                </w14:textFill>
              </w:rPr>
            </w:pPr>
          </w:p>
        </w:tc>
      </w:tr>
      <w:tr w14:paraId="51C22A9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235" w:hRule="atLeast"/>
          <w:jc w:val="center"/>
        </w:trPr>
        <w:tc>
          <w:tcPr>
            <w:tcW w:w="823" w:type="dxa"/>
            <w:tcBorders>
              <w:tl2br w:val="nil"/>
              <w:tr2bl w:val="nil"/>
            </w:tcBorders>
            <w:noWrap w:val="0"/>
            <w:vAlign w:val="center"/>
          </w:tcPr>
          <w:p w14:paraId="0B145350">
            <w:pPr>
              <w:pStyle w:val="29"/>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000000" w:themeColor="text1"/>
                <w:kern w:val="2"/>
                <w:sz w:val="24"/>
                <w:szCs w:val="24"/>
                <w:highlight w:val="none"/>
                <w:shd w:val="clear" w:color="auto" w:fill="auto"/>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shd w:val="clear" w:color="auto" w:fill="auto"/>
                <w14:textFill>
                  <w14:solidFill>
                    <w14:schemeClr w14:val="tx1"/>
                  </w14:solidFill>
                </w14:textFill>
              </w:rPr>
              <w:t>与项</w:t>
            </w:r>
          </w:p>
          <w:p w14:paraId="40E06596">
            <w:pPr>
              <w:pStyle w:val="29"/>
              <w:keepNext w:val="0"/>
              <w:keepLines w:val="0"/>
              <w:pageBreakBefore w:val="0"/>
              <w:widowControl/>
              <w:shd w:val="clea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shd w:val="clear" w:color="auto" w:fill="auto"/>
                <w14:textFill>
                  <w14:solidFill>
                    <w14:schemeClr w14:val="tx1"/>
                  </w14:solidFill>
                </w14:textFill>
              </w:rPr>
              <w:t>目有关的原有环境污染问题</w:t>
            </w:r>
          </w:p>
        </w:tc>
        <w:tc>
          <w:tcPr>
            <w:tcW w:w="8342" w:type="dxa"/>
            <w:tcBorders>
              <w:tl2br w:val="nil"/>
              <w:tr2bl w:val="nil"/>
            </w:tcBorders>
            <w:noWrap w:val="0"/>
            <w:vAlign w:val="top"/>
          </w:tcPr>
          <w:p w14:paraId="5FDCCC22">
            <w:pPr>
              <w:keepNext w:val="0"/>
              <w:keepLines w:val="0"/>
              <w:pageBreakBefore w:val="0"/>
              <w:widowControl w:val="0"/>
              <w:shd w:val="clear"/>
              <w:kinsoku/>
              <w:wordWrap/>
              <w:overflowPunct/>
              <w:topLinePunct w:val="0"/>
              <w:bidi w:val="0"/>
              <w:spacing w:line="360" w:lineRule="auto"/>
              <w:ind w:firstLine="482" w:firstLineChars="200"/>
              <w:textAlignment w:val="auto"/>
              <w:rPr>
                <w:rFonts w:hint="eastAsia"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1、环保手续履行情况</w:t>
            </w:r>
          </w:p>
          <w:p w14:paraId="7421E384">
            <w:pPr>
              <w:keepNext w:val="0"/>
              <w:keepLines w:val="0"/>
              <w:pageBreakBefore w:val="0"/>
              <w:widowControl w:val="0"/>
              <w:shd w:val="clear"/>
              <w:kinsoku/>
              <w:wordWrap/>
              <w:overflowPunct/>
              <w:topLinePunct w:val="0"/>
              <w:bidi w:val="0"/>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滦州市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耀隆宝峰矿业有限公司前身为中国耀华玻璃集团公司雷庄矿，秦皇岛耀华玻璃厂雷庄砂岩矿原料加工系统技改工程于1989年1月10日取得了环评批复，于1997年6月5日取得了河北省工业污染源限期治理达标验收书。</w:t>
            </w:r>
          </w:p>
          <w:p w14:paraId="648ECD7A">
            <w:pPr>
              <w:keepNext w:val="0"/>
              <w:keepLines w:val="0"/>
              <w:pageBreakBefore w:val="0"/>
              <w:widowControl w:val="0"/>
              <w:shd w:val="clear"/>
              <w:kinsoku/>
              <w:wordWrap/>
              <w:overflowPunct/>
              <w:topLinePunct w:val="0"/>
              <w:bidi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2020年1月20日，《滦县耀隆宝峰矿业有限公司年10万吨精制硅砂加工生产线项目环境影响报告表》通过唐山市生态环境局滦州市分局的审批，审批文号：滦环表[2020]3号，2020年10月30日，《滦县耀隆宝峰矿业有限公司年10万吨精制硅砂加工生产线项目》已由建设单位自主组织开展竣工环境保护验收，各项环保设施及措施均落实到位，验收结论为合格。</w:t>
            </w:r>
          </w:p>
          <w:p w14:paraId="2E0EFA9E">
            <w:pPr>
              <w:keepNext w:val="0"/>
              <w:keepLines w:val="0"/>
              <w:pageBreakBefore w:val="0"/>
              <w:widowControl w:val="0"/>
              <w:shd w:val="clear"/>
              <w:kinsoku/>
              <w:wordWrap/>
              <w:overflowPunct/>
              <w:topLinePunct w:val="0"/>
              <w:bidi w:val="0"/>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滦县耀隆宝峰矿业有限公司于2020年5月27日首次取得固定污染源排污登记回执，于2025年1月21日取得固定污染源排污登记回执（变更），</w:t>
            </w:r>
            <w:r>
              <w:rPr>
                <w:rFonts w:hint="eastAsia"/>
                <w:color w:val="000000" w:themeColor="text1"/>
                <w:sz w:val="24"/>
                <w:szCs w:val="24"/>
                <w:highlight w:val="none"/>
                <w:lang w:val="en-US" w:eastAsia="zh-CN"/>
                <w14:textFill>
                  <w14:solidFill>
                    <w14:schemeClr w14:val="tx1"/>
                  </w14:solidFill>
                </w14:textFill>
              </w:rPr>
              <w:t>登记编号91130223593587002W001X，有效期限：2025年01月21日至2030年01月20日。</w:t>
            </w:r>
          </w:p>
          <w:p w14:paraId="1964D1FF">
            <w:pPr>
              <w:keepNext w:val="0"/>
              <w:keepLines w:val="0"/>
              <w:pageBreakBefore w:val="0"/>
              <w:widowControl w:val="0"/>
              <w:shd w:val="clear"/>
              <w:kinsoku/>
              <w:wordWrap/>
              <w:overflowPunct/>
              <w:topLinePunct w:val="0"/>
              <w:bidi w:val="0"/>
              <w:spacing w:line="360" w:lineRule="auto"/>
              <w:ind w:firstLine="480" w:firstLineChars="200"/>
              <w:textAlignment w:val="auto"/>
              <w:rPr>
                <w:rFonts w:hint="eastAsia"/>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滦县耀隆宝峰矿业有限公司</w:t>
            </w:r>
            <w:r>
              <w:rPr>
                <w:rFonts w:hint="eastAsia"/>
                <w:color w:val="000000" w:themeColor="text1"/>
                <w:sz w:val="24"/>
                <w:szCs w:val="24"/>
                <w:highlight w:val="none"/>
                <w:lang w:val="en-US" w:eastAsia="zh-CN"/>
                <w14:textFill>
                  <w14:solidFill>
                    <w14:schemeClr w14:val="tx1"/>
                  </w14:solidFill>
                </w14:textFill>
              </w:rPr>
              <w:t>突发环境事件应急预案于2023年6月12日在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唐山市生态环境局滦州市分局</w:t>
            </w:r>
            <w:r>
              <w:rPr>
                <w:rFonts w:hint="eastAsia"/>
                <w:color w:val="000000" w:themeColor="text1"/>
                <w:sz w:val="24"/>
                <w:szCs w:val="24"/>
                <w:highlight w:val="none"/>
                <w:lang w:val="en-US" w:eastAsia="zh-CN"/>
                <w14:textFill>
                  <w14:solidFill>
                    <w14:schemeClr w14:val="tx1"/>
                  </w14:solidFill>
                </w14:textFill>
              </w:rPr>
              <w:t>备案，备案编号130223-2023-025-L。</w:t>
            </w:r>
          </w:p>
          <w:p w14:paraId="538C2119">
            <w:pPr>
              <w:keepNext w:val="0"/>
              <w:keepLines w:val="0"/>
              <w:pageBreakBefore w:val="0"/>
              <w:widowControl w:val="0"/>
              <w:shd w:val="clear"/>
              <w:kinsoku/>
              <w:wordWrap/>
              <w:overflowPunct/>
              <w:topLinePunct w:val="0"/>
              <w:bidi w:val="0"/>
              <w:spacing w:line="360" w:lineRule="auto"/>
              <w:ind w:firstLine="482" w:firstLineChars="200"/>
              <w:textAlignment w:val="auto"/>
              <w:rPr>
                <w:rFonts w:hint="eastAsia" w:eastAsia="宋体"/>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2、排污情况</w:t>
            </w:r>
          </w:p>
          <w:p w14:paraId="42D6C4B5">
            <w:pPr>
              <w:pStyle w:val="87"/>
              <w:keepNext w:val="0"/>
              <w:keepLines w:val="0"/>
              <w:pageBreakBefore w:val="0"/>
              <w:widowControl w:val="0"/>
              <w:numPr>
                <w:ilvl w:val="0"/>
                <w:numId w:val="0"/>
              </w:numPr>
              <w:shd w:val="clear"/>
              <w:kinsoku/>
              <w:wordWrap/>
              <w:overflowPunct/>
              <w:topLinePunct w:val="0"/>
              <w:bidi w:val="0"/>
              <w:adjustRightInd w:val="0"/>
              <w:spacing w:line="360" w:lineRule="auto"/>
              <w:ind w:firstLine="482" w:firstLineChars="200"/>
              <w:jc w:val="both"/>
              <w:textAlignment w:val="auto"/>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t>①废气达标排放分析</w:t>
            </w:r>
          </w:p>
          <w:p w14:paraId="74C803EB">
            <w:pPr>
              <w:keepNext w:val="0"/>
              <w:keepLines w:val="0"/>
              <w:pageBreakBefore w:val="0"/>
              <w:widowControl w:val="0"/>
              <w:suppressLineNumbers w:val="0"/>
              <w:shd w:val="clear"/>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 w:val="0"/>
                <w:bCs/>
                <w:snapToGrid w:val="0"/>
                <w:color w:val="000000" w:themeColor="text1"/>
                <w:kern w:val="0"/>
                <w:sz w:val="24"/>
                <w:szCs w:val="24"/>
                <w:highlight w:val="none"/>
                <w:lang w:eastAsia="zh-CN"/>
                <w14:textFill>
                  <w14:solidFill>
                    <w14:schemeClr w14:val="tx1"/>
                  </w14:solidFill>
                </w14:textFill>
              </w:rPr>
            </w:pPr>
            <w:r>
              <w:rPr>
                <w:rFonts w:hint="eastAsia" w:ascii="Times New Roman" w:hAnsi="Times New Roman" w:eastAsia="宋体" w:cs="Times New Roman"/>
                <w:b w:val="0"/>
                <w:bCs/>
                <w:snapToGrid w:val="0"/>
                <w:color w:val="000000" w:themeColor="text1"/>
                <w:kern w:val="0"/>
                <w:sz w:val="24"/>
                <w:szCs w:val="24"/>
                <w:highlight w:val="none"/>
                <w:lang w:eastAsia="zh-CN"/>
                <w14:textFill>
                  <w14:solidFill>
                    <w14:schemeClr w14:val="tx1"/>
                  </w14:solidFill>
                </w14:textFill>
              </w:rPr>
              <w:t>根据唐山市冀唐德普环境检测有限公司出具的</w:t>
            </w:r>
            <w:r>
              <w:rPr>
                <w:rFonts w:hint="eastAsia" w:ascii="Times New Roman" w:hAnsi="Times New Roman" w:cs="Times New Roman"/>
                <w:b w:val="0"/>
                <w:bCs/>
                <w:snapToGrid w:val="0"/>
                <w:color w:val="000000" w:themeColor="text1"/>
                <w:kern w:val="0"/>
                <w:sz w:val="24"/>
                <w:szCs w:val="24"/>
                <w:highlight w:val="none"/>
                <w:lang w:eastAsia="zh-CN"/>
                <w14:textFill>
                  <w14:solidFill>
                    <w14:schemeClr w14:val="tx1"/>
                  </w14:solidFill>
                </w14:textFill>
              </w:rPr>
              <w:t>监测</w:t>
            </w:r>
            <w:r>
              <w:rPr>
                <w:rFonts w:hint="eastAsia" w:ascii="Times New Roman" w:hAnsi="Times New Roman" w:eastAsia="宋体" w:cs="Times New Roman"/>
                <w:b w:val="0"/>
                <w:bCs/>
                <w:snapToGrid w:val="0"/>
                <w:color w:val="000000" w:themeColor="text1"/>
                <w:kern w:val="0"/>
                <w:sz w:val="24"/>
                <w:szCs w:val="24"/>
                <w:highlight w:val="none"/>
                <w:lang w:eastAsia="zh-CN"/>
                <w14:textFill>
                  <w14:solidFill>
                    <w14:schemeClr w14:val="tx1"/>
                  </w14:solidFill>
                </w14:textFill>
              </w:rPr>
              <w:t>报告</w:t>
            </w:r>
            <w:r>
              <w:rPr>
                <w:rFonts w:hint="eastAsia" w:ascii="Times New Roman" w:hAnsi="Times New Roman" w:cs="Times New Roman"/>
                <w:b w:val="0"/>
                <w:bCs/>
                <w:snapToGrid w:val="0"/>
                <w:color w:val="000000" w:themeColor="text1"/>
                <w:kern w:val="0"/>
                <w:sz w:val="24"/>
                <w:szCs w:val="24"/>
                <w:highlight w:val="none"/>
                <w:lang w:eastAsia="zh-CN"/>
                <w14:textFill>
                  <w14:solidFill>
                    <w14:schemeClr w14:val="tx1"/>
                  </w14:solidFill>
                </w14:textFill>
              </w:rPr>
              <w:t>（JTDP自行监测[2023]0053号）</w:t>
            </w:r>
            <w:r>
              <w:rPr>
                <w:rFonts w:hint="eastAsia" w:ascii="Times New Roman" w:hAnsi="Times New Roman" w:eastAsia="宋体" w:cs="Times New Roman"/>
                <w:b w:val="0"/>
                <w:bCs/>
                <w:snapToGrid w:val="0"/>
                <w:color w:val="000000" w:themeColor="text1"/>
                <w:kern w:val="0"/>
                <w:sz w:val="24"/>
                <w:szCs w:val="24"/>
                <w:highlight w:val="none"/>
                <w:lang w:eastAsia="zh-CN"/>
                <w14:textFill>
                  <w14:solidFill>
                    <w14:schemeClr w14:val="tx1"/>
                  </w14:solidFill>
                </w14:textFill>
              </w:rPr>
              <w:t>，项目现有工程大气污染物排放达标情况如下：</w:t>
            </w:r>
          </w:p>
          <w:p w14:paraId="12350A51">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现有工程</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废气监测情况表</w:t>
            </w:r>
          </w:p>
          <w:tbl>
            <w:tblPr>
              <w:tblStyle w:val="32"/>
              <w:tblW w:w="0" w:type="auto"/>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479"/>
              <w:gridCol w:w="1444"/>
              <w:gridCol w:w="1400"/>
              <w:gridCol w:w="967"/>
              <w:gridCol w:w="1117"/>
              <w:gridCol w:w="1843"/>
              <w:gridCol w:w="687"/>
            </w:tblGrid>
            <w:tr w14:paraId="59C8135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54" w:hRule="atLeast"/>
                <w:jc w:val="center"/>
              </w:trPr>
              <w:tc>
                <w:tcPr>
                  <w:tcW w:w="479" w:type="dxa"/>
                  <w:tcBorders>
                    <w:tl2br w:val="nil"/>
                    <w:tr2bl w:val="nil"/>
                  </w:tcBorders>
                  <w:noWrap w:val="0"/>
                  <w:vAlign w:val="center"/>
                </w:tcPr>
                <w:p w14:paraId="12C6B604">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序号</w:t>
                  </w:r>
                </w:p>
              </w:tc>
              <w:tc>
                <w:tcPr>
                  <w:tcW w:w="1444" w:type="dxa"/>
                  <w:tcBorders>
                    <w:tl2br w:val="nil"/>
                    <w:tr2bl w:val="nil"/>
                  </w:tcBorders>
                  <w:noWrap w:val="0"/>
                  <w:vAlign w:val="center"/>
                </w:tcPr>
                <w:p w14:paraId="3493CD74">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排放口</w:t>
                  </w:r>
                </w:p>
              </w:tc>
              <w:tc>
                <w:tcPr>
                  <w:tcW w:w="1400" w:type="dxa"/>
                  <w:tcBorders>
                    <w:tl2br w:val="nil"/>
                    <w:tr2bl w:val="nil"/>
                  </w:tcBorders>
                  <w:noWrap w:val="0"/>
                  <w:vAlign w:val="center"/>
                </w:tcPr>
                <w:p w14:paraId="182A60DC">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污染因子</w:t>
                  </w:r>
                </w:p>
              </w:tc>
              <w:tc>
                <w:tcPr>
                  <w:tcW w:w="967" w:type="dxa"/>
                  <w:tcBorders>
                    <w:tl2br w:val="nil"/>
                    <w:tr2bl w:val="nil"/>
                  </w:tcBorders>
                  <w:noWrap w:val="0"/>
                  <w:vAlign w:val="center"/>
                </w:tcPr>
                <w:p w14:paraId="5F679920">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排放浓度</w:t>
                  </w:r>
                </w:p>
              </w:tc>
              <w:tc>
                <w:tcPr>
                  <w:tcW w:w="1117" w:type="dxa"/>
                  <w:tcBorders>
                    <w:tl2br w:val="nil"/>
                    <w:tr2bl w:val="nil"/>
                  </w:tcBorders>
                  <w:noWrap w:val="0"/>
                  <w:vAlign w:val="center"/>
                </w:tcPr>
                <w:p w14:paraId="2985C174">
                  <w:pPr>
                    <w:keepNext w:val="0"/>
                    <w:keepLines w:val="0"/>
                    <w:widowControl/>
                    <w:suppressLineNumbers w:val="0"/>
                    <w:shd w:val="clear"/>
                    <w:snapToGrid w:val="0"/>
                    <w:spacing w:before="0" w:beforeAutospacing="0" w:after="0" w:afterAutospacing="0" w:line="240" w:lineRule="auto"/>
                    <w:ind w:left="-108" w:leftChars="-45" w:right="0"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排放标准限值</w:t>
                  </w:r>
                </w:p>
              </w:tc>
              <w:tc>
                <w:tcPr>
                  <w:tcW w:w="1843" w:type="dxa"/>
                  <w:tcBorders>
                    <w:tl2br w:val="nil"/>
                    <w:tr2bl w:val="nil"/>
                  </w:tcBorders>
                  <w:noWrap w:val="0"/>
                  <w:vAlign w:val="center"/>
                </w:tcPr>
                <w:p w14:paraId="132E41FB">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排放标准</w:t>
                  </w:r>
                </w:p>
              </w:tc>
              <w:tc>
                <w:tcPr>
                  <w:tcW w:w="687" w:type="dxa"/>
                  <w:tcBorders>
                    <w:tl2br w:val="nil"/>
                    <w:tr2bl w:val="nil"/>
                  </w:tcBorders>
                  <w:noWrap w:val="0"/>
                  <w:vAlign w:val="center"/>
                </w:tcPr>
                <w:p w14:paraId="13A935D1">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达标</w:t>
                  </w:r>
                </w:p>
                <w:p w14:paraId="1485157E">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情况</w:t>
                  </w:r>
                </w:p>
              </w:tc>
            </w:tr>
            <w:tr w14:paraId="39D1B83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812" w:hRule="atLeast"/>
                <w:jc w:val="center"/>
              </w:trPr>
              <w:tc>
                <w:tcPr>
                  <w:tcW w:w="479" w:type="dxa"/>
                  <w:tcBorders>
                    <w:tl2br w:val="nil"/>
                    <w:tr2bl w:val="nil"/>
                  </w:tcBorders>
                  <w:noWrap w:val="0"/>
                  <w:vAlign w:val="center"/>
                </w:tcPr>
                <w:p w14:paraId="6ECF7E40">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w:t>
                  </w:r>
                </w:p>
              </w:tc>
              <w:tc>
                <w:tcPr>
                  <w:tcW w:w="1444" w:type="dxa"/>
                  <w:tcBorders>
                    <w:tl2br w:val="nil"/>
                    <w:tr2bl w:val="nil"/>
                  </w:tcBorders>
                  <w:noWrap w:val="0"/>
                  <w:vAlign w:val="center"/>
                </w:tcPr>
                <w:p w14:paraId="4E11ED82">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颚式破碎+圆锥破碎及各落料点废气处理设施出口</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（最大值）</w:t>
                  </w:r>
                </w:p>
              </w:tc>
              <w:tc>
                <w:tcPr>
                  <w:tcW w:w="1400" w:type="dxa"/>
                  <w:tcBorders>
                    <w:tl2br w:val="nil"/>
                    <w:tr2bl w:val="nil"/>
                  </w:tcBorders>
                  <w:noWrap w:val="0"/>
                  <w:vAlign w:val="center"/>
                </w:tcPr>
                <w:p w14:paraId="59F9101C">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r>
                    <w:rPr>
                      <w:rFonts w:hint="eastAsia"/>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w:t>
                  </w:r>
                </w:p>
              </w:tc>
              <w:tc>
                <w:tcPr>
                  <w:tcW w:w="967" w:type="dxa"/>
                  <w:tcBorders>
                    <w:tl2br w:val="nil"/>
                    <w:tr2bl w:val="nil"/>
                  </w:tcBorders>
                  <w:noWrap w:val="0"/>
                  <w:vAlign w:val="center"/>
                </w:tcPr>
                <w:p w14:paraId="00714B64">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5.6</w:t>
                  </w:r>
                </w:p>
              </w:tc>
              <w:tc>
                <w:tcPr>
                  <w:tcW w:w="1117" w:type="dxa"/>
                  <w:tcBorders>
                    <w:tl2br w:val="nil"/>
                    <w:tr2bl w:val="nil"/>
                  </w:tcBorders>
                  <w:noWrap w:val="0"/>
                  <w:vAlign w:val="center"/>
                </w:tcPr>
                <w:p w14:paraId="29DD6F2E">
                  <w:pPr>
                    <w:keepNext w:val="0"/>
                    <w:keepLines w:val="0"/>
                    <w:widowControl/>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10</w:t>
                  </w:r>
                </w:p>
              </w:tc>
              <w:tc>
                <w:tcPr>
                  <w:tcW w:w="1843" w:type="dxa"/>
                  <w:vMerge w:val="restart"/>
                  <w:tcBorders>
                    <w:tl2br w:val="nil"/>
                    <w:tr2bl w:val="nil"/>
                  </w:tcBorders>
                  <w:noWrap w:val="0"/>
                  <w:vAlign w:val="center"/>
                </w:tcPr>
                <w:p w14:paraId="4860A07F">
                  <w:pPr>
                    <w:keepNext w:val="0"/>
                    <w:keepLines w:val="0"/>
                    <w:widowControl/>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eastAsia="zh-CN"/>
                      <w14:textFill>
                        <w14:solidFill>
                          <w14:schemeClr w14:val="tx1"/>
                        </w14:solidFill>
                      </w14:textFill>
                    </w:rPr>
                    <w:t>石灰工业大气污染物排放标准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DB</w:t>
                  </w:r>
                  <w:r>
                    <w:rPr>
                      <w:rFonts w:hint="eastAsia" w:cs="Times New Roman"/>
                      <w:color w:val="000000" w:themeColor="text1"/>
                      <w:sz w:val="21"/>
                      <w:szCs w:val="21"/>
                      <w:highlight w:val="none"/>
                      <w:lang w:eastAsia="zh-CN"/>
                      <w14:textFill>
                        <w14:solidFill>
                          <w14:schemeClr w14:val="tx1"/>
                        </w14:solidFill>
                      </w14:textFill>
                    </w:rPr>
                    <w:t>13/1641-2025）</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及《2019年“十项重点工作"工作方案》</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唐办发</w:t>
                  </w:r>
                  <w:r>
                    <w:rPr>
                      <w:rFonts w:hint="eastAsia" w:cs="Times New Roman"/>
                      <w:color w:val="000000" w:themeColor="text1"/>
                      <w:sz w:val="21"/>
                      <w:szCs w:val="21"/>
                      <w:highlight w:val="none"/>
                      <w:lang w:eastAsia="zh-CN"/>
                      <w14:textFill>
                        <w14:solidFill>
                          <w14:schemeClr w14:val="tx1"/>
                        </w14:solidFill>
                      </w14:textFill>
                    </w:rPr>
                    <w:t>﹝2019﹞</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3号</w:t>
                  </w:r>
                  <w:r>
                    <w:rPr>
                      <w:rFonts w:hint="eastAsia" w:cs="Times New Roman"/>
                      <w:color w:val="000000" w:themeColor="text1"/>
                      <w:sz w:val="21"/>
                      <w:szCs w:val="21"/>
                      <w:highlight w:val="none"/>
                      <w:lang w:eastAsia="zh-CN"/>
                      <w14:textFill>
                        <w14:solidFill>
                          <w14:schemeClr w14:val="tx1"/>
                        </w14:solidFill>
                      </w14:textFill>
                    </w:rPr>
                    <w:t>）</w:t>
                  </w:r>
                </w:p>
              </w:tc>
              <w:tc>
                <w:tcPr>
                  <w:tcW w:w="687" w:type="dxa"/>
                  <w:tcBorders>
                    <w:tl2br w:val="nil"/>
                    <w:tr2bl w:val="nil"/>
                  </w:tcBorders>
                  <w:noWrap w:val="0"/>
                  <w:vAlign w:val="center"/>
                </w:tcPr>
                <w:p w14:paraId="10AAC235">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r w14:paraId="799768C8">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90" w:hRule="atLeast"/>
                <w:jc w:val="center"/>
              </w:trPr>
              <w:tc>
                <w:tcPr>
                  <w:tcW w:w="479" w:type="dxa"/>
                  <w:tcBorders>
                    <w:tl2br w:val="nil"/>
                    <w:tr2bl w:val="nil"/>
                  </w:tcBorders>
                  <w:noWrap w:val="0"/>
                  <w:vAlign w:val="center"/>
                </w:tcPr>
                <w:p w14:paraId="39A5C2D9">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w:t>
                  </w:r>
                </w:p>
              </w:tc>
              <w:tc>
                <w:tcPr>
                  <w:tcW w:w="1444" w:type="dxa"/>
                  <w:tcBorders>
                    <w:tl2br w:val="nil"/>
                    <w:tr2bl w:val="nil"/>
                  </w:tcBorders>
                  <w:noWrap w:val="0"/>
                  <w:vAlign w:val="center"/>
                </w:tcPr>
                <w:p w14:paraId="683917EB">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无组织排放废气</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（下方向最大值）</w:t>
                  </w:r>
                </w:p>
              </w:tc>
              <w:tc>
                <w:tcPr>
                  <w:tcW w:w="1400" w:type="dxa"/>
                  <w:tcBorders>
                    <w:tl2br w:val="nil"/>
                    <w:tr2bl w:val="nil"/>
                  </w:tcBorders>
                  <w:noWrap w:val="0"/>
                  <w:vAlign w:val="center"/>
                </w:tcPr>
                <w:p w14:paraId="662B54A5">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颗粒物</w:t>
                  </w:r>
                  <w:r>
                    <w:rPr>
                      <w:rFonts w:hint="eastAsia"/>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mg/m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w:t>
                  </w:r>
                </w:p>
              </w:tc>
              <w:tc>
                <w:tcPr>
                  <w:tcW w:w="967" w:type="dxa"/>
                  <w:tcBorders>
                    <w:tl2br w:val="nil"/>
                    <w:tr2bl w:val="nil"/>
                  </w:tcBorders>
                  <w:noWrap w:val="0"/>
                  <w:vAlign w:val="center"/>
                </w:tcPr>
                <w:p w14:paraId="506FC57C">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345</w:t>
                  </w:r>
                </w:p>
              </w:tc>
              <w:tc>
                <w:tcPr>
                  <w:tcW w:w="1117" w:type="dxa"/>
                  <w:tcBorders>
                    <w:tl2br w:val="nil"/>
                    <w:tr2bl w:val="nil"/>
                  </w:tcBorders>
                  <w:noWrap w:val="0"/>
                  <w:vAlign w:val="center"/>
                </w:tcPr>
                <w:p w14:paraId="6EBDC075">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0.5</w:t>
                  </w:r>
                </w:p>
              </w:tc>
              <w:tc>
                <w:tcPr>
                  <w:tcW w:w="1843" w:type="dxa"/>
                  <w:vMerge w:val="continue"/>
                  <w:tcBorders>
                    <w:tl2br w:val="nil"/>
                    <w:tr2bl w:val="nil"/>
                  </w:tcBorders>
                  <w:noWrap w:val="0"/>
                  <w:vAlign w:val="center"/>
                </w:tcPr>
                <w:p w14:paraId="233A9B85">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eastAsia" w:ascii="Times New Roman" w:hAnsi="Times New Roman" w:eastAsia="宋体" w:cs="Times New Roman"/>
                      <w:caps w:val="0"/>
                      <w:snapToGrid w:val="0"/>
                      <w:color w:val="000000" w:themeColor="text1"/>
                      <w:kern w:val="0"/>
                      <w:sz w:val="21"/>
                      <w:szCs w:val="21"/>
                      <w:highlight w:val="none"/>
                      <w:lang w:val="en-US" w:eastAsia="zh-CN" w:bidi="ar-SA"/>
                      <w14:textFill>
                        <w14:solidFill>
                          <w14:schemeClr w14:val="tx1"/>
                        </w14:solidFill>
                      </w14:textFill>
                    </w:rPr>
                  </w:pPr>
                </w:p>
              </w:tc>
              <w:tc>
                <w:tcPr>
                  <w:tcW w:w="687" w:type="dxa"/>
                  <w:tcBorders>
                    <w:tl2br w:val="nil"/>
                    <w:tr2bl w:val="nil"/>
                  </w:tcBorders>
                  <w:noWrap w:val="0"/>
                  <w:vAlign w:val="center"/>
                </w:tcPr>
                <w:p w14:paraId="088C83E0">
                  <w:pPr>
                    <w:keepNext w:val="0"/>
                    <w:keepLines w:val="0"/>
                    <w:widowControl/>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bl>
          <w:p w14:paraId="65AE2F36">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颚式破碎机</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、圆锥破碎机及中间仓均配套设置集气</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装置</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，废气经引风管收集后，汇入1套脉冲布袋除尘器处理，处理达标后通过1根21.5m高排气筒（DA001）排放。根据自行监测报告（JTDP自行监测</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[2023]</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0053号），排气筒（DA001）颗粒物排放浓度满足《</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石灰工业大气污染物排放标准</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》（DB</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13/1641-2025</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）及《2019年“十项重点工作”工作方案》（唐办发〔2019〕3号）相关要求，排放浓度≤10mg/m</w:t>
            </w:r>
            <w:r>
              <w:rPr>
                <w:rFonts w:hint="eastAsia"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3</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上料仓布置于封闭通廊内，入料口设置三面封闭入料棚，并配套喷雾抑尘装置；原料库、成品库、中间仓及尾矿砂库均采用全封闭库房形式，库内均设置喷雾抑尘设施；厂区出入口设置车辆冲洗平台，厂区地面全部硬化并配套绿化，物料输送皮带采用全封闭廊道布置。根据自行监测报告（JTDP自行监测</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[2023]</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0053号），厂界无组织颗粒物排放满足《</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石灰工业大气污染物排放标准</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》（DB</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13/1641-2025</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）及《2019年“十项重点工作”工作方案》（唐办发〔2019〕3号）相关要求，厂界监控浓度≤0.5mg/m</w:t>
            </w:r>
            <w:r>
              <w:rPr>
                <w:rFonts w:hint="eastAsia"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3</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w:t>
            </w:r>
          </w:p>
          <w:p w14:paraId="56D07757">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t>②废水达标排放分析</w:t>
            </w:r>
          </w:p>
          <w:p w14:paraId="36DDEE95">
            <w:pPr>
              <w:pStyle w:val="87"/>
              <w:widowControl w:val="0"/>
              <w:numPr>
                <w:ilvl w:val="0"/>
                <w:numId w:val="0"/>
              </w:numPr>
              <w:shd w:val="clear"/>
              <w:adjustRightInd w:val="0"/>
              <w:spacing w:line="360" w:lineRule="auto"/>
              <w:ind w:firstLine="480" w:firstLineChars="200"/>
              <w:jc w:val="both"/>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现有工程生活污水仅盥洗废水，水质简单，</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泼洒抑尘</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，不外排；生产废水和洗车废水经沉淀后，循环使用，不外排。</w:t>
            </w:r>
          </w:p>
          <w:p w14:paraId="23BDB547">
            <w:pPr>
              <w:pStyle w:val="87"/>
              <w:widowControl w:val="0"/>
              <w:numPr>
                <w:ilvl w:val="0"/>
                <w:numId w:val="0"/>
              </w:numPr>
              <w:shd w:val="clear"/>
              <w:adjustRightInd w:val="0"/>
              <w:spacing w:line="360" w:lineRule="auto"/>
              <w:ind w:firstLine="482" w:firstLineChars="200"/>
              <w:jc w:val="both"/>
              <w:rPr>
                <w:rFonts w:hint="default"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t>③固体废物</w:t>
            </w:r>
          </w:p>
          <w:p w14:paraId="5887B183">
            <w:pPr>
              <w:pStyle w:val="87"/>
              <w:widowControl w:val="0"/>
              <w:numPr>
                <w:ilvl w:val="0"/>
                <w:numId w:val="0"/>
              </w:numPr>
              <w:shd w:val="clear"/>
              <w:adjustRightInd w:val="0"/>
              <w:spacing w:line="360" w:lineRule="auto"/>
              <w:ind w:firstLine="480" w:firstLineChars="200"/>
              <w:jc w:val="both"/>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现有工程</w:t>
            </w:r>
            <w:r>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一般固废包括</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尾矿砂、除尘灰、废布袋、铁精粉</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、洗车平台污泥</w:t>
            </w:r>
            <w:r>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危险废物包含废润滑油和废油桶，产生量如下：</w:t>
            </w:r>
          </w:p>
          <w:p w14:paraId="0DF70CB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现有工程固体废物产生量及处理措施</w:t>
            </w:r>
          </w:p>
          <w:tbl>
            <w:tblPr>
              <w:tblStyle w:val="33"/>
              <w:tblW w:w="7696"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524"/>
              <w:gridCol w:w="688"/>
              <w:gridCol w:w="1340"/>
              <w:gridCol w:w="1050"/>
              <w:gridCol w:w="3060"/>
              <w:gridCol w:w="1034"/>
            </w:tblGrid>
            <w:tr w14:paraId="6F4F16F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2" w:hRule="atLeast"/>
                <w:jc w:val="center"/>
              </w:trPr>
              <w:tc>
                <w:tcPr>
                  <w:tcW w:w="524" w:type="dxa"/>
                  <w:tcBorders>
                    <w:tl2br w:val="nil"/>
                    <w:tr2bl w:val="nil"/>
                  </w:tcBorders>
                  <w:shd w:val="clear" w:color="auto" w:fill="auto"/>
                  <w:vAlign w:val="center"/>
                </w:tcPr>
                <w:p w14:paraId="556A698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序号</w:t>
                  </w:r>
                </w:p>
              </w:tc>
              <w:tc>
                <w:tcPr>
                  <w:tcW w:w="688" w:type="dxa"/>
                  <w:tcBorders>
                    <w:tl2br w:val="nil"/>
                    <w:tr2bl w:val="nil"/>
                  </w:tcBorders>
                  <w:vAlign w:val="center"/>
                </w:tcPr>
                <w:p w14:paraId="77C7E2A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类型</w:t>
                  </w:r>
                </w:p>
              </w:tc>
              <w:tc>
                <w:tcPr>
                  <w:tcW w:w="1340" w:type="dxa"/>
                  <w:tcBorders>
                    <w:tl2br w:val="nil"/>
                    <w:tr2bl w:val="nil"/>
                  </w:tcBorders>
                  <w:vAlign w:val="center"/>
                </w:tcPr>
                <w:p w14:paraId="4D7663E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名称</w:t>
                  </w:r>
                </w:p>
              </w:tc>
              <w:tc>
                <w:tcPr>
                  <w:tcW w:w="1050" w:type="dxa"/>
                  <w:tcBorders>
                    <w:tl2br w:val="nil"/>
                    <w:tr2bl w:val="nil"/>
                  </w:tcBorders>
                  <w:shd w:val="clear" w:color="auto" w:fill="auto"/>
                  <w:vAlign w:val="center"/>
                </w:tcPr>
                <w:p w14:paraId="7FBC1E8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产生量</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t/a</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w:t>
                  </w:r>
                </w:p>
              </w:tc>
              <w:tc>
                <w:tcPr>
                  <w:tcW w:w="3060" w:type="dxa"/>
                  <w:tcBorders>
                    <w:tl2br w:val="nil"/>
                    <w:tr2bl w:val="nil"/>
                  </w:tcBorders>
                  <w:shd w:val="clear" w:color="auto" w:fill="auto"/>
                  <w:vAlign w:val="center"/>
                </w:tcPr>
                <w:p w14:paraId="25F125E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处理措施</w:t>
                  </w:r>
                </w:p>
              </w:tc>
              <w:tc>
                <w:tcPr>
                  <w:tcW w:w="1034" w:type="dxa"/>
                  <w:tcBorders>
                    <w:tl2br w:val="nil"/>
                    <w:tr2bl w:val="nil"/>
                  </w:tcBorders>
                  <w:shd w:val="clear" w:color="auto" w:fill="auto"/>
                  <w:vAlign w:val="center"/>
                </w:tcPr>
                <w:p w14:paraId="3B5214F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处理量</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t/a</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w:t>
                  </w:r>
                </w:p>
              </w:tc>
            </w:tr>
            <w:tr w14:paraId="669DF0B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7939F06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w:t>
                  </w:r>
                </w:p>
              </w:tc>
              <w:tc>
                <w:tcPr>
                  <w:tcW w:w="688" w:type="dxa"/>
                  <w:vMerge w:val="restart"/>
                  <w:tcBorders>
                    <w:tl2br w:val="nil"/>
                    <w:tr2bl w:val="nil"/>
                  </w:tcBorders>
                  <w:vAlign w:val="center"/>
                </w:tcPr>
                <w:p w14:paraId="5FB89E9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一般固体废物</w:t>
                  </w:r>
                </w:p>
              </w:tc>
              <w:tc>
                <w:tcPr>
                  <w:tcW w:w="1340" w:type="dxa"/>
                  <w:tcBorders>
                    <w:tl2br w:val="nil"/>
                    <w:tr2bl w:val="nil"/>
                  </w:tcBorders>
                  <w:vAlign w:val="center"/>
                </w:tcPr>
                <w:p w14:paraId="45B03BE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尾矿砂</w:t>
                  </w:r>
                </w:p>
              </w:tc>
              <w:tc>
                <w:tcPr>
                  <w:tcW w:w="1050" w:type="dxa"/>
                  <w:tcBorders>
                    <w:tl2br w:val="nil"/>
                    <w:tr2bl w:val="nil"/>
                  </w:tcBorders>
                  <w:shd w:val="clear" w:color="auto" w:fill="auto"/>
                  <w:vAlign w:val="center"/>
                </w:tcPr>
                <w:p w14:paraId="505E8D0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19802.24</w:t>
                  </w:r>
                </w:p>
              </w:tc>
              <w:tc>
                <w:tcPr>
                  <w:tcW w:w="3060" w:type="dxa"/>
                  <w:tcBorders>
                    <w:tl2br w:val="nil"/>
                    <w:tr2bl w:val="nil"/>
                  </w:tcBorders>
                  <w:shd w:val="clear" w:color="auto" w:fill="auto"/>
                  <w:vAlign w:val="center"/>
                </w:tcPr>
                <w:p w14:paraId="576030A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集中收集，</w:t>
                  </w:r>
                  <w:r>
                    <w:rPr>
                      <w:rFonts w:hint="eastAsia" w:cs="Times New Roman"/>
                      <w:b w:val="0"/>
                      <w:bCs/>
                      <w:color w:val="000000" w:themeColor="text1"/>
                      <w:sz w:val="21"/>
                      <w:szCs w:val="21"/>
                      <w:highlight w:val="none"/>
                      <w:lang w:eastAsia="zh-CN"/>
                      <w14:textFill>
                        <w14:solidFill>
                          <w14:schemeClr w14:val="tx1"/>
                        </w14:solidFill>
                      </w14:textFill>
                    </w:rPr>
                    <w:t>暂存于一般固废暂存间，</w:t>
                  </w:r>
                  <w:r>
                    <w:rPr>
                      <w:rFonts w:hint="eastAsia" w:cs="Times New Roman"/>
                      <w:b w:val="0"/>
                      <w:bCs w:val="0"/>
                      <w:color w:val="000000" w:themeColor="text1"/>
                      <w:w w:val="100"/>
                      <w:kern w:val="2"/>
                      <w:sz w:val="21"/>
                      <w:szCs w:val="21"/>
                      <w:highlight w:val="none"/>
                      <w:lang w:val="en-US" w:eastAsia="zh-CN" w:bidi="ar-SA"/>
                      <w14:textFill>
                        <w14:solidFill>
                          <w14:schemeClr w14:val="tx1"/>
                        </w14:solidFill>
                      </w14:textFill>
                    </w:rPr>
                    <w:t>定期</w:t>
                  </w: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外售至水泥厂</w:t>
                  </w:r>
                </w:p>
              </w:tc>
              <w:tc>
                <w:tcPr>
                  <w:tcW w:w="1034" w:type="dxa"/>
                  <w:tcBorders>
                    <w:tl2br w:val="nil"/>
                    <w:tr2bl w:val="nil"/>
                  </w:tcBorders>
                  <w:shd w:val="clear" w:color="auto" w:fill="auto"/>
                  <w:vAlign w:val="center"/>
                </w:tcPr>
                <w:p w14:paraId="5A1B1FB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19802.24</w:t>
                  </w:r>
                </w:p>
              </w:tc>
            </w:tr>
            <w:tr w14:paraId="113C7F8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7CF3039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w:t>
                  </w:r>
                </w:p>
              </w:tc>
              <w:tc>
                <w:tcPr>
                  <w:tcW w:w="688" w:type="dxa"/>
                  <w:vMerge w:val="continue"/>
                  <w:tcBorders>
                    <w:tl2br w:val="nil"/>
                    <w:tr2bl w:val="nil"/>
                  </w:tcBorders>
                  <w:vAlign w:val="center"/>
                </w:tcPr>
                <w:p w14:paraId="4EDC99B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340" w:type="dxa"/>
                  <w:tcBorders>
                    <w:tl2br w:val="nil"/>
                    <w:tr2bl w:val="nil"/>
                  </w:tcBorders>
                  <w:vAlign w:val="center"/>
                </w:tcPr>
                <w:p w14:paraId="3B36A15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除尘灰</w:t>
                  </w:r>
                </w:p>
              </w:tc>
              <w:tc>
                <w:tcPr>
                  <w:tcW w:w="1050" w:type="dxa"/>
                  <w:tcBorders>
                    <w:tl2br w:val="nil"/>
                    <w:tr2bl w:val="nil"/>
                  </w:tcBorders>
                  <w:shd w:val="clear" w:color="auto" w:fill="auto"/>
                  <w:vAlign w:val="center"/>
                </w:tcPr>
                <w:p w14:paraId="03DE0CD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77.2</w:t>
                  </w:r>
                </w:p>
              </w:tc>
              <w:tc>
                <w:tcPr>
                  <w:tcW w:w="3060" w:type="dxa"/>
                  <w:tcBorders>
                    <w:tl2br w:val="nil"/>
                    <w:tr2bl w:val="nil"/>
                  </w:tcBorders>
                  <w:shd w:val="clear" w:color="auto" w:fill="auto"/>
                  <w:vAlign w:val="center"/>
                </w:tcPr>
                <w:p w14:paraId="4D8BB18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集中</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收集</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eastAsia="zh-CN"/>
                      <w14:textFill>
                        <w14:solidFill>
                          <w14:schemeClr w14:val="tx1"/>
                        </w14:solidFill>
                      </w14:textFill>
                    </w:rPr>
                    <w:t>暂存于一般固废暂存间，定期外售水泥厂</w:t>
                  </w:r>
                </w:p>
              </w:tc>
              <w:tc>
                <w:tcPr>
                  <w:tcW w:w="1034" w:type="dxa"/>
                  <w:tcBorders>
                    <w:tl2br w:val="nil"/>
                    <w:tr2bl w:val="nil"/>
                  </w:tcBorders>
                  <w:shd w:val="clear" w:color="auto" w:fill="auto"/>
                  <w:vAlign w:val="center"/>
                </w:tcPr>
                <w:p w14:paraId="19A44EA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77.2</w:t>
                  </w:r>
                </w:p>
              </w:tc>
            </w:tr>
            <w:tr w14:paraId="29F8BA1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0C33050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688" w:type="dxa"/>
                  <w:vMerge w:val="continue"/>
                  <w:tcBorders>
                    <w:tl2br w:val="nil"/>
                    <w:tr2bl w:val="nil"/>
                  </w:tcBorders>
                  <w:vAlign w:val="center"/>
                </w:tcPr>
                <w:p w14:paraId="070F16A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340" w:type="dxa"/>
                  <w:tcBorders>
                    <w:tl2br w:val="nil"/>
                    <w:tr2bl w:val="nil"/>
                  </w:tcBorders>
                  <w:vAlign w:val="center"/>
                </w:tcPr>
                <w:p w14:paraId="0D737C0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洗车平台污泥</w:t>
                  </w:r>
                </w:p>
              </w:tc>
              <w:tc>
                <w:tcPr>
                  <w:tcW w:w="1050" w:type="dxa"/>
                  <w:tcBorders>
                    <w:tl2br w:val="nil"/>
                    <w:tr2bl w:val="nil"/>
                  </w:tcBorders>
                  <w:shd w:val="clear" w:color="auto" w:fill="auto"/>
                  <w:vAlign w:val="center"/>
                </w:tcPr>
                <w:p w14:paraId="44A7984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10</w:t>
                  </w:r>
                </w:p>
              </w:tc>
              <w:tc>
                <w:tcPr>
                  <w:tcW w:w="3060" w:type="dxa"/>
                  <w:tcBorders>
                    <w:tl2br w:val="nil"/>
                    <w:tr2bl w:val="nil"/>
                  </w:tcBorders>
                  <w:shd w:val="clear" w:color="auto" w:fill="auto"/>
                  <w:vAlign w:val="center"/>
                </w:tcPr>
                <w:p w14:paraId="088F8BA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沉淀池污泥定期清理，清理后</w:t>
                  </w:r>
                  <w:r>
                    <w:rPr>
                      <w:rFonts w:hint="eastAsia" w:cs="Times New Roman"/>
                      <w:b w:val="0"/>
                      <w:bCs/>
                      <w:color w:val="000000" w:themeColor="text1"/>
                      <w:sz w:val="21"/>
                      <w:szCs w:val="21"/>
                      <w:highlight w:val="none"/>
                      <w:lang w:val="en-US" w:eastAsia="zh-CN"/>
                      <w14:textFill>
                        <w14:solidFill>
                          <w14:schemeClr w14:val="tx1"/>
                        </w14:solidFill>
                      </w14:textFill>
                    </w:rPr>
                    <w:t>直接外售水泥厂</w:t>
                  </w:r>
                </w:p>
              </w:tc>
              <w:tc>
                <w:tcPr>
                  <w:tcW w:w="1034" w:type="dxa"/>
                  <w:tcBorders>
                    <w:tl2br w:val="nil"/>
                    <w:tr2bl w:val="nil"/>
                  </w:tcBorders>
                  <w:shd w:val="clear" w:color="auto" w:fill="auto"/>
                  <w:vAlign w:val="center"/>
                </w:tcPr>
                <w:p w14:paraId="3C4A4F3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10</w:t>
                  </w:r>
                </w:p>
              </w:tc>
            </w:tr>
            <w:tr w14:paraId="123C491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5102EF4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w:t>
                  </w:r>
                </w:p>
              </w:tc>
              <w:tc>
                <w:tcPr>
                  <w:tcW w:w="688" w:type="dxa"/>
                  <w:vMerge w:val="continue"/>
                  <w:tcBorders>
                    <w:tl2br w:val="nil"/>
                    <w:tr2bl w:val="nil"/>
                  </w:tcBorders>
                  <w:vAlign w:val="center"/>
                </w:tcPr>
                <w:p w14:paraId="482809D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340" w:type="dxa"/>
                  <w:tcBorders>
                    <w:tl2br w:val="nil"/>
                    <w:tr2bl w:val="nil"/>
                  </w:tcBorders>
                  <w:vAlign w:val="center"/>
                </w:tcPr>
                <w:p w14:paraId="3BA034D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废布袋</w:t>
                  </w:r>
                </w:p>
              </w:tc>
              <w:tc>
                <w:tcPr>
                  <w:tcW w:w="1050" w:type="dxa"/>
                  <w:tcBorders>
                    <w:tl2br w:val="nil"/>
                    <w:tr2bl w:val="nil"/>
                  </w:tcBorders>
                  <w:shd w:val="clear" w:color="auto" w:fill="auto"/>
                  <w:vAlign w:val="center"/>
                </w:tcPr>
                <w:p w14:paraId="1E66828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0.1</w:t>
                  </w:r>
                </w:p>
              </w:tc>
              <w:tc>
                <w:tcPr>
                  <w:tcW w:w="3060" w:type="dxa"/>
                  <w:tcBorders>
                    <w:tl2br w:val="nil"/>
                    <w:tr2bl w:val="nil"/>
                  </w:tcBorders>
                  <w:shd w:val="clear" w:color="auto" w:fill="auto"/>
                  <w:vAlign w:val="center"/>
                </w:tcPr>
                <w:p w14:paraId="4E25F5C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废布袋</w:t>
                  </w: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更换后，直接外售废品回收站</w:t>
                  </w:r>
                </w:p>
              </w:tc>
              <w:tc>
                <w:tcPr>
                  <w:tcW w:w="1034" w:type="dxa"/>
                  <w:tcBorders>
                    <w:tl2br w:val="nil"/>
                    <w:tr2bl w:val="nil"/>
                  </w:tcBorders>
                  <w:shd w:val="clear" w:color="auto" w:fill="auto"/>
                  <w:vAlign w:val="center"/>
                </w:tcPr>
                <w:p w14:paraId="71CC2B6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0.1</w:t>
                  </w:r>
                </w:p>
              </w:tc>
            </w:tr>
            <w:tr w14:paraId="64E9DB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568E2C4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5</w:t>
                  </w:r>
                </w:p>
              </w:tc>
              <w:tc>
                <w:tcPr>
                  <w:tcW w:w="688" w:type="dxa"/>
                  <w:vMerge w:val="continue"/>
                  <w:tcBorders>
                    <w:tl2br w:val="nil"/>
                    <w:tr2bl w:val="nil"/>
                  </w:tcBorders>
                  <w:vAlign w:val="center"/>
                </w:tcPr>
                <w:p w14:paraId="5BBE7A3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340" w:type="dxa"/>
                  <w:tcBorders>
                    <w:tl2br w:val="nil"/>
                    <w:tr2bl w:val="nil"/>
                  </w:tcBorders>
                  <w:vAlign w:val="center"/>
                </w:tcPr>
                <w:p w14:paraId="5F319D3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铁精粉</w:t>
                  </w:r>
                </w:p>
              </w:tc>
              <w:tc>
                <w:tcPr>
                  <w:tcW w:w="1050" w:type="dxa"/>
                  <w:tcBorders>
                    <w:tl2br w:val="nil"/>
                    <w:tr2bl w:val="nil"/>
                  </w:tcBorders>
                  <w:shd w:val="clear" w:color="auto" w:fill="auto"/>
                  <w:vAlign w:val="center"/>
                </w:tcPr>
                <w:p w14:paraId="6A188EF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120</w:t>
                  </w:r>
                </w:p>
              </w:tc>
              <w:tc>
                <w:tcPr>
                  <w:tcW w:w="3060" w:type="dxa"/>
                  <w:tcBorders>
                    <w:tl2br w:val="nil"/>
                    <w:tr2bl w:val="nil"/>
                  </w:tcBorders>
                  <w:shd w:val="clear" w:color="auto" w:fill="auto"/>
                  <w:vAlign w:val="center"/>
                </w:tcPr>
                <w:p w14:paraId="5E23BBD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集中收集，</w:t>
                  </w:r>
                  <w:r>
                    <w:rPr>
                      <w:rFonts w:hint="eastAsia" w:cs="Times New Roman"/>
                      <w:b w:val="0"/>
                      <w:bCs/>
                      <w:color w:val="000000" w:themeColor="text1"/>
                      <w:sz w:val="21"/>
                      <w:szCs w:val="21"/>
                      <w:highlight w:val="none"/>
                      <w:lang w:eastAsia="zh-CN"/>
                      <w14:textFill>
                        <w14:solidFill>
                          <w14:schemeClr w14:val="tx1"/>
                        </w14:solidFill>
                      </w14:textFill>
                    </w:rPr>
                    <w:t>暂存于一般固废暂存间，</w:t>
                  </w:r>
                  <w:r>
                    <w:rPr>
                      <w:rFonts w:hint="eastAsia" w:cs="Times New Roman"/>
                      <w:b w:val="0"/>
                      <w:bCs w:val="0"/>
                      <w:color w:val="000000" w:themeColor="text1"/>
                      <w:w w:val="100"/>
                      <w:kern w:val="2"/>
                      <w:sz w:val="21"/>
                      <w:szCs w:val="21"/>
                      <w:highlight w:val="none"/>
                      <w:lang w:val="en-US" w:eastAsia="zh-CN" w:bidi="ar-SA"/>
                      <w14:textFill>
                        <w14:solidFill>
                          <w14:schemeClr w14:val="tx1"/>
                        </w14:solidFill>
                      </w14:textFill>
                    </w:rPr>
                    <w:t>定期</w:t>
                  </w: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外售铁粉厂</w:t>
                  </w:r>
                </w:p>
              </w:tc>
              <w:tc>
                <w:tcPr>
                  <w:tcW w:w="1034" w:type="dxa"/>
                  <w:tcBorders>
                    <w:tl2br w:val="nil"/>
                    <w:tr2bl w:val="nil"/>
                  </w:tcBorders>
                  <w:shd w:val="clear" w:color="auto" w:fill="auto"/>
                  <w:vAlign w:val="center"/>
                </w:tcPr>
                <w:p w14:paraId="332F46A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120</w:t>
                  </w:r>
                </w:p>
              </w:tc>
            </w:tr>
            <w:tr w14:paraId="5728232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524" w:type="dxa"/>
                  <w:tcBorders>
                    <w:tl2br w:val="nil"/>
                    <w:tr2bl w:val="nil"/>
                  </w:tcBorders>
                  <w:shd w:val="clear" w:color="auto" w:fill="auto"/>
                  <w:vAlign w:val="center"/>
                </w:tcPr>
                <w:p w14:paraId="0F65A04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6</w:t>
                  </w:r>
                </w:p>
              </w:tc>
              <w:tc>
                <w:tcPr>
                  <w:tcW w:w="688" w:type="dxa"/>
                  <w:vMerge w:val="restart"/>
                  <w:tcBorders>
                    <w:tl2br w:val="nil"/>
                    <w:tr2bl w:val="nil"/>
                  </w:tcBorders>
                  <w:vAlign w:val="center"/>
                </w:tcPr>
                <w:p w14:paraId="4E9DE59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危险废物</w:t>
                  </w:r>
                </w:p>
              </w:tc>
              <w:tc>
                <w:tcPr>
                  <w:tcW w:w="1340" w:type="dxa"/>
                  <w:tcBorders>
                    <w:tl2br w:val="nil"/>
                    <w:tr2bl w:val="nil"/>
                  </w:tcBorders>
                  <w:vAlign w:val="center"/>
                </w:tcPr>
                <w:p w14:paraId="0E669DF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废润滑油</w:t>
                  </w:r>
                </w:p>
              </w:tc>
              <w:tc>
                <w:tcPr>
                  <w:tcW w:w="1050" w:type="dxa"/>
                  <w:tcBorders>
                    <w:tl2br w:val="nil"/>
                    <w:tr2bl w:val="nil"/>
                  </w:tcBorders>
                  <w:shd w:val="clear" w:color="auto" w:fill="auto"/>
                  <w:vAlign w:val="center"/>
                </w:tcPr>
                <w:p w14:paraId="37135EE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w:t>
                  </w:r>
                  <w:r>
                    <w:rPr>
                      <w:rFonts w:hint="eastAsia" w:cs="Times New Roman"/>
                      <w:color w:val="000000" w:themeColor="text1"/>
                      <w:sz w:val="21"/>
                      <w:szCs w:val="21"/>
                      <w:highlight w:val="none"/>
                      <w:vertAlign w:val="baseline"/>
                      <w:lang w:val="en-US" w:eastAsia="zh-CN"/>
                      <w14:textFill>
                        <w14:solidFill>
                          <w14:schemeClr w14:val="tx1"/>
                        </w14:solidFill>
                      </w14:textFill>
                    </w:rPr>
                    <w:t>24</w:t>
                  </w:r>
                </w:p>
              </w:tc>
              <w:tc>
                <w:tcPr>
                  <w:tcW w:w="3060" w:type="dxa"/>
                  <w:vMerge w:val="restart"/>
                  <w:tcBorders>
                    <w:tl2br w:val="nil"/>
                    <w:tr2bl w:val="nil"/>
                  </w:tcBorders>
                  <w:shd w:val="clear" w:color="auto" w:fill="auto"/>
                  <w:vAlign w:val="center"/>
                </w:tcPr>
                <w:p w14:paraId="672548E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分类</w:t>
                  </w: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暂存于</w:t>
                  </w: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危险废物暂存间</w:t>
                  </w:r>
                  <w:r>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，定期由有资质的公司进行处置</w:t>
                  </w:r>
                </w:p>
              </w:tc>
              <w:tc>
                <w:tcPr>
                  <w:tcW w:w="1034" w:type="dxa"/>
                  <w:tcBorders>
                    <w:tl2br w:val="nil"/>
                    <w:tr2bl w:val="nil"/>
                  </w:tcBorders>
                  <w:shd w:val="clear" w:color="auto" w:fill="auto"/>
                  <w:vAlign w:val="center"/>
                </w:tcPr>
                <w:p w14:paraId="6B2237E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w:t>
                  </w:r>
                  <w:r>
                    <w:rPr>
                      <w:rFonts w:hint="eastAsia" w:cs="Times New Roman"/>
                      <w:color w:val="000000" w:themeColor="text1"/>
                      <w:sz w:val="21"/>
                      <w:szCs w:val="21"/>
                      <w:highlight w:val="none"/>
                      <w:vertAlign w:val="baseline"/>
                      <w:lang w:val="en-US" w:eastAsia="zh-CN"/>
                      <w14:textFill>
                        <w14:solidFill>
                          <w14:schemeClr w14:val="tx1"/>
                        </w14:solidFill>
                      </w14:textFill>
                    </w:rPr>
                    <w:t>24</w:t>
                  </w:r>
                </w:p>
              </w:tc>
            </w:tr>
            <w:tr w14:paraId="4C468EC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0" w:hRule="atLeast"/>
                <w:jc w:val="center"/>
              </w:trPr>
              <w:tc>
                <w:tcPr>
                  <w:tcW w:w="524" w:type="dxa"/>
                  <w:tcBorders>
                    <w:tl2br w:val="nil"/>
                    <w:tr2bl w:val="nil"/>
                  </w:tcBorders>
                  <w:vAlign w:val="center"/>
                </w:tcPr>
                <w:p w14:paraId="197B378C">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7</w:t>
                  </w:r>
                </w:p>
              </w:tc>
              <w:tc>
                <w:tcPr>
                  <w:tcW w:w="688" w:type="dxa"/>
                  <w:vMerge w:val="continue"/>
                  <w:tcBorders>
                    <w:tl2br w:val="nil"/>
                    <w:tr2bl w:val="nil"/>
                  </w:tcBorders>
                  <w:vAlign w:val="center"/>
                </w:tcPr>
                <w:p w14:paraId="26F72F1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340" w:type="dxa"/>
                  <w:tcBorders>
                    <w:tl2br w:val="nil"/>
                    <w:tr2bl w:val="nil"/>
                  </w:tcBorders>
                  <w:vAlign w:val="center"/>
                </w:tcPr>
                <w:p w14:paraId="6AAD2E1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废油桶</w:t>
                  </w:r>
                </w:p>
              </w:tc>
              <w:tc>
                <w:tcPr>
                  <w:tcW w:w="1050" w:type="dxa"/>
                  <w:tcBorders>
                    <w:tl2br w:val="nil"/>
                    <w:tr2bl w:val="nil"/>
                  </w:tcBorders>
                  <w:shd w:val="clear" w:color="auto" w:fill="auto"/>
                  <w:vAlign w:val="center"/>
                </w:tcPr>
                <w:p w14:paraId="3B321D3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0.02</w:t>
                  </w:r>
                </w:p>
              </w:tc>
              <w:tc>
                <w:tcPr>
                  <w:tcW w:w="3060" w:type="dxa"/>
                  <w:vMerge w:val="continue"/>
                  <w:tcBorders>
                    <w:tl2br w:val="nil"/>
                    <w:tr2bl w:val="nil"/>
                  </w:tcBorders>
                  <w:shd w:val="clear" w:color="auto" w:fill="auto"/>
                  <w:vAlign w:val="center"/>
                </w:tcPr>
                <w:p w14:paraId="7D9A0F97">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034" w:type="dxa"/>
                  <w:tcBorders>
                    <w:tl2br w:val="nil"/>
                    <w:tr2bl w:val="nil"/>
                  </w:tcBorders>
                  <w:shd w:val="clear" w:color="auto" w:fill="auto"/>
                  <w:vAlign w:val="center"/>
                </w:tcPr>
                <w:p w14:paraId="50A3762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0.02</w:t>
                  </w:r>
                </w:p>
              </w:tc>
            </w:tr>
          </w:tbl>
          <w:p w14:paraId="5957555A">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由上表可知，</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现有工程</w:t>
            </w:r>
            <w:r>
              <w:rPr>
                <w:rFonts w:hint="eastAsia"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固体</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废物处置合理。</w:t>
            </w:r>
          </w:p>
          <w:p w14:paraId="3A796FB8">
            <w:pPr>
              <w:pStyle w:val="87"/>
              <w:widowControl w:val="0"/>
              <w:numPr>
                <w:ilvl w:val="0"/>
                <w:numId w:val="0"/>
              </w:numPr>
              <w:shd w:val="clear"/>
              <w:adjustRightInd w:val="0"/>
              <w:spacing w:line="360" w:lineRule="auto"/>
              <w:ind w:firstLine="422" w:firstLineChars="200"/>
              <w:jc w:val="both"/>
              <w:rPr>
                <w:rFonts w:hint="eastAsia" w:ascii="Times New Roman" w:hAnsi="Times New Roman" w:eastAsia="宋体" w:cs="Times New Roman"/>
                <w:b/>
                <w:bCs/>
                <w:color w:val="000000" w:themeColor="text1"/>
                <w:w w:val="10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w w:val="100"/>
                <w:kern w:val="2"/>
                <w:sz w:val="21"/>
                <w:szCs w:val="21"/>
                <w:highlight w:val="none"/>
                <w:lang w:val="en-US" w:eastAsia="zh-CN" w:bidi="ar-SA"/>
                <w14:textFill>
                  <w14:solidFill>
                    <w14:schemeClr w14:val="tx1"/>
                  </w14:solidFill>
                </w14:textFill>
              </w:rPr>
              <w:t>④噪声</w:t>
            </w:r>
          </w:p>
          <w:p w14:paraId="6D805CB3">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根据唐山市冀唐德普环境检测有限公司出具的监测报告（JTDP自行监测[2023]0053号），企业厂界噪声监测结果如下：</w:t>
            </w:r>
          </w:p>
          <w:p w14:paraId="77D14175">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厂界噪声监测情况表</w:t>
            </w:r>
          </w:p>
          <w:tbl>
            <w:tblPr>
              <w:tblStyle w:val="33"/>
              <w:tblW w:w="7730"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266"/>
              <w:gridCol w:w="1266"/>
              <w:gridCol w:w="1266"/>
              <w:gridCol w:w="1400"/>
              <w:gridCol w:w="1133"/>
              <w:gridCol w:w="1399"/>
            </w:tblGrid>
            <w:tr w14:paraId="406B60A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67" w:hRule="atLeast"/>
                <w:jc w:val="center"/>
              </w:trPr>
              <w:tc>
                <w:tcPr>
                  <w:tcW w:w="1266" w:type="dxa"/>
                  <w:tcBorders>
                    <w:tl2br w:val="nil"/>
                    <w:tr2bl w:val="nil"/>
                  </w:tcBorders>
                  <w:vAlign w:val="center"/>
                </w:tcPr>
                <w:p w14:paraId="79F5ECD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监测点位</w:t>
                  </w:r>
                </w:p>
              </w:tc>
              <w:tc>
                <w:tcPr>
                  <w:tcW w:w="1266" w:type="dxa"/>
                  <w:tcBorders>
                    <w:tl2br w:val="nil"/>
                    <w:tr2bl w:val="nil"/>
                  </w:tcBorders>
                  <w:vAlign w:val="center"/>
                </w:tcPr>
                <w:p w14:paraId="4F26917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测量时段（</w:t>
                  </w: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2023.2.4</w:t>
                  </w: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w:t>
                  </w:r>
                </w:p>
              </w:tc>
              <w:tc>
                <w:tcPr>
                  <w:tcW w:w="1266" w:type="dxa"/>
                  <w:tcBorders>
                    <w:tl2br w:val="nil"/>
                    <w:tr2bl w:val="nil"/>
                  </w:tcBorders>
                  <w:vAlign w:val="center"/>
                </w:tcPr>
                <w:p w14:paraId="60908802">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测量结果（单位：</w:t>
                  </w: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dB（A）</w:t>
                  </w: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w:t>
                  </w:r>
                </w:p>
              </w:tc>
              <w:tc>
                <w:tcPr>
                  <w:tcW w:w="1400" w:type="dxa"/>
                  <w:tcBorders>
                    <w:tl2br w:val="nil"/>
                    <w:tr2bl w:val="nil"/>
                  </w:tcBorders>
                  <w:vAlign w:val="center"/>
                </w:tcPr>
                <w:p w14:paraId="238E3A7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排放限值</w:t>
                  </w: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（单位：</w:t>
                  </w: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dB（A）</w:t>
                  </w: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w:t>
                  </w:r>
                </w:p>
              </w:tc>
              <w:tc>
                <w:tcPr>
                  <w:tcW w:w="1133" w:type="dxa"/>
                  <w:tcBorders>
                    <w:tl2br w:val="nil"/>
                    <w:tr2bl w:val="nil"/>
                  </w:tcBorders>
                  <w:vAlign w:val="center"/>
                </w:tcPr>
                <w:p w14:paraId="1C54269B">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default" w:ascii="Times New Roman" w:hAnsi="Times New Roman" w:cs="Times New Roman"/>
                      <w:b w:val="0"/>
                      <w:bCs/>
                      <w:color w:val="000000" w:themeColor="text1"/>
                      <w:sz w:val="21"/>
                      <w:szCs w:val="21"/>
                      <w:highlight w:val="none"/>
                      <w:vertAlign w:val="baseline"/>
                      <w:lang w:eastAsia="zh-CN"/>
                      <w14:textFill>
                        <w14:solidFill>
                          <w14:schemeClr w14:val="tx1"/>
                        </w14:solidFill>
                      </w14:textFill>
                    </w:rPr>
                    <w:t>达标情况</w:t>
                  </w:r>
                </w:p>
              </w:tc>
              <w:tc>
                <w:tcPr>
                  <w:tcW w:w="1399" w:type="dxa"/>
                  <w:tcBorders>
                    <w:tl2br w:val="nil"/>
                    <w:tr2bl w:val="nil"/>
                  </w:tcBorders>
                  <w:vAlign w:val="center"/>
                </w:tcPr>
                <w:p w14:paraId="66195028">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default" w:ascii="Times New Roman" w:hAnsi="Times New Roman" w:cs="Times New Roman"/>
                      <w:b w:val="0"/>
                      <w:bCs/>
                      <w:color w:val="000000" w:themeColor="text1"/>
                      <w:sz w:val="21"/>
                      <w:szCs w:val="21"/>
                      <w:highlight w:val="none"/>
                      <w:vertAlign w:val="baseline"/>
                      <w:lang w:eastAsia="zh-CN"/>
                      <w14:textFill>
                        <w14:solidFill>
                          <w14:schemeClr w14:val="tx1"/>
                        </w14:solidFill>
                      </w14:textFill>
                    </w:rPr>
                    <w:t>执行标准</w:t>
                  </w:r>
                </w:p>
              </w:tc>
            </w:tr>
            <w:tr w14:paraId="20B17A0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restart"/>
                  <w:tcBorders>
                    <w:tl2br w:val="nil"/>
                    <w:tr2bl w:val="nil"/>
                  </w:tcBorders>
                  <w:vAlign w:val="center"/>
                </w:tcPr>
                <w:p w14:paraId="2142C5B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东厂界</w:t>
                  </w:r>
                </w:p>
              </w:tc>
              <w:tc>
                <w:tcPr>
                  <w:tcW w:w="1266" w:type="dxa"/>
                  <w:tcBorders>
                    <w:tl2br w:val="nil"/>
                    <w:tr2bl w:val="nil"/>
                  </w:tcBorders>
                  <w:vAlign w:val="center"/>
                </w:tcPr>
                <w:p w14:paraId="794EC720">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昼间</w:t>
                  </w:r>
                </w:p>
              </w:tc>
              <w:tc>
                <w:tcPr>
                  <w:tcW w:w="1266" w:type="dxa"/>
                  <w:tcBorders>
                    <w:tl2br w:val="nil"/>
                    <w:tr2bl w:val="nil"/>
                  </w:tcBorders>
                  <w:vAlign w:val="center"/>
                </w:tcPr>
                <w:p w14:paraId="130051D7">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52</w:t>
                  </w:r>
                </w:p>
              </w:tc>
              <w:tc>
                <w:tcPr>
                  <w:tcW w:w="1400" w:type="dxa"/>
                  <w:tcBorders>
                    <w:tl2br w:val="nil"/>
                    <w:tr2bl w:val="nil"/>
                  </w:tcBorders>
                  <w:vAlign w:val="center"/>
                </w:tcPr>
                <w:p w14:paraId="6DDF1CD4">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60</w:t>
                  </w:r>
                </w:p>
              </w:tc>
              <w:tc>
                <w:tcPr>
                  <w:tcW w:w="1133" w:type="dxa"/>
                  <w:tcBorders>
                    <w:tl2br w:val="nil"/>
                    <w:tr2bl w:val="nil"/>
                  </w:tcBorders>
                  <w:vAlign w:val="center"/>
                </w:tcPr>
                <w:p w14:paraId="650253A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达标</w:t>
                  </w:r>
                </w:p>
              </w:tc>
              <w:tc>
                <w:tcPr>
                  <w:tcW w:w="1399" w:type="dxa"/>
                  <w:vMerge w:val="restart"/>
                  <w:tcBorders>
                    <w:tl2br w:val="nil"/>
                    <w:tr2bl w:val="nil"/>
                  </w:tcBorders>
                  <w:vAlign w:val="center"/>
                </w:tcPr>
                <w:p w14:paraId="2C1F71F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default" w:ascii="Times New Roman" w:hAnsi="Times New Roman" w:cs="Times New Roman"/>
                      <w:b w:val="0"/>
                      <w:bCs/>
                      <w:color w:val="000000" w:themeColor="text1"/>
                      <w:sz w:val="21"/>
                      <w:szCs w:val="21"/>
                      <w:highlight w:val="none"/>
                      <w:vertAlign w:val="baseline"/>
                      <w:lang w:eastAsia="zh-CN"/>
                      <w14:textFill>
                        <w14:solidFill>
                          <w14:schemeClr w14:val="tx1"/>
                        </w14:solidFill>
                      </w14:textFill>
                    </w:rPr>
                    <w:t>《</w:t>
                  </w:r>
                  <w:r>
                    <w:rPr>
                      <w:rFonts w:hint="eastAsia" w:cs="Times New Roman"/>
                      <w:b w:val="0"/>
                      <w:bCs/>
                      <w:color w:val="000000" w:themeColor="text1"/>
                      <w:sz w:val="21"/>
                      <w:szCs w:val="21"/>
                      <w:highlight w:val="none"/>
                      <w:vertAlign w:val="baseline"/>
                      <w:lang w:eastAsia="zh-CN"/>
                      <w14:textFill>
                        <w14:solidFill>
                          <w14:schemeClr w14:val="tx1"/>
                        </w14:solidFill>
                      </w14:textFill>
                    </w:rPr>
                    <w:t>工业企业厂界环境噪声排放标准</w:t>
                  </w:r>
                  <w:r>
                    <w:rPr>
                      <w:rFonts w:hint="default" w:ascii="Times New Roman" w:hAnsi="Times New Roman" w:cs="Times New Roman"/>
                      <w:b w:val="0"/>
                      <w:bCs/>
                      <w:color w:val="000000" w:themeColor="text1"/>
                      <w:sz w:val="21"/>
                      <w:szCs w:val="21"/>
                      <w:highlight w:val="none"/>
                      <w:vertAlign w:val="baseline"/>
                      <w:lang w:eastAsia="zh-CN"/>
                      <w14:textFill>
                        <w14:solidFill>
                          <w14:schemeClr w14:val="tx1"/>
                        </w14:solidFill>
                      </w14:textFill>
                    </w:rPr>
                    <w:t>》（</w:t>
                  </w:r>
                  <w:r>
                    <w:rPr>
                      <w:rFonts w:hint="default" w:ascii="Times New Roman" w:hAnsi="Times New Roman" w:cs="Times New Roman"/>
                      <w:b w:val="0"/>
                      <w:bCs/>
                      <w:color w:val="000000" w:themeColor="text1"/>
                      <w:sz w:val="21"/>
                      <w:szCs w:val="21"/>
                      <w:highlight w:val="none"/>
                      <w:vertAlign w:val="baseline"/>
                      <w:lang w:val="en-US" w:eastAsia="zh-CN"/>
                      <w14:textFill>
                        <w14:solidFill>
                          <w14:schemeClr w14:val="tx1"/>
                        </w14:solidFill>
                      </w14:textFill>
                    </w:rPr>
                    <w:t>GB</w:t>
                  </w:r>
                  <w:r>
                    <w:rPr>
                      <w:rFonts w:hint="eastAsia" w:cs="Times New Roman"/>
                      <w:b w:val="0"/>
                      <w:bCs/>
                      <w:color w:val="000000" w:themeColor="text1"/>
                      <w:sz w:val="21"/>
                      <w:szCs w:val="21"/>
                      <w:highlight w:val="none"/>
                      <w:vertAlign w:val="baseline"/>
                      <w:lang w:val="en-US" w:eastAsia="zh-CN"/>
                      <w14:textFill>
                        <w14:solidFill>
                          <w14:schemeClr w14:val="tx1"/>
                        </w14:solidFill>
                      </w14:textFill>
                    </w:rPr>
                    <w:t>12348</w:t>
                  </w:r>
                  <w:r>
                    <w:rPr>
                      <w:rFonts w:hint="default" w:ascii="Times New Roman" w:hAnsi="Times New Roman" w:cs="Times New Roman"/>
                      <w:b w:val="0"/>
                      <w:bCs/>
                      <w:color w:val="000000" w:themeColor="text1"/>
                      <w:sz w:val="21"/>
                      <w:szCs w:val="21"/>
                      <w:highlight w:val="none"/>
                      <w:vertAlign w:val="baseline"/>
                      <w:lang w:val="en-US" w:eastAsia="zh-CN"/>
                      <w14:textFill>
                        <w14:solidFill>
                          <w14:schemeClr w14:val="tx1"/>
                        </w14:solidFill>
                      </w14:textFill>
                    </w:rPr>
                    <w:t>-2008</w:t>
                  </w:r>
                  <w:r>
                    <w:rPr>
                      <w:rFonts w:hint="default" w:ascii="Times New Roman" w:hAnsi="Times New Roman" w:cs="Times New Roman"/>
                      <w:b w:val="0"/>
                      <w:bCs/>
                      <w:color w:val="000000" w:themeColor="text1"/>
                      <w:sz w:val="21"/>
                      <w:szCs w:val="21"/>
                      <w:highlight w:val="none"/>
                      <w:vertAlign w:val="baseline"/>
                      <w:lang w:eastAsia="zh-CN"/>
                      <w14:textFill>
                        <w14:solidFill>
                          <w14:schemeClr w14:val="tx1"/>
                        </w14:solidFill>
                      </w14:textFill>
                    </w:rPr>
                    <w:t>）</w:t>
                  </w:r>
                  <w:r>
                    <w:rPr>
                      <w:rFonts w:hint="eastAsia" w:ascii="Times New Roman" w:hAnsi="Times New Roman" w:cs="Times New Roman"/>
                      <w:b w:val="0"/>
                      <w:bCs/>
                      <w:color w:val="000000" w:themeColor="text1"/>
                      <w:sz w:val="21"/>
                      <w:szCs w:val="21"/>
                      <w:highlight w:val="none"/>
                      <w:vertAlign w:val="baseline"/>
                      <w:lang w:val="en-US" w:eastAsia="zh-CN"/>
                      <w14:textFill>
                        <w14:solidFill>
                          <w14:schemeClr w14:val="tx1"/>
                        </w14:solidFill>
                      </w14:textFill>
                    </w:rPr>
                    <w:t>2</w:t>
                  </w:r>
                  <w:r>
                    <w:rPr>
                      <w:rFonts w:hint="default" w:ascii="Times New Roman" w:hAnsi="Times New Roman" w:cs="Times New Roman"/>
                      <w:b w:val="0"/>
                      <w:bCs/>
                      <w:color w:val="000000" w:themeColor="text1"/>
                      <w:sz w:val="21"/>
                      <w:szCs w:val="21"/>
                      <w:highlight w:val="none"/>
                      <w:vertAlign w:val="baseline"/>
                      <w:lang w:val="en-US" w:eastAsia="zh-CN"/>
                      <w14:textFill>
                        <w14:solidFill>
                          <w14:schemeClr w14:val="tx1"/>
                        </w14:solidFill>
                      </w14:textFill>
                    </w:rPr>
                    <w:t>类标准</w:t>
                  </w:r>
                </w:p>
              </w:tc>
            </w:tr>
            <w:tr w14:paraId="40DE3EF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continue"/>
                  <w:tcBorders>
                    <w:tl2br w:val="nil"/>
                    <w:tr2bl w:val="nil"/>
                  </w:tcBorders>
                  <w:vAlign w:val="center"/>
                </w:tcPr>
                <w:p w14:paraId="2CAF75E0">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c>
                <w:tcPr>
                  <w:tcW w:w="1266" w:type="dxa"/>
                  <w:tcBorders>
                    <w:tl2br w:val="nil"/>
                    <w:tr2bl w:val="nil"/>
                  </w:tcBorders>
                  <w:vAlign w:val="center"/>
                </w:tcPr>
                <w:p w14:paraId="1E390AD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夜间</w:t>
                  </w:r>
                </w:p>
              </w:tc>
              <w:tc>
                <w:tcPr>
                  <w:tcW w:w="1266" w:type="dxa"/>
                  <w:tcBorders>
                    <w:tl2br w:val="nil"/>
                    <w:tr2bl w:val="nil"/>
                  </w:tcBorders>
                  <w:vAlign w:val="center"/>
                </w:tcPr>
                <w:p w14:paraId="477ACCC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46</w:t>
                  </w:r>
                </w:p>
              </w:tc>
              <w:tc>
                <w:tcPr>
                  <w:tcW w:w="1400" w:type="dxa"/>
                  <w:tcBorders>
                    <w:tl2br w:val="nil"/>
                    <w:tr2bl w:val="nil"/>
                  </w:tcBorders>
                  <w:vAlign w:val="center"/>
                </w:tcPr>
                <w:p w14:paraId="14EECCC8">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50</w:t>
                  </w:r>
                </w:p>
              </w:tc>
              <w:tc>
                <w:tcPr>
                  <w:tcW w:w="1133" w:type="dxa"/>
                  <w:tcBorders>
                    <w:tl2br w:val="nil"/>
                    <w:tr2bl w:val="nil"/>
                  </w:tcBorders>
                  <w:vAlign w:val="center"/>
                </w:tcPr>
                <w:p w14:paraId="113F525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达标</w:t>
                  </w:r>
                </w:p>
              </w:tc>
              <w:tc>
                <w:tcPr>
                  <w:tcW w:w="1399" w:type="dxa"/>
                  <w:vMerge w:val="continue"/>
                  <w:tcBorders>
                    <w:tl2br w:val="nil"/>
                    <w:tr2bl w:val="nil"/>
                  </w:tcBorders>
                  <w:vAlign w:val="center"/>
                </w:tcPr>
                <w:p w14:paraId="326A249E">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r>
            <w:tr w14:paraId="64E1B55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restart"/>
                  <w:tcBorders>
                    <w:tl2br w:val="nil"/>
                    <w:tr2bl w:val="nil"/>
                  </w:tcBorders>
                  <w:vAlign w:val="center"/>
                </w:tcPr>
                <w:p w14:paraId="2BA4FFB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南厂界</w:t>
                  </w:r>
                </w:p>
              </w:tc>
              <w:tc>
                <w:tcPr>
                  <w:tcW w:w="1266" w:type="dxa"/>
                  <w:tcBorders>
                    <w:tl2br w:val="nil"/>
                    <w:tr2bl w:val="nil"/>
                  </w:tcBorders>
                  <w:vAlign w:val="center"/>
                </w:tcPr>
                <w:p w14:paraId="33CC78C7">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昼间</w:t>
                  </w:r>
                </w:p>
              </w:tc>
              <w:tc>
                <w:tcPr>
                  <w:tcW w:w="1266" w:type="dxa"/>
                  <w:tcBorders>
                    <w:tl2br w:val="nil"/>
                    <w:tr2bl w:val="nil"/>
                  </w:tcBorders>
                  <w:vAlign w:val="center"/>
                </w:tcPr>
                <w:p w14:paraId="791AE52D">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53</w:t>
                  </w:r>
                </w:p>
              </w:tc>
              <w:tc>
                <w:tcPr>
                  <w:tcW w:w="1400" w:type="dxa"/>
                  <w:tcBorders>
                    <w:tl2br w:val="nil"/>
                    <w:tr2bl w:val="nil"/>
                  </w:tcBorders>
                  <w:vAlign w:val="center"/>
                </w:tcPr>
                <w:p w14:paraId="618F95E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60</w:t>
                  </w:r>
                </w:p>
              </w:tc>
              <w:tc>
                <w:tcPr>
                  <w:tcW w:w="1133" w:type="dxa"/>
                  <w:tcBorders>
                    <w:tl2br w:val="nil"/>
                    <w:tr2bl w:val="nil"/>
                  </w:tcBorders>
                  <w:vAlign w:val="center"/>
                </w:tcPr>
                <w:p w14:paraId="27680DC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达标</w:t>
                  </w:r>
                </w:p>
              </w:tc>
              <w:tc>
                <w:tcPr>
                  <w:tcW w:w="1399" w:type="dxa"/>
                  <w:vMerge w:val="continue"/>
                  <w:tcBorders>
                    <w:tl2br w:val="nil"/>
                    <w:tr2bl w:val="nil"/>
                  </w:tcBorders>
                  <w:vAlign w:val="center"/>
                </w:tcPr>
                <w:p w14:paraId="2120C7C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r>
            <w:tr w14:paraId="51923C4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continue"/>
                  <w:tcBorders>
                    <w:tl2br w:val="nil"/>
                    <w:tr2bl w:val="nil"/>
                  </w:tcBorders>
                  <w:vAlign w:val="center"/>
                </w:tcPr>
                <w:p w14:paraId="603034D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c>
                <w:tcPr>
                  <w:tcW w:w="1266" w:type="dxa"/>
                  <w:tcBorders>
                    <w:tl2br w:val="nil"/>
                    <w:tr2bl w:val="nil"/>
                  </w:tcBorders>
                  <w:vAlign w:val="center"/>
                </w:tcPr>
                <w:p w14:paraId="79E4D9E5">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夜间</w:t>
                  </w:r>
                </w:p>
              </w:tc>
              <w:tc>
                <w:tcPr>
                  <w:tcW w:w="1266" w:type="dxa"/>
                  <w:tcBorders>
                    <w:tl2br w:val="nil"/>
                    <w:tr2bl w:val="nil"/>
                  </w:tcBorders>
                  <w:vAlign w:val="center"/>
                </w:tcPr>
                <w:p w14:paraId="401A8AC2">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47</w:t>
                  </w:r>
                </w:p>
              </w:tc>
              <w:tc>
                <w:tcPr>
                  <w:tcW w:w="1400" w:type="dxa"/>
                  <w:tcBorders>
                    <w:tl2br w:val="nil"/>
                    <w:tr2bl w:val="nil"/>
                  </w:tcBorders>
                  <w:vAlign w:val="center"/>
                </w:tcPr>
                <w:p w14:paraId="650C41A8">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50</w:t>
                  </w:r>
                </w:p>
              </w:tc>
              <w:tc>
                <w:tcPr>
                  <w:tcW w:w="1133" w:type="dxa"/>
                  <w:tcBorders>
                    <w:tl2br w:val="nil"/>
                    <w:tr2bl w:val="nil"/>
                  </w:tcBorders>
                  <w:vAlign w:val="center"/>
                </w:tcPr>
                <w:p w14:paraId="5883BB2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达标</w:t>
                  </w:r>
                </w:p>
              </w:tc>
              <w:tc>
                <w:tcPr>
                  <w:tcW w:w="1399" w:type="dxa"/>
                  <w:vMerge w:val="continue"/>
                  <w:tcBorders>
                    <w:tl2br w:val="nil"/>
                    <w:tr2bl w:val="nil"/>
                  </w:tcBorders>
                  <w:vAlign w:val="center"/>
                </w:tcPr>
                <w:p w14:paraId="4365E5E7">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r>
            <w:tr w14:paraId="424DC4B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restart"/>
                  <w:tcBorders>
                    <w:tl2br w:val="nil"/>
                    <w:tr2bl w:val="nil"/>
                  </w:tcBorders>
                  <w:vAlign w:val="center"/>
                </w:tcPr>
                <w:p w14:paraId="2657E034">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西厂界</w:t>
                  </w:r>
                </w:p>
              </w:tc>
              <w:tc>
                <w:tcPr>
                  <w:tcW w:w="1266" w:type="dxa"/>
                  <w:tcBorders>
                    <w:tl2br w:val="nil"/>
                    <w:tr2bl w:val="nil"/>
                  </w:tcBorders>
                  <w:vAlign w:val="center"/>
                </w:tcPr>
                <w:p w14:paraId="3BD15A3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昼间</w:t>
                  </w:r>
                </w:p>
              </w:tc>
              <w:tc>
                <w:tcPr>
                  <w:tcW w:w="1266" w:type="dxa"/>
                  <w:tcBorders>
                    <w:tl2br w:val="nil"/>
                    <w:tr2bl w:val="nil"/>
                  </w:tcBorders>
                  <w:vAlign w:val="center"/>
                </w:tcPr>
                <w:p w14:paraId="52447233">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54</w:t>
                  </w:r>
                </w:p>
              </w:tc>
              <w:tc>
                <w:tcPr>
                  <w:tcW w:w="1400" w:type="dxa"/>
                  <w:tcBorders>
                    <w:tl2br w:val="nil"/>
                    <w:tr2bl w:val="nil"/>
                  </w:tcBorders>
                  <w:vAlign w:val="center"/>
                </w:tcPr>
                <w:p w14:paraId="7F7888CA">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60</w:t>
                  </w:r>
                </w:p>
              </w:tc>
              <w:tc>
                <w:tcPr>
                  <w:tcW w:w="1133" w:type="dxa"/>
                  <w:tcBorders>
                    <w:tl2br w:val="nil"/>
                    <w:tr2bl w:val="nil"/>
                  </w:tcBorders>
                  <w:vAlign w:val="center"/>
                </w:tcPr>
                <w:p w14:paraId="2563128A">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达标</w:t>
                  </w:r>
                </w:p>
              </w:tc>
              <w:tc>
                <w:tcPr>
                  <w:tcW w:w="1399" w:type="dxa"/>
                  <w:vMerge w:val="continue"/>
                  <w:tcBorders>
                    <w:tl2br w:val="nil"/>
                    <w:tr2bl w:val="nil"/>
                  </w:tcBorders>
                  <w:vAlign w:val="center"/>
                </w:tcPr>
                <w:p w14:paraId="37F68ABE">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r>
            <w:tr w14:paraId="5B3E414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continue"/>
                  <w:tcBorders>
                    <w:tl2br w:val="nil"/>
                    <w:tr2bl w:val="nil"/>
                  </w:tcBorders>
                  <w:vAlign w:val="center"/>
                </w:tcPr>
                <w:p w14:paraId="2C5D5879">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c>
                <w:tcPr>
                  <w:tcW w:w="1266" w:type="dxa"/>
                  <w:tcBorders>
                    <w:tl2br w:val="nil"/>
                    <w:tr2bl w:val="nil"/>
                  </w:tcBorders>
                  <w:vAlign w:val="center"/>
                </w:tcPr>
                <w:p w14:paraId="7A049356">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夜间</w:t>
                  </w:r>
                </w:p>
              </w:tc>
              <w:tc>
                <w:tcPr>
                  <w:tcW w:w="1266" w:type="dxa"/>
                  <w:tcBorders>
                    <w:tl2br w:val="nil"/>
                    <w:tr2bl w:val="nil"/>
                  </w:tcBorders>
                  <w:vAlign w:val="center"/>
                </w:tcPr>
                <w:p w14:paraId="0D111787">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47</w:t>
                  </w:r>
                </w:p>
              </w:tc>
              <w:tc>
                <w:tcPr>
                  <w:tcW w:w="1400" w:type="dxa"/>
                  <w:tcBorders>
                    <w:tl2br w:val="nil"/>
                    <w:tr2bl w:val="nil"/>
                  </w:tcBorders>
                  <w:vAlign w:val="center"/>
                </w:tcPr>
                <w:p w14:paraId="259CB00D">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50</w:t>
                  </w:r>
                </w:p>
              </w:tc>
              <w:tc>
                <w:tcPr>
                  <w:tcW w:w="1133" w:type="dxa"/>
                  <w:tcBorders>
                    <w:tl2br w:val="nil"/>
                    <w:tr2bl w:val="nil"/>
                  </w:tcBorders>
                  <w:vAlign w:val="center"/>
                </w:tcPr>
                <w:p w14:paraId="3F9B9450">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达标</w:t>
                  </w:r>
                </w:p>
              </w:tc>
              <w:tc>
                <w:tcPr>
                  <w:tcW w:w="1399" w:type="dxa"/>
                  <w:vMerge w:val="continue"/>
                  <w:tcBorders>
                    <w:tl2br w:val="nil"/>
                    <w:tr2bl w:val="nil"/>
                  </w:tcBorders>
                  <w:vAlign w:val="center"/>
                </w:tcPr>
                <w:p w14:paraId="2BDDB3A2">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r>
            <w:tr w14:paraId="0D7DBAE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5" w:hRule="atLeast"/>
                <w:jc w:val="center"/>
              </w:trPr>
              <w:tc>
                <w:tcPr>
                  <w:tcW w:w="1266" w:type="dxa"/>
                  <w:vMerge w:val="restart"/>
                  <w:tcBorders>
                    <w:tl2br w:val="nil"/>
                    <w:tr2bl w:val="nil"/>
                  </w:tcBorders>
                  <w:vAlign w:val="center"/>
                </w:tcPr>
                <w:p w14:paraId="4A923408">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eastAsia" w:ascii="Times New Roman" w:hAnsi="Times New Roman" w:eastAsia="宋体" w:cs="Times New Roman"/>
                      <w:b w:val="0"/>
                      <w:bCs/>
                      <w:snapToGrid w:val="0"/>
                      <w:color w:val="000000" w:themeColor="text1"/>
                      <w:kern w:val="0"/>
                      <w:sz w:val="21"/>
                      <w:szCs w:val="21"/>
                      <w:highlight w:val="none"/>
                      <w:vertAlign w:val="baseline"/>
                      <w:lang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北厂界</w:t>
                  </w:r>
                </w:p>
              </w:tc>
              <w:tc>
                <w:tcPr>
                  <w:tcW w:w="1266" w:type="dxa"/>
                  <w:tcBorders>
                    <w:tl2br w:val="nil"/>
                    <w:tr2bl w:val="nil"/>
                  </w:tcBorders>
                  <w:vAlign w:val="center"/>
                </w:tcPr>
                <w:p w14:paraId="6ED1E79F">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昼间</w:t>
                  </w:r>
                </w:p>
              </w:tc>
              <w:tc>
                <w:tcPr>
                  <w:tcW w:w="1266" w:type="dxa"/>
                  <w:tcBorders>
                    <w:tl2br w:val="nil"/>
                    <w:tr2bl w:val="nil"/>
                  </w:tcBorders>
                  <w:vAlign w:val="center"/>
                </w:tcPr>
                <w:p w14:paraId="3F3B887F">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53</w:t>
                  </w:r>
                </w:p>
              </w:tc>
              <w:tc>
                <w:tcPr>
                  <w:tcW w:w="1400" w:type="dxa"/>
                  <w:tcBorders>
                    <w:tl2br w:val="nil"/>
                    <w:tr2bl w:val="nil"/>
                  </w:tcBorders>
                  <w:vAlign w:val="center"/>
                </w:tcPr>
                <w:p w14:paraId="7DFB4341">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60</w:t>
                  </w:r>
                </w:p>
              </w:tc>
              <w:tc>
                <w:tcPr>
                  <w:tcW w:w="1133" w:type="dxa"/>
                  <w:tcBorders>
                    <w:tl2br w:val="nil"/>
                    <w:tr2bl w:val="nil"/>
                  </w:tcBorders>
                  <w:vAlign w:val="center"/>
                </w:tcPr>
                <w:p w14:paraId="4351AEFC">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达标</w:t>
                  </w:r>
                </w:p>
              </w:tc>
              <w:tc>
                <w:tcPr>
                  <w:tcW w:w="1399" w:type="dxa"/>
                  <w:vMerge w:val="continue"/>
                  <w:tcBorders>
                    <w:tl2br w:val="nil"/>
                    <w:tr2bl w:val="nil"/>
                  </w:tcBorders>
                  <w:vAlign w:val="center"/>
                </w:tcPr>
                <w:p w14:paraId="700043FE">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r>
            <w:tr w14:paraId="5DE8729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06" w:hRule="atLeast"/>
                <w:jc w:val="center"/>
              </w:trPr>
              <w:tc>
                <w:tcPr>
                  <w:tcW w:w="1266" w:type="dxa"/>
                  <w:vMerge w:val="continue"/>
                  <w:tcBorders>
                    <w:tl2br w:val="nil"/>
                    <w:tr2bl w:val="nil"/>
                  </w:tcBorders>
                  <w:vAlign w:val="center"/>
                </w:tcPr>
                <w:p w14:paraId="2C135603">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c>
                <w:tcPr>
                  <w:tcW w:w="1266" w:type="dxa"/>
                  <w:tcBorders>
                    <w:tl2br w:val="nil"/>
                    <w:tr2bl w:val="nil"/>
                  </w:tcBorders>
                  <w:vAlign w:val="center"/>
                </w:tcPr>
                <w:p w14:paraId="0F7B367F">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夜间</w:t>
                  </w:r>
                </w:p>
              </w:tc>
              <w:tc>
                <w:tcPr>
                  <w:tcW w:w="1266" w:type="dxa"/>
                  <w:tcBorders>
                    <w:tl2br w:val="nil"/>
                    <w:tr2bl w:val="nil"/>
                  </w:tcBorders>
                  <w:vAlign w:val="center"/>
                </w:tcPr>
                <w:p w14:paraId="04F51EB8">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46</w:t>
                  </w:r>
                </w:p>
              </w:tc>
              <w:tc>
                <w:tcPr>
                  <w:tcW w:w="1400" w:type="dxa"/>
                  <w:tcBorders>
                    <w:tl2br w:val="nil"/>
                    <w:tr2bl w:val="nil"/>
                  </w:tcBorders>
                  <w:vAlign w:val="center"/>
                </w:tcPr>
                <w:p w14:paraId="30435C72">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val="en-US" w:eastAsia="zh-CN"/>
                      <w14:textFill>
                        <w14:solidFill>
                          <w14:schemeClr w14:val="tx1"/>
                        </w14:solidFill>
                      </w14:textFill>
                    </w:rPr>
                    <w:t>50</w:t>
                  </w:r>
                </w:p>
              </w:tc>
              <w:tc>
                <w:tcPr>
                  <w:tcW w:w="1133" w:type="dxa"/>
                  <w:tcBorders>
                    <w:tl2br w:val="nil"/>
                    <w:tr2bl w:val="nil"/>
                  </w:tcBorders>
                  <w:vAlign w:val="center"/>
                </w:tcPr>
                <w:p w14:paraId="296F91E5">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达标</w:t>
                  </w:r>
                </w:p>
              </w:tc>
              <w:tc>
                <w:tcPr>
                  <w:tcW w:w="1399" w:type="dxa"/>
                  <w:vMerge w:val="continue"/>
                  <w:tcBorders>
                    <w:tl2br w:val="nil"/>
                    <w:tr2bl w:val="nil"/>
                  </w:tcBorders>
                  <w:vAlign w:val="center"/>
                </w:tcPr>
                <w:p w14:paraId="03C98961">
                  <w:pPr>
                    <w:keepNext w:val="0"/>
                    <w:keepLines w:val="0"/>
                    <w:pageBreakBefore w:val="0"/>
                    <w:widowControl w:val="0"/>
                    <w:shd w:val="clear"/>
                    <w:kinsoku/>
                    <w:wordWrap/>
                    <w:overflowPunct/>
                    <w:topLinePunct w:val="0"/>
                    <w:autoSpaceDE/>
                    <w:autoSpaceDN/>
                    <w:bidi w:val="0"/>
                    <w:adjustRightInd/>
                    <w:snapToGrid/>
                    <w:spacing w:line="0" w:lineRule="atLeast"/>
                    <w:ind w:leftChars="0" w:rightChars="0" w:firstLine="0" w:firstLineChars="0"/>
                    <w:jc w:val="center"/>
                    <w:textAlignment w:val="auto"/>
                    <w:rPr>
                      <w:rFonts w:hint="default" w:ascii="Times New Roman" w:hAnsi="Times New Roman" w:eastAsia="宋体" w:cs="Times New Roman"/>
                      <w:b w:val="0"/>
                      <w:bCs/>
                      <w:snapToGrid w:val="0"/>
                      <w:color w:val="000000" w:themeColor="text1"/>
                      <w:kern w:val="0"/>
                      <w:sz w:val="21"/>
                      <w:szCs w:val="21"/>
                      <w:highlight w:val="none"/>
                      <w:vertAlign w:val="baseline"/>
                      <w14:textFill>
                        <w14:solidFill>
                          <w14:schemeClr w14:val="tx1"/>
                        </w14:solidFill>
                      </w14:textFill>
                    </w:rPr>
                  </w:pPr>
                </w:p>
              </w:tc>
            </w:tr>
          </w:tbl>
          <w:p w14:paraId="1F4E7E51">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eastAsia="宋体" w:cs="Times New Roman"/>
                <w:color w:val="000000" w:themeColor="text1"/>
                <w:w w:val="100"/>
                <w:kern w:val="2"/>
                <w:sz w:val="24"/>
                <w:szCs w:val="24"/>
                <w:highlight w:val="none"/>
                <w:lang w:val="en-US" w:eastAsia="zh-CN" w:bidi="ar-SA"/>
                <w14:textFill>
                  <w14:solidFill>
                    <w14:schemeClr w14:val="tx1"/>
                  </w14:solidFill>
                </w14:textFill>
              </w:rPr>
              <w:t>由上表可知</w:t>
            </w:r>
            <w:r>
              <w:rPr>
                <w:rFonts w:hint="default" w:ascii="Times New Roman" w:hAnsi="Times New Roman" w:eastAsia="宋体" w:cs="Times New Roman"/>
                <w:color w:val="000000" w:themeColor="text1"/>
                <w:w w:val="100"/>
                <w:kern w:val="2"/>
                <w:sz w:val="24"/>
                <w:szCs w:val="24"/>
                <w:highlight w:val="none"/>
                <w:lang w:val="en-US" w:eastAsia="zh-CN" w:bidi="ar-SA"/>
                <w14:textFill>
                  <w14:solidFill>
                    <w14:schemeClr w14:val="tx1"/>
                  </w14:solidFill>
                </w14:textFill>
              </w:rPr>
              <w:t>，企业厂界噪声满足</w:t>
            </w:r>
            <w:r>
              <w:rPr>
                <w:rFonts w:hint="default" w:ascii="Times New Roman" w:hAnsi="Times New Roman" w:eastAsia="宋体" w:cs="Times New Roman"/>
                <w:color w:val="000000" w:themeColor="text1"/>
                <w:w w:val="100"/>
                <w:kern w:val="2"/>
                <w:sz w:val="24"/>
                <w:szCs w:val="24"/>
                <w:highlight w:val="none"/>
                <w:lang w:val="zh-CN" w:eastAsia="zh-CN" w:bidi="ar-SA"/>
                <w14:textFill>
                  <w14:solidFill>
                    <w14:schemeClr w14:val="tx1"/>
                  </w14:solidFill>
                </w14:textFill>
              </w:rPr>
              <w:t>《</w:t>
            </w:r>
            <w:r>
              <w:rPr>
                <w:rFonts w:hint="eastAsia" w:cs="Times New Roman"/>
                <w:color w:val="000000" w:themeColor="text1"/>
                <w:w w:val="100"/>
                <w:kern w:val="2"/>
                <w:sz w:val="24"/>
                <w:szCs w:val="24"/>
                <w:highlight w:val="none"/>
                <w:lang w:val="zh-CN" w:eastAsia="zh-CN" w:bidi="ar-SA"/>
                <w14:textFill>
                  <w14:solidFill>
                    <w14:schemeClr w14:val="tx1"/>
                  </w14:solidFill>
                </w14:textFill>
              </w:rPr>
              <w:t>工业企业厂界环境噪声排放标准</w:t>
            </w:r>
            <w:r>
              <w:rPr>
                <w:rFonts w:hint="default" w:ascii="Times New Roman" w:hAnsi="Times New Roman" w:eastAsia="宋体" w:cs="Times New Roman"/>
                <w:color w:val="000000" w:themeColor="text1"/>
                <w:w w:val="100"/>
                <w:kern w:val="2"/>
                <w:sz w:val="24"/>
                <w:szCs w:val="24"/>
                <w:highlight w:val="none"/>
                <w:lang w:val="zh-CN" w:eastAsia="zh-CN" w:bidi="ar-SA"/>
                <w14:textFill>
                  <w14:solidFill>
                    <w14:schemeClr w14:val="tx1"/>
                  </w14:solidFill>
                </w14:textFill>
              </w:rPr>
              <w:t>》</w:t>
            </w:r>
            <w:r>
              <w:rPr>
                <w:rFonts w:hint="eastAsia" w:cs="Times New Roman"/>
                <w:color w:val="000000" w:themeColor="text1"/>
                <w:w w:val="100"/>
                <w:kern w:val="2"/>
                <w:sz w:val="24"/>
                <w:szCs w:val="24"/>
                <w:highlight w:val="none"/>
                <w:lang w:val="zh-CN" w:eastAsia="zh-CN" w:bidi="ar-SA"/>
                <w14:textFill>
                  <w14:solidFill>
                    <w14:schemeClr w14:val="tx1"/>
                  </w14:solidFill>
                </w14:textFill>
              </w:rPr>
              <w:t>（</w:t>
            </w:r>
            <w:r>
              <w:rPr>
                <w:rFonts w:hint="default" w:ascii="Times New Roman" w:hAnsi="Times New Roman" w:eastAsia="宋体" w:cs="Times New Roman"/>
                <w:color w:val="000000" w:themeColor="text1"/>
                <w:w w:val="100"/>
                <w:kern w:val="2"/>
                <w:sz w:val="24"/>
                <w:szCs w:val="24"/>
                <w:highlight w:val="none"/>
                <w:lang w:val="zh-CN" w:eastAsia="zh-CN" w:bidi="ar-SA"/>
                <w14:textFill>
                  <w14:solidFill>
                    <w14:schemeClr w14:val="tx1"/>
                  </w14:solidFill>
                </w14:textFill>
              </w:rPr>
              <w:t>GB</w:t>
            </w:r>
            <w:r>
              <w:rPr>
                <w:rFonts w:hint="eastAsia" w:cs="Times New Roman"/>
                <w:color w:val="000000" w:themeColor="text1"/>
                <w:w w:val="100"/>
                <w:kern w:val="2"/>
                <w:sz w:val="24"/>
                <w:szCs w:val="24"/>
                <w:highlight w:val="none"/>
                <w:lang w:val="zh-CN" w:eastAsia="zh-CN" w:bidi="ar-SA"/>
                <w14:textFill>
                  <w14:solidFill>
                    <w14:schemeClr w14:val="tx1"/>
                  </w14:solidFill>
                </w14:textFill>
              </w:rPr>
              <w:t>12348</w:t>
            </w:r>
            <w:r>
              <w:rPr>
                <w:rFonts w:hint="default" w:ascii="Times New Roman" w:hAnsi="Times New Roman" w:eastAsia="宋体" w:cs="Times New Roman"/>
                <w:color w:val="000000" w:themeColor="text1"/>
                <w:w w:val="100"/>
                <w:kern w:val="2"/>
                <w:sz w:val="24"/>
                <w:szCs w:val="24"/>
                <w:highlight w:val="none"/>
                <w:lang w:val="zh-CN" w:eastAsia="zh-CN" w:bidi="ar-SA"/>
                <w14:textFill>
                  <w14:solidFill>
                    <w14:schemeClr w14:val="tx1"/>
                  </w14:solidFill>
                </w14:textFill>
              </w:rPr>
              <w:t>-2008</w:t>
            </w:r>
            <w:r>
              <w:rPr>
                <w:rFonts w:hint="eastAsia" w:cs="Times New Roman"/>
                <w:color w:val="000000" w:themeColor="text1"/>
                <w:w w:val="100"/>
                <w:kern w:val="2"/>
                <w:sz w:val="24"/>
                <w:szCs w:val="24"/>
                <w:highlight w:val="none"/>
                <w:lang w:val="zh-CN" w:eastAsia="zh-CN" w:bidi="ar-SA"/>
                <w14:textFill>
                  <w14:solidFill>
                    <w14:schemeClr w14:val="tx1"/>
                  </w14:solidFill>
                </w14:textFill>
              </w:rPr>
              <w:t>）</w:t>
            </w:r>
            <w:r>
              <w:rPr>
                <w:rFonts w:hint="default" w:ascii="Times New Roman" w:hAnsi="Times New Roman" w:eastAsia="宋体" w:cs="Times New Roman"/>
                <w:color w:val="000000" w:themeColor="text1"/>
                <w:w w:val="100"/>
                <w:kern w:val="2"/>
                <w:sz w:val="24"/>
                <w:szCs w:val="24"/>
                <w:highlight w:val="none"/>
                <w:lang w:val="en-US" w:eastAsia="zh-CN" w:bidi="ar-SA"/>
                <w14:textFill>
                  <w14:solidFill>
                    <w14:schemeClr w14:val="tx1"/>
                  </w14:solidFill>
                </w14:textFill>
              </w:rPr>
              <w:t>中</w:t>
            </w:r>
            <w:r>
              <w:rPr>
                <w:rFonts w:hint="eastAsia" w:ascii="Times New Roman" w:hAnsi="Times New Roman" w:cs="Times New Roman"/>
                <w:color w:val="000000" w:themeColor="text1"/>
                <w:w w:val="100"/>
                <w:kern w:val="2"/>
                <w:sz w:val="24"/>
                <w:szCs w:val="24"/>
                <w:highlight w:val="none"/>
                <w:lang w:val="en-US" w:eastAsia="zh-CN" w:bidi="ar-SA"/>
                <w14:textFill>
                  <w14:solidFill>
                    <w14:schemeClr w14:val="tx1"/>
                  </w14:solidFill>
                </w14:textFill>
              </w:rPr>
              <w:t>2</w:t>
            </w:r>
            <w:r>
              <w:rPr>
                <w:rFonts w:hint="default" w:ascii="Times New Roman" w:hAnsi="Times New Roman" w:eastAsia="宋体" w:cs="Times New Roman"/>
                <w:color w:val="000000" w:themeColor="text1"/>
                <w:w w:val="100"/>
                <w:kern w:val="2"/>
                <w:sz w:val="24"/>
                <w:szCs w:val="24"/>
                <w:highlight w:val="none"/>
                <w:lang w:val="en-US" w:eastAsia="zh-CN" w:bidi="ar-SA"/>
                <w14:textFill>
                  <w14:solidFill>
                    <w14:schemeClr w14:val="tx1"/>
                  </w14:solidFill>
                </w14:textFill>
              </w:rPr>
              <w:t>类标准要求。</w:t>
            </w:r>
          </w:p>
          <w:p w14:paraId="0F201602">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pPr>
            <w:r>
              <w:rPr>
                <w:rFonts w:hint="eastAsia" w:cs="Times New Roman"/>
                <w:b/>
                <w:bCs/>
                <w:color w:val="000000" w:themeColor="text1"/>
                <w:w w:val="100"/>
                <w:kern w:val="2"/>
                <w:sz w:val="24"/>
                <w:szCs w:val="24"/>
                <w:highlight w:val="none"/>
                <w:lang w:val="en-US" w:eastAsia="zh-CN" w:bidi="ar-SA"/>
                <w14:textFill>
                  <w14:solidFill>
                    <w14:schemeClr w14:val="tx1"/>
                  </w14:solidFill>
                </w14:textFill>
              </w:rPr>
              <w:t>3</w:t>
            </w:r>
            <w:r>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t>、现有工程污染物排放量</w:t>
            </w:r>
          </w:p>
          <w:p w14:paraId="2692C303">
            <w:pPr>
              <w:pStyle w:val="87"/>
              <w:widowControl w:val="0"/>
              <w:numPr>
                <w:ilvl w:val="0"/>
                <w:numId w:val="0"/>
              </w:numPr>
              <w:shd w:val="clear"/>
              <w:adjustRightInd w:val="0"/>
              <w:spacing w:line="360" w:lineRule="auto"/>
              <w:ind w:firstLine="480" w:firstLineChars="200"/>
              <w:jc w:val="both"/>
              <w:rPr>
                <w:rFonts w:hint="eastAsia"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企业排放的污染物主要为颗粒物，根据企业监测报告，计算现有工程有组织排放量为：</w:t>
            </w:r>
          </w:p>
          <w:p w14:paraId="5E219E65">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0.103kg/h×</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3000</w:t>
            </w:r>
            <w:r>
              <w:rPr>
                <w:rFonts w:hint="eastAsia"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h/a÷80%×10</w:t>
            </w:r>
            <w:r>
              <w:rPr>
                <w:rFonts w:hint="eastAsia" w:ascii="Times New Roman" w:hAnsi="Times New Roman"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-3</w:t>
            </w:r>
            <w:r>
              <w:rPr>
                <w:rFonts w:hint="eastAsia"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=0.</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386</w:t>
            </w:r>
            <w:r>
              <w:rPr>
                <w:rFonts w:hint="eastAsia"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t/a</w:t>
            </w:r>
          </w:p>
          <w:p w14:paraId="3CACC3DE">
            <w:pPr>
              <w:pStyle w:val="87"/>
              <w:widowControl w:val="0"/>
              <w:numPr>
                <w:ilvl w:val="0"/>
                <w:numId w:val="0"/>
              </w:numPr>
              <w:shd w:val="clear"/>
              <w:adjustRightInd w:val="0"/>
              <w:spacing w:line="360" w:lineRule="auto"/>
              <w:ind w:firstLine="480" w:firstLineChars="200"/>
              <w:jc w:val="both"/>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备注：计算公式为污染物排放速率×年排放时间÷生产工况系数，其中污染物排放速率选取监测报告中最大值。</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企业现有工程破碎工序年工作时间为3000h。</w:t>
            </w:r>
          </w:p>
          <w:p w14:paraId="7BC8C589">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现有工程颗粒物许可总量控制指标为1.14t/a，项目实际有组织颗粒物排放量为0.386t/a，排放量小于核定总量指标，满足污染物总量控制相关要求。</w:t>
            </w:r>
          </w:p>
          <w:p w14:paraId="0AA19207">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本项目无组织颗粒物排放量参照《滦县耀隆宝峰矿业有限公司年产10万吨精制硅砂加工生产线项目环境影响报告表》核算，根据原有环评文件污染源分析结果，项目厂区无组织颗粒物废气排放量为0.174t/a。</w:t>
            </w:r>
          </w:p>
          <w:p w14:paraId="2CECE5A5">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pPr>
            <w:r>
              <w:rPr>
                <w:rFonts w:hint="eastAsia" w:cs="Times New Roman"/>
                <w:b/>
                <w:bCs/>
                <w:color w:val="000000" w:themeColor="text1"/>
                <w:w w:val="100"/>
                <w:kern w:val="2"/>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t>、排污口规范化</w:t>
            </w:r>
          </w:p>
          <w:p w14:paraId="7AC33A4C">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现有工程设置废气排放口</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1</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个，现有工程按照相关要求对废气排放口进行了规范化设置，满足相关要求。</w:t>
            </w:r>
          </w:p>
          <w:p w14:paraId="587AF05F">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p>
          <w:p w14:paraId="1F044230">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p>
          <w:p w14:paraId="7284CE4A">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p>
          <w:p w14:paraId="7616A0BB">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p>
          <w:p w14:paraId="3642EF02">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00"/>
            </w:tblGrid>
            <w:tr w14:paraId="6BF1C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7" w:hRule="atLeast"/>
                <w:jc w:val="center"/>
              </w:trPr>
              <w:tc>
                <w:tcPr>
                  <w:tcW w:w="6000" w:type="dxa"/>
                  <w:tcBorders>
                    <w:tl2br w:val="nil"/>
                    <w:tr2bl w:val="nil"/>
                  </w:tcBorders>
                </w:tcPr>
                <w:p w14:paraId="4FBBC1B2">
                  <w:pPr>
                    <w:pStyle w:val="87"/>
                    <w:widowControl w:val="0"/>
                    <w:numPr>
                      <w:ilvl w:val="0"/>
                      <w:numId w:val="0"/>
                    </w:numPr>
                    <w:shd w:val="clear"/>
                    <w:adjustRightInd w:val="0"/>
                    <w:spacing w:line="360" w:lineRule="auto"/>
                    <w:jc w:val="both"/>
                    <w:rPr>
                      <w:rFonts w:hint="eastAsia" w:ascii="Times New Roman" w:hAnsi="Times New Roman" w:eastAsia="宋体" w:cs="Times New Roman"/>
                      <w:b w:val="0"/>
                      <w:bCs w:val="0"/>
                      <w:color w:val="000000" w:themeColor="text1"/>
                      <w:w w:val="100"/>
                      <w:kern w:val="2"/>
                      <w:sz w:val="24"/>
                      <w:szCs w:val="24"/>
                      <w:highlight w:val="none"/>
                      <w:vertAlign w:val="baseline"/>
                      <w:lang w:val="en-US" w:eastAsia="zh-CN" w:bidi="ar-SA"/>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3590925" cy="2310765"/>
                        <wp:effectExtent l="0" t="0" r="9525" b="13335"/>
                        <wp:docPr id="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pic:cNvPicPr>
                                  <a:picLocks noChangeAspect="1"/>
                                </pic:cNvPicPr>
                              </pic:nvPicPr>
                              <pic:blipFill>
                                <a:blip r:embed="rId16"/>
                                <a:stretch>
                                  <a:fillRect/>
                                </a:stretch>
                              </pic:blipFill>
                              <pic:spPr>
                                <a:xfrm>
                                  <a:off x="0" y="0"/>
                                  <a:ext cx="3590925" cy="2310765"/>
                                </a:xfrm>
                                <a:prstGeom prst="rect">
                                  <a:avLst/>
                                </a:prstGeom>
                                <a:noFill/>
                                <a:ln>
                                  <a:noFill/>
                                </a:ln>
                              </pic:spPr>
                            </pic:pic>
                          </a:graphicData>
                        </a:graphic>
                      </wp:inline>
                    </w:drawing>
                  </w:r>
                </w:p>
              </w:tc>
            </w:tr>
          </w:tbl>
          <w:p w14:paraId="0CA544C5">
            <w:pPr>
              <w:keepNext w:val="0"/>
              <w:keepLines w:val="0"/>
              <w:pageBreakBefore w:val="0"/>
              <w:widowControl w:val="0"/>
              <w:numPr>
                <w:ilvl w:val="0"/>
                <w:numId w:val="7"/>
              </w:numPr>
              <w:shd w:val="clear"/>
              <w:kinsoku/>
              <w:wordWrap/>
              <w:overflowPunct/>
              <w:topLinePunct w:val="0"/>
              <w:autoSpaceDE/>
              <w:autoSpaceDN/>
              <w:bidi w:val="0"/>
              <w:adjustRightInd/>
              <w:snapToGrid/>
              <w:ind w:left="0" w:leftChars="0" w:firstLine="0" w:firstLineChars="0"/>
              <w:jc w:val="center"/>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现有工程排污口规范化</w:t>
            </w:r>
          </w:p>
          <w:p w14:paraId="369E5434">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pPr>
            <w:r>
              <w:rPr>
                <w:rFonts w:hint="eastAsia" w:cs="Times New Roman"/>
                <w:b/>
                <w:bCs/>
                <w:color w:val="000000" w:themeColor="text1"/>
                <w:w w:val="100"/>
                <w:kern w:val="2"/>
                <w:sz w:val="24"/>
                <w:szCs w:val="24"/>
                <w:highlight w:val="none"/>
                <w:lang w:val="en-US" w:eastAsia="zh-CN" w:bidi="ar-SA"/>
                <w14:textFill>
                  <w14:solidFill>
                    <w14:schemeClr w14:val="tx1"/>
                  </w14:solidFill>
                </w14:textFill>
              </w:rPr>
              <w:t>5</w:t>
            </w:r>
            <w:r>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t>、自行监测计划和执行报告落实情况</w:t>
            </w:r>
          </w:p>
          <w:p w14:paraId="78EBA051">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本项目现有工程属于排污许可登记管理类别，无执行报告要求。现有工程已按相关要求制定自行监测方案，并按方案开展定期监测，监测结果均记录存档。</w:t>
            </w:r>
          </w:p>
          <w:p w14:paraId="63338F81">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pPr>
            <w:r>
              <w:rPr>
                <w:rFonts w:hint="eastAsia" w:cs="Times New Roman"/>
                <w:b/>
                <w:bCs/>
                <w:color w:val="000000" w:themeColor="text1"/>
                <w:w w:val="100"/>
                <w:kern w:val="2"/>
                <w:sz w:val="24"/>
                <w:szCs w:val="24"/>
                <w:highlight w:val="none"/>
                <w:lang w:val="en-US" w:eastAsia="zh-CN" w:bidi="ar-SA"/>
                <w14:textFill>
                  <w14:solidFill>
                    <w14:schemeClr w14:val="tx1"/>
                  </w14:solidFill>
                </w14:textFill>
              </w:rPr>
              <w:t>6</w:t>
            </w:r>
            <w:r>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t>、防渗措施</w:t>
            </w:r>
          </w:p>
          <w:p w14:paraId="15691BCE">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危废间</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底层采用防渗混凝土，表层采用玻璃钢防渗层，渗透系数≤1</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10</w:t>
            </w:r>
            <w:r>
              <w:rPr>
                <w:rFonts w:hint="eastAsia"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10</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cm/s</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地面与裙角</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采用</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坚固、防渗的材料建造，建筑材料与危险废物相容。</w:t>
            </w:r>
          </w:p>
          <w:p w14:paraId="39AB1DCF">
            <w:pPr>
              <w:pStyle w:val="87"/>
              <w:widowControl w:val="0"/>
              <w:numPr>
                <w:ilvl w:val="0"/>
                <w:numId w:val="0"/>
              </w:numPr>
              <w:shd w:val="clear"/>
              <w:adjustRightInd w:val="0"/>
              <w:spacing w:line="360" w:lineRule="auto"/>
              <w:ind w:firstLine="480" w:firstLineChars="200"/>
              <w:jc w:val="both"/>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原料库、成品库、中间仓、破碎间、联合车间地面采用水泥硬化地面，渗透系数≤10</w:t>
            </w:r>
            <w:r>
              <w:rPr>
                <w:rFonts w:hint="eastAsia"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-7</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cm/s</w:t>
            </w:r>
            <w:r>
              <w:rPr>
                <w:rFonts w:hint="eastAsia" w:cs="Times New Roman"/>
                <w:b w:val="0"/>
                <w:bCs w:val="0"/>
                <w:color w:val="000000" w:themeColor="text1"/>
                <w:w w:val="100"/>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应急池，洗车平台清水池、导流沟采用抗渗混凝土一体浇筑，并进行耐腐蚀处理，渗透系数≤10</w:t>
            </w:r>
            <w:r>
              <w:rPr>
                <w:rFonts w:hint="eastAsia"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-7</w:t>
            </w: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cm/s。</w:t>
            </w:r>
          </w:p>
          <w:p w14:paraId="44AB659E">
            <w:pPr>
              <w:pStyle w:val="87"/>
              <w:widowControl w:val="0"/>
              <w:numPr>
                <w:ilvl w:val="0"/>
                <w:numId w:val="0"/>
              </w:numPr>
              <w:shd w:val="clear"/>
              <w:adjustRightInd w:val="0"/>
              <w:spacing w:line="360" w:lineRule="auto"/>
              <w:ind w:firstLine="482" w:firstLineChars="200"/>
              <w:jc w:val="both"/>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pPr>
            <w:r>
              <w:rPr>
                <w:rFonts w:hint="eastAsia" w:cs="Times New Roman"/>
                <w:b/>
                <w:bCs/>
                <w:color w:val="000000" w:themeColor="text1"/>
                <w:w w:val="100"/>
                <w:kern w:val="2"/>
                <w:sz w:val="24"/>
                <w:szCs w:val="24"/>
                <w:highlight w:val="none"/>
                <w:lang w:val="en-US" w:eastAsia="zh-CN" w:bidi="ar-SA"/>
                <w14:textFill>
                  <w14:solidFill>
                    <w14:schemeClr w14:val="tx1"/>
                  </w14:solidFill>
                </w14:textFill>
              </w:rPr>
              <w:t>7</w:t>
            </w:r>
            <w:r>
              <w:rPr>
                <w:rFonts w:hint="eastAsia" w:ascii="Times New Roman" w:hAnsi="Times New Roman" w:eastAsia="宋体" w:cs="Times New Roman"/>
                <w:b/>
                <w:bCs/>
                <w:color w:val="000000" w:themeColor="text1"/>
                <w:w w:val="100"/>
                <w:kern w:val="2"/>
                <w:sz w:val="24"/>
                <w:szCs w:val="24"/>
                <w:highlight w:val="none"/>
                <w:lang w:val="en-US" w:eastAsia="zh-CN" w:bidi="ar-SA"/>
                <w14:textFill>
                  <w14:solidFill>
                    <w14:schemeClr w14:val="tx1"/>
                  </w14:solidFill>
                </w14:textFill>
              </w:rPr>
              <w:t>、与该项目有关的主要环境问题及整改措施</w:t>
            </w:r>
          </w:p>
          <w:p w14:paraId="3325C4E3">
            <w:pPr>
              <w:pStyle w:val="87"/>
              <w:widowControl w:val="0"/>
              <w:numPr>
                <w:ilvl w:val="0"/>
                <w:numId w:val="0"/>
              </w:numPr>
              <w:shd w:val="clear"/>
              <w:adjustRightInd w:val="0"/>
              <w:spacing w:line="360" w:lineRule="auto"/>
              <w:ind w:firstLine="480" w:firstLineChars="200"/>
              <w:jc w:val="both"/>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经现场核查与资料梳理，现有工程未发现存在主要环境问题，现有环保措施均满足相关要求，无需另行制定整改措施。</w:t>
            </w:r>
          </w:p>
          <w:p w14:paraId="3DB6D84D">
            <w:pPr>
              <w:shd w:val="clear"/>
              <w:rPr>
                <w:rFonts w:hint="default"/>
                <w:color w:val="000000" w:themeColor="text1"/>
                <w:highlight w:val="none"/>
                <w:lang w:val="en-US" w:eastAsia="zh-CN"/>
                <w14:textFill>
                  <w14:solidFill>
                    <w14:schemeClr w14:val="tx1"/>
                  </w14:solidFill>
                </w14:textFill>
              </w:rPr>
            </w:pPr>
          </w:p>
          <w:p w14:paraId="5029839C">
            <w:pPr>
              <w:shd w:val="clear"/>
              <w:rPr>
                <w:rFonts w:hint="default"/>
                <w:color w:val="000000" w:themeColor="text1"/>
                <w:highlight w:val="none"/>
                <w:lang w:val="en-US" w:eastAsia="zh-CN"/>
                <w14:textFill>
                  <w14:solidFill>
                    <w14:schemeClr w14:val="tx1"/>
                  </w14:solidFill>
                </w14:textFill>
              </w:rPr>
            </w:pPr>
          </w:p>
          <w:p w14:paraId="643A6087">
            <w:pPr>
              <w:shd w:val="clear"/>
              <w:rPr>
                <w:rFonts w:hint="default"/>
                <w:color w:val="000000" w:themeColor="text1"/>
                <w:highlight w:val="none"/>
                <w:lang w:val="en-US" w:eastAsia="zh-CN"/>
                <w14:textFill>
                  <w14:solidFill>
                    <w14:schemeClr w14:val="tx1"/>
                  </w14:solidFill>
                </w14:textFill>
              </w:rPr>
            </w:pPr>
          </w:p>
          <w:p w14:paraId="0F443133">
            <w:pPr>
              <w:pStyle w:val="15"/>
              <w:shd w:val="clear"/>
              <w:rPr>
                <w:rFonts w:hint="default"/>
                <w:color w:val="000000" w:themeColor="text1"/>
                <w:highlight w:val="none"/>
                <w:lang w:val="en-US" w:eastAsia="zh-CN"/>
                <w14:textFill>
                  <w14:solidFill>
                    <w14:schemeClr w14:val="tx1"/>
                  </w14:solidFill>
                </w14:textFill>
              </w:rPr>
            </w:pPr>
          </w:p>
          <w:p w14:paraId="2BD71FA9">
            <w:pPr>
              <w:shd w:val="clear"/>
              <w:ind w:left="0" w:leftChars="0" w:firstLine="0" w:firstLineChars="0"/>
              <w:rPr>
                <w:rFonts w:hint="default"/>
                <w:color w:val="000000" w:themeColor="text1"/>
                <w:highlight w:val="none"/>
                <w:lang w:val="en-US" w:eastAsia="zh-CN"/>
                <w14:textFill>
                  <w14:solidFill>
                    <w14:schemeClr w14:val="tx1"/>
                  </w14:solidFill>
                </w14:textFill>
              </w:rPr>
            </w:pPr>
          </w:p>
        </w:tc>
      </w:tr>
    </w:tbl>
    <w:p w14:paraId="63295557">
      <w:pPr>
        <w:shd w:val="clear"/>
        <w:rPr>
          <w:rFonts w:hint="default" w:ascii="Times New Roman" w:hAnsi="Times New Roman" w:cs="Times New Roman"/>
          <w:color w:val="000000" w:themeColor="text1"/>
          <w:highlight w:val="none"/>
          <w14:textFill>
            <w14:solidFill>
              <w14:schemeClr w14:val="tx1"/>
            </w14:solidFill>
          </w14:textFill>
        </w:rPr>
        <w:sectPr>
          <w:pgSz w:w="11906" w:h="16838"/>
          <w:pgMar w:top="1440" w:right="1191" w:bottom="132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000000" w:themeColor="text1"/>
          <w:highlight w:val="none"/>
          <w14:textFill>
            <w14:solidFill>
              <w14:schemeClr w14:val="tx1"/>
            </w14:solidFill>
          </w14:textFill>
        </w:rPr>
        <w:br w:type="page"/>
      </w:r>
    </w:p>
    <w:p w14:paraId="24503B0C">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三、区域环境质量现状、环境保护目标及评价标准</w:t>
      </w:r>
    </w:p>
    <w:tbl>
      <w:tblPr>
        <w:tblStyle w:val="32"/>
        <w:tblW w:w="9146"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00"/>
        <w:gridCol w:w="8346"/>
      </w:tblGrid>
      <w:tr w14:paraId="5ECE3A3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185" w:hRule="atLeast"/>
          <w:jc w:val="center"/>
        </w:trPr>
        <w:tc>
          <w:tcPr>
            <w:tcW w:w="800" w:type="dxa"/>
            <w:tcBorders>
              <w:tl2br w:val="nil"/>
              <w:tr2bl w:val="nil"/>
            </w:tcBorders>
            <w:noWrap w:val="0"/>
            <w:vAlign w:val="center"/>
          </w:tcPr>
          <w:p w14:paraId="1E0A01F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区域</w:t>
            </w:r>
          </w:p>
          <w:p w14:paraId="66415866">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环境</w:t>
            </w:r>
          </w:p>
          <w:p w14:paraId="1A1FAE7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质量</w:t>
            </w:r>
          </w:p>
          <w:p w14:paraId="40AB9A52">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现状</w:t>
            </w:r>
          </w:p>
        </w:tc>
        <w:tc>
          <w:tcPr>
            <w:tcW w:w="8346" w:type="dxa"/>
            <w:tcBorders>
              <w:tl2br w:val="nil"/>
              <w:tr2bl w:val="nil"/>
            </w:tcBorders>
            <w:noWrap w:val="0"/>
            <w:vAlign w:val="center"/>
          </w:tcPr>
          <w:p w14:paraId="2201F6A9">
            <w:pPr>
              <w:keepNext w:val="0"/>
              <w:keepLines w:val="0"/>
              <w:pageBreakBefore w:val="0"/>
              <w:widowControl w:val="0"/>
              <w:numPr>
                <w:ilvl w:val="0"/>
                <w:numId w:val="12"/>
              </w:numPr>
              <w:shd w:val="clear"/>
              <w:kinsoku/>
              <w:wordWrap/>
              <w:overflowPunct/>
              <w:topLinePunct w:val="0"/>
              <w:autoSpaceDE/>
              <w:autoSpaceDN/>
              <w:bidi w:val="0"/>
              <w:adjustRightInd/>
              <w:snapToGrid/>
              <w:ind w:firstLine="482" w:firstLineChars="200"/>
              <w:jc w:val="left"/>
              <w:textAlignment w:val="auto"/>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环境空气</w:t>
            </w:r>
          </w:p>
          <w:p w14:paraId="62AA5C7F">
            <w:pPr>
              <w:keepNext w:val="0"/>
              <w:keepLines w:val="0"/>
              <w:pageBreakBefore w:val="0"/>
              <w:widowControl w:val="0"/>
              <w:shd w:val="clear"/>
              <w:kinsoku/>
              <w:wordWrap/>
              <w:overflowPunct/>
              <w:topLinePunct w:val="0"/>
              <w:autoSpaceDE/>
              <w:autoSpaceDN/>
              <w:bidi w:val="0"/>
              <w:adjustRightInd w:val="0"/>
              <w:snapToGrid w:val="0"/>
              <w:spacing w:line="480" w:lineRule="exact"/>
              <w:ind w:firstLine="480" w:firstLineChars="200"/>
              <w:textAlignment w:val="auto"/>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⑴</w:t>
            </w:r>
            <w:r>
              <w:rPr>
                <w:rFonts w:hint="eastAsia"/>
                <w:color w:val="000000" w:themeColor="text1"/>
                <w:sz w:val="24"/>
                <w:szCs w:val="24"/>
                <w:highlight w:val="none"/>
                <w:lang w:eastAsia="zh-CN"/>
                <w14:textFill>
                  <w14:solidFill>
                    <w14:schemeClr w14:val="tx1"/>
                  </w14:solidFill>
                </w14:textFill>
              </w:rPr>
              <w:t>项目所在区域环境质量达标情况</w:t>
            </w:r>
          </w:p>
          <w:p w14:paraId="143F1FB5">
            <w:pPr>
              <w:keepNext w:val="0"/>
              <w:keepLines w:val="0"/>
              <w:pageBreakBefore w:val="0"/>
              <w:widowControl w:val="0"/>
              <w:shd w:val="clear"/>
              <w:kinsoku/>
              <w:wordWrap/>
              <w:overflowPunct/>
              <w:topLinePunct w:val="0"/>
              <w:autoSpaceDE/>
              <w:autoSpaceDN/>
              <w:bidi w:val="0"/>
              <w:adjustRightInd w:val="0"/>
              <w:snapToGrid w:val="0"/>
              <w:spacing w:line="480" w:lineRule="exact"/>
              <w:ind w:firstLine="480" w:firstLineChars="200"/>
              <w:textAlignment w:val="auto"/>
              <w:rPr>
                <w:rFonts w:hint="eastAsia" w:eastAsia="宋体"/>
                <w:color w:val="000000" w:themeColor="text1"/>
                <w:sz w:val="24"/>
                <w:szCs w:val="24"/>
                <w:highlight w:val="none"/>
                <w:lang w:eastAsia="zh-CN"/>
                <w14:textFill>
                  <w14:solidFill>
                    <w14:schemeClr w14:val="tx1"/>
                  </w14:solidFill>
                </w14:textFill>
              </w:rPr>
            </w:pPr>
            <w:r>
              <w:rPr>
                <w:color w:val="000000" w:themeColor="text1"/>
                <w:sz w:val="24"/>
                <w:szCs w:val="24"/>
                <w:highlight w:val="none"/>
                <w14:textFill>
                  <w14:solidFill>
                    <w14:schemeClr w14:val="tx1"/>
                  </w14:solidFill>
                </w14:textFill>
              </w:rPr>
              <w:t>根据</w:t>
            </w:r>
            <w:r>
              <w:rPr>
                <w:rFonts w:hint="eastAsia"/>
                <w:color w:val="000000" w:themeColor="text1"/>
                <w:sz w:val="24"/>
                <w:szCs w:val="24"/>
                <w:highlight w:val="none"/>
                <w14:textFill>
                  <w14:solidFill>
                    <w14:schemeClr w14:val="tx1"/>
                  </w14:solidFill>
                </w14:textFill>
              </w:rPr>
              <w:t>202</w:t>
            </w:r>
            <w:r>
              <w:rPr>
                <w:rFonts w:hint="eastAsia"/>
                <w:color w:val="000000" w:themeColor="text1"/>
                <w:sz w:val="24"/>
                <w:szCs w:val="24"/>
                <w:highlight w:val="none"/>
                <w:lang w:val="en-US" w:eastAsia="zh-CN"/>
                <w14:textFill>
                  <w14:solidFill>
                    <w14:schemeClr w14:val="tx1"/>
                  </w14:solidFill>
                </w14:textFill>
              </w:rPr>
              <w:t>5</w:t>
            </w:r>
            <w:r>
              <w:rPr>
                <w:rFonts w:hint="eastAsia"/>
                <w:color w:val="000000" w:themeColor="text1"/>
                <w:sz w:val="24"/>
                <w:szCs w:val="24"/>
                <w:highlight w:val="none"/>
                <w14:textFill>
                  <w14:solidFill>
                    <w14:schemeClr w14:val="tx1"/>
                  </w14:solidFill>
                </w14:textFill>
              </w:rPr>
              <w:t>年5月</w:t>
            </w:r>
            <w:r>
              <w:rPr>
                <w:color w:val="000000" w:themeColor="text1"/>
                <w:sz w:val="24"/>
                <w:szCs w:val="24"/>
                <w:highlight w:val="none"/>
                <w14:textFill>
                  <w14:solidFill>
                    <w14:schemeClr w14:val="tx1"/>
                  </w14:solidFill>
                </w14:textFill>
              </w:rPr>
              <w:t>唐山市生态环境局发布的《202</w:t>
            </w:r>
            <w:r>
              <w:rPr>
                <w:rFonts w:hint="eastAsia"/>
                <w:color w:val="000000" w:themeColor="text1"/>
                <w:sz w:val="24"/>
                <w:szCs w:val="24"/>
                <w:highlight w:val="none"/>
                <w:lang w:val="en-US" w:eastAsia="zh-CN"/>
                <w14:textFill>
                  <w14:solidFill>
                    <w14:schemeClr w14:val="tx1"/>
                  </w14:solidFill>
                </w14:textFill>
              </w:rPr>
              <w:t>4</w:t>
            </w:r>
            <w:r>
              <w:rPr>
                <w:color w:val="000000" w:themeColor="text1"/>
                <w:sz w:val="24"/>
                <w:szCs w:val="24"/>
                <w:highlight w:val="none"/>
                <w14:textFill>
                  <w14:solidFill>
                    <w14:schemeClr w14:val="tx1"/>
                  </w14:solidFill>
                </w14:textFill>
              </w:rPr>
              <w:t>年唐山市</w:t>
            </w:r>
            <w:r>
              <w:rPr>
                <w:rFonts w:hint="eastAsia"/>
                <w:color w:val="000000" w:themeColor="text1"/>
                <w:sz w:val="24"/>
                <w:szCs w:val="24"/>
                <w:highlight w:val="none"/>
                <w:lang w:eastAsia="zh-CN"/>
                <w14:textFill>
                  <w14:solidFill>
                    <w14:schemeClr w14:val="tx1"/>
                  </w14:solidFill>
                </w14:textFill>
              </w:rPr>
              <w:t>生态</w:t>
            </w:r>
            <w:r>
              <w:rPr>
                <w:color w:val="000000" w:themeColor="text1"/>
                <w:sz w:val="24"/>
                <w:szCs w:val="24"/>
                <w:highlight w:val="none"/>
                <w14:textFill>
                  <w14:solidFill>
                    <w14:schemeClr w14:val="tx1"/>
                  </w14:solidFill>
                </w14:textFill>
              </w:rPr>
              <w:t>环境状况公报》显示</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202</w:t>
            </w:r>
            <w:r>
              <w:rPr>
                <w:rFonts w:hint="eastAsia"/>
                <w:color w:val="000000" w:themeColor="text1"/>
                <w:sz w:val="24"/>
                <w:szCs w:val="24"/>
                <w:highlight w:val="none"/>
                <w:lang w:val="en-US" w:eastAsia="zh-CN"/>
                <w14:textFill>
                  <w14:solidFill>
                    <w14:schemeClr w14:val="tx1"/>
                  </w14:solidFill>
                </w14:textFill>
              </w:rPr>
              <w:t>4</w:t>
            </w:r>
            <w:r>
              <w:rPr>
                <w:color w:val="000000" w:themeColor="text1"/>
                <w:sz w:val="24"/>
                <w:szCs w:val="24"/>
                <w:highlight w:val="none"/>
                <w14:textFill>
                  <w14:solidFill>
                    <w14:schemeClr w14:val="tx1"/>
                  </w14:solidFill>
                </w14:textFill>
              </w:rPr>
              <w:t>年全市优良天数2</w:t>
            </w:r>
            <w:r>
              <w:rPr>
                <w:rFonts w:hint="eastAsia"/>
                <w:color w:val="000000" w:themeColor="text1"/>
                <w:sz w:val="24"/>
                <w:szCs w:val="24"/>
                <w:highlight w:val="none"/>
                <w:lang w:val="en-US" w:eastAsia="zh-CN"/>
                <w14:textFill>
                  <w14:solidFill>
                    <w14:schemeClr w14:val="tx1"/>
                  </w14:solidFill>
                </w14:textFill>
              </w:rPr>
              <w:t>77</w:t>
            </w:r>
            <w:r>
              <w:rPr>
                <w:color w:val="000000" w:themeColor="text1"/>
                <w:sz w:val="24"/>
                <w:szCs w:val="24"/>
                <w:highlight w:val="none"/>
                <w14:textFill>
                  <w14:solidFill>
                    <w14:schemeClr w14:val="tx1"/>
                  </w14:solidFill>
                </w14:textFill>
              </w:rPr>
              <w:t>天</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重度污染以上天数</w:t>
            </w: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天</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优良天数比例为</w:t>
            </w:r>
            <w:r>
              <w:rPr>
                <w:rFonts w:hint="eastAsia"/>
                <w:color w:val="000000" w:themeColor="text1"/>
                <w:sz w:val="24"/>
                <w:szCs w:val="24"/>
                <w:highlight w:val="none"/>
                <w:lang w:val="en-US" w:eastAsia="zh-CN"/>
                <w14:textFill>
                  <w14:solidFill>
                    <w14:schemeClr w14:val="tx1"/>
                  </w14:solidFill>
                </w14:textFill>
              </w:rPr>
              <w:t>75.7</w:t>
            </w:r>
            <w:r>
              <w:rPr>
                <w:color w:val="000000" w:themeColor="text1"/>
                <w:sz w:val="24"/>
                <w:szCs w:val="24"/>
                <w:highlight w:val="none"/>
                <w14:textFill>
                  <w14:solidFill>
                    <w14:schemeClr w14:val="tx1"/>
                  </w14:solidFill>
                </w14:textFill>
              </w:rPr>
              <w:t>%。202</w:t>
            </w:r>
            <w:r>
              <w:rPr>
                <w:rFonts w:hint="eastAsia"/>
                <w:color w:val="000000" w:themeColor="text1"/>
                <w:sz w:val="24"/>
                <w:szCs w:val="24"/>
                <w:highlight w:val="none"/>
                <w:lang w:val="en-US" w:eastAsia="zh-CN"/>
                <w14:textFill>
                  <w14:solidFill>
                    <w14:schemeClr w14:val="tx1"/>
                  </w14:solidFill>
                </w14:textFill>
              </w:rPr>
              <w:t>4</w:t>
            </w:r>
            <w:r>
              <w:rPr>
                <w:rFonts w:hint="eastAsia"/>
                <w:color w:val="000000" w:themeColor="text1"/>
                <w:sz w:val="24"/>
                <w:szCs w:val="24"/>
                <w:highlight w:val="none"/>
                <w14:textFill>
                  <w14:solidFill>
                    <w14:schemeClr w14:val="tx1"/>
                  </w14:solidFill>
                </w14:textFill>
              </w:rPr>
              <w:t>年</w:t>
            </w:r>
            <w:r>
              <w:rPr>
                <w:color w:val="000000" w:themeColor="text1"/>
                <w:sz w:val="24"/>
                <w:szCs w:val="24"/>
                <w:highlight w:val="none"/>
                <w14:textFill>
                  <w14:solidFill>
                    <w14:schemeClr w14:val="tx1"/>
                  </w14:solidFill>
                </w14:textFill>
              </w:rPr>
              <w:t>全市空气质量综合指数4</w:t>
            </w:r>
            <w:r>
              <w:rPr>
                <w:rFonts w:hint="eastAsia"/>
                <w:color w:val="000000" w:themeColor="text1"/>
                <w:sz w:val="24"/>
                <w:szCs w:val="24"/>
                <w:highlight w:val="none"/>
                <w:lang w:val="en-US" w:eastAsia="zh-CN"/>
                <w14:textFill>
                  <w14:solidFill>
                    <w14:schemeClr w14:val="tx1"/>
                  </w14:solidFill>
                </w14:textFill>
              </w:rPr>
              <w:t>.26</w:t>
            </w:r>
            <w:r>
              <w:rPr>
                <w:color w:val="000000" w:themeColor="text1"/>
                <w:sz w:val="24"/>
                <w:szCs w:val="24"/>
                <w:highlight w:val="none"/>
                <w14:textFill>
                  <w14:solidFill>
                    <w14:schemeClr w14:val="tx1"/>
                  </w14:solidFill>
                </w14:textFill>
              </w:rPr>
              <w:t>。</w:t>
            </w:r>
          </w:p>
          <w:p w14:paraId="61C0413B">
            <w:pPr>
              <w:keepNext w:val="0"/>
              <w:keepLines w:val="0"/>
              <w:pageBreakBefore w:val="0"/>
              <w:widowControl w:val="0"/>
              <w:shd w:val="clear"/>
              <w:kinsoku/>
              <w:wordWrap/>
              <w:overflowPunct/>
              <w:topLinePunct w:val="0"/>
              <w:autoSpaceDE/>
              <w:autoSpaceDN/>
              <w:bidi w:val="0"/>
              <w:adjustRightInd w:val="0"/>
              <w:snapToGrid w:val="0"/>
              <w:spacing w:line="480" w:lineRule="exact"/>
              <w:ind w:firstLine="480" w:firstLineChars="200"/>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202</w:t>
            </w:r>
            <w:r>
              <w:rPr>
                <w:rFonts w:hint="eastAsia"/>
                <w:color w:val="000000" w:themeColor="text1"/>
                <w:sz w:val="24"/>
                <w:szCs w:val="24"/>
                <w:highlight w:val="none"/>
                <w:lang w:val="en-US" w:eastAsia="zh-CN"/>
                <w14:textFill>
                  <w14:solidFill>
                    <w14:schemeClr w14:val="tx1"/>
                  </w14:solidFill>
                </w14:textFill>
              </w:rPr>
              <w:t>4</w:t>
            </w:r>
            <w:r>
              <w:rPr>
                <w:rFonts w:hint="eastAsia"/>
                <w:color w:val="000000" w:themeColor="text1"/>
                <w:sz w:val="24"/>
                <w:szCs w:val="24"/>
                <w:highlight w:val="none"/>
                <w14:textFill>
                  <w14:solidFill>
                    <w14:schemeClr w14:val="tx1"/>
                  </w14:solidFill>
                </w14:textFill>
              </w:rPr>
              <w:t>年，</w:t>
            </w:r>
            <w:r>
              <w:rPr>
                <w:color w:val="000000" w:themeColor="text1"/>
                <w:sz w:val="24"/>
                <w:szCs w:val="24"/>
                <w:highlight w:val="none"/>
                <w14:textFill>
                  <w14:solidFill>
                    <w14:schemeClr w14:val="tx1"/>
                  </w14:solidFill>
                </w14:textFill>
              </w:rPr>
              <w:t>全市细颗粒物（PM</w:t>
            </w:r>
            <w:r>
              <w:rPr>
                <w:color w:val="000000" w:themeColor="text1"/>
                <w:sz w:val="24"/>
                <w:szCs w:val="24"/>
                <w:highlight w:val="none"/>
                <w:vertAlign w:val="subscript"/>
                <w14:textFill>
                  <w14:solidFill>
                    <w14:schemeClr w14:val="tx1"/>
                  </w14:solidFill>
                </w14:textFill>
              </w:rPr>
              <w:t>2.5</w:t>
            </w:r>
            <w:r>
              <w:rPr>
                <w:color w:val="000000" w:themeColor="text1"/>
                <w:sz w:val="24"/>
                <w:szCs w:val="24"/>
                <w:highlight w:val="none"/>
                <w14:textFill>
                  <w14:solidFill>
                    <w14:schemeClr w14:val="tx1"/>
                  </w14:solidFill>
                </w14:textFill>
              </w:rPr>
              <w:t>）年均浓度为</w:t>
            </w:r>
            <w:r>
              <w:rPr>
                <w:rFonts w:hint="eastAsia"/>
                <w:color w:val="000000" w:themeColor="text1"/>
                <w:sz w:val="24"/>
                <w:szCs w:val="24"/>
                <w:highlight w:val="none"/>
                <w:lang w:val="en-US" w:eastAsia="zh-CN"/>
                <w14:textFill>
                  <w14:solidFill>
                    <w14:schemeClr w14:val="tx1"/>
                  </w14:solidFill>
                </w14:textFill>
              </w:rPr>
              <w:t>37</w:t>
            </w:r>
            <w:r>
              <w:rPr>
                <w:color w:val="000000" w:themeColor="text1"/>
                <w:sz w:val="24"/>
                <w:szCs w:val="24"/>
                <w:highlight w:val="none"/>
                <w14:textFill>
                  <w14:solidFill>
                    <w14:schemeClr w14:val="tx1"/>
                  </w14:solidFill>
                </w14:textFill>
              </w:rPr>
              <w:t>μg/m</w:t>
            </w:r>
            <w:r>
              <w:rPr>
                <w:color w:val="000000" w:themeColor="text1"/>
                <w:sz w:val="24"/>
                <w:szCs w:val="24"/>
                <w:highlight w:val="none"/>
                <w:vertAlign w:val="superscript"/>
                <w14:textFill>
                  <w14:solidFill>
                    <w14:schemeClr w14:val="tx1"/>
                  </w14:solidFill>
                </w14:textFill>
              </w:rPr>
              <w:t>3</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可吸入颗粒物（PM</w:t>
            </w:r>
            <w:r>
              <w:rPr>
                <w:color w:val="000000" w:themeColor="text1"/>
                <w:sz w:val="24"/>
                <w:szCs w:val="24"/>
                <w:highlight w:val="none"/>
                <w:vertAlign w:val="subscript"/>
                <w14:textFill>
                  <w14:solidFill>
                    <w14:schemeClr w14:val="tx1"/>
                  </w14:solidFill>
                </w14:textFill>
              </w:rPr>
              <w:t>10</w:t>
            </w:r>
            <w:r>
              <w:rPr>
                <w:color w:val="000000" w:themeColor="text1"/>
                <w:sz w:val="24"/>
                <w:szCs w:val="24"/>
                <w:highlight w:val="none"/>
                <w14:textFill>
                  <w14:solidFill>
                    <w14:schemeClr w14:val="tx1"/>
                  </w14:solidFill>
                </w14:textFill>
              </w:rPr>
              <w:t>）年均浓度为</w:t>
            </w:r>
            <w:r>
              <w:rPr>
                <w:rFonts w:hint="eastAsia"/>
                <w:color w:val="000000" w:themeColor="text1"/>
                <w:sz w:val="24"/>
                <w:szCs w:val="24"/>
                <w:highlight w:val="none"/>
                <w:lang w:val="en-US" w:eastAsia="zh-CN"/>
                <w14:textFill>
                  <w14:solidFill>
                    <w14:schemeClr w14:val="tx1"/>
                  </w14:solidFill>
                </w14:textFill>
              </w:rPr>
              <w:t>68</w:t>
            </w:r>
            <w:r>
              <w:rPr>
                <w:color w:val="000000" w:themeColor="text1"/>
                <w:sz w:val="24"/>
                <w:szCs w:val="24"/>
                <w:highlight w:val="none"/>
                <w14:textFill>
                  <w14:solidFill>
                    <w14:schemeClr w14:val="tx1"/>
                  </w14:solidFill>
                </w14:textFill>
              </w:rPr>
              <w:t>μg/m</w:t>
            </w:r>
            <w:r>
              <w:rPr>
                <w:color w:val="000000" w:themeColor="text1"/>
                <w:sz w:val="24"/>
                <w:szCs w:val="24"/>
                <w:highlight w:val="none"/>
                <w:vertAlign w:val="superscript"/>
                <w14:textFill>
                  <w14:solidFill>
                    <w14:schemeClr w14:val="tx1"/>
                  </w14:solidFill>
                </w14:textFill>
              </w:rPr>
              <w:t>3</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二氧化硫（SO</w:t>
            </w:r>
            <w:r>
              <w:rPr>
                <w:color w:val="000000" w:themeColor="text1"/>
                <w:sz w:val="24"/>
                <w:szCs w:val="24"/>
                <w:highlight w:val="none"/>
                <w:vertAlign w:val="subscript"/>
                <w14:textFill>
                  <w14:solidFill>
                    <w14:schemeClr w14:val="tx1"/>
                  </w14:solidFill>
                </w14:textFill>
              </w:rPr>
              <w:t>2</w:t>
            </w:r>
            <w:r>
              <w:rPr>
                <w:color w:val="000000" w:themeColor="text1"/>
                <w:sz w:val="24"/>
                <w:szCs w:val="24"/>
                <w:highlight w:val="none"/>
                <w14:textFill>
                  <w14:solidFill>
                    <w14:schemeClr w14:val="tx1"/>
                  </w14:solidFill>
                </w14:textFill>
              </w:rPr>
              <w:t>）年均浓度为</w:t>
            </w:r>
            <w:r>
              <w:rPr>
                <w:rFonts w:hint="eastAsia"/>
                <w:color w:val="000000" w:themeColor="text1"/>
                <w:sz w:val="24"/>
                <w:szCs w:val="24"/>
                <w:highlight w:val="none"/>
                <w14:textFill>
                  <w14:solidFill>
                    <w14:schemeClr w14:val="tx1"/>
                  </w14:solidFill>
                </w14:textFill>
              </w:rPr>
              <w:t>7</w:t>
            </w:r>
            <w:r>
              <w:rPr>
                <w:color w:val="000000" w:themeColor="text1"/>
                <w:sz w:val="24"/>
                <w:szCs w:val="24"/>
                <w:highlight w:val="none"/>
                <w14:textFill>
                  <w14:solidFill>
                    <w14:schemeClr w14:val="tx1"/>
                  </w14:solidFill>
                </w14:textFill>
              </w:rPr>
              <w:t>μg/m</w:t>
            </w:r>
            <w:r>
              <w:rPr>
                <w:color w:val="000000" w:themeColor="text1"/>
                <w:sz w:val="24"/>
                <w:szCs w:val="24"/>
                <w:highlight w:val="none"/>
                <w:vertAlign w:val="superscript"/>
                <w14:textFill>
                  <w14:solidFill>
                    <w14:schemeClr w14:val="tx1"/>
                  </w14:solidFill>
                </w14:textFill>
              </w:rPr>
              <w:t>3</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二氧化氮（NO</w:t>
            </w:r>
            <w:r>
              <w:rPr>
                <w:color w:val="000000" w:themeColor="text1"/>
                <w:sz w:val="24"/>
                <w:szCs w:val="24"/>
                <w:highlight w:val="none"/>
                <w:vertAlign w:val="subscript"/>
                <w14:textFill>
                  <w14:solidFill>
                    <w14:schemeClr w14:val="tx1"/>
                  </w14:solidFill>
                </w14:textFill>
              </w:rPr>
              <w:t>2</w:t>
            </w:r>
            <w:r>
              <w:rPr>
                <w:color w:val="000000" w:themeColor="text1"/>
                <w:sz w:val="24"/>
                <w:szCs w:val="24"/>
                <w:highlight w:val="none"/>
                <w14:textFill>
                  <w14:solidFill>
                    <w14:schemeClr w14:val="tx1"/>
                  </w14:solidFill>
                </w14:textFill>
              </w:rPr>
              <w:t>）年均浓度为</w:t>
            </w:r>
            <w:r>
              <w:rPr>
                <w:rFonts w:hint="eastAsia"/>
                <w:color w:val="000000" w:themeColor="text1"/>
                <w:sz w:val="24"/>
                <w:szCs w:val="24"/>
                <w:highlight w:val="none"/>
                <w:lang w:val="en-US" w:eastAsia="zh-CN"/>
                <w14:textFill>
                  <w14:solidFill>
                    <w14:schemeClr w14:val="tx1"/>
                  </w14:solidFill>
                </w14:textFill>
              </w:rPr>
              <w:t>27</w:t>
            </w:r>
            <w:r>
              <w:rPr>
                <w:color w:val="000000" w:themeColor="text1"/>
                <w:sz w:val="24"/>
                <w:szCs w:val="24"/>
                <w:highlight w:val="none"/>
                <w14:textFill>
                  <w14:solidFill>
                    <w14:schemeClr w14:val="tx1"/>
                  </w14:solidFill>
                </w14:textFill>
              </w:rPr>
              <w:t>μg/m</w:t>
            </w:r>
            <w:r>
              <w:rPr>
                <w:color w:val="000000" w:themeColor="text1"/>
                <w:sz w:val="24"/>
                <w:szCs w:val="24"/>
                <w:highlight w:val="none"/>
                <w:vertAlign w:val="superscript"/>
                <w14:textFill>
                  <w14:solidFill>
                    <w14:schemeClr w14:val="tx1"/>
                  </w14:solidFill>
                </w14:textFill>
              </w:rPr>
              <w:t>3</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一氧化碳（CO）日均值第95百分位浓度平均为</w:t>
            </w:r>
            <w:r>
              <w:rPr>
                <w:rFonts w:hint="eastAsia"/>
                <w:color w:val="000000" w:themeColor="text1"/>
                <w:sz w:val="24"/>
                <w:szCs w:val="24"/>
                <w:highlight w:val="none"/>
                <w:lang w:val="en-US" w:eastAsia="zh-CN"/>
                <w14:textFill>
                  <w14:solidFill>
                    <w14:schemeClr w14:val="tx1"/>
                  </w14:solidFill>
                </w14:textFill>
              </w:rPr>
              <w:t>1.3</w:t>
            </w:r>
            <w:r>
              <w:rPr>
                <w:color w:val="000000" w:themeColor="text1"/>
                <w:sz w:val="24"/>
                <w:szCs w:val="24"/>
                <w:highlight w:val="none"/>
                <w14:textFill>
                  <w14:solidFill>
                    <w14:schemeClr w14:val="tx1"/>
                  </w14:solidFill>
                </w14:textFill>
              </w:rPr>
              <w:t>mg/m</w:t>
            </w:r>
            <w:r>
              <w:rPr>
                <w:color w:val="000000" w:themeColor="text1"/>
                <w:sz w:val="24"/>
                <w:szCs w:val="24"/>
                <w:highlight w:val="none"/>
                <w:vertAlign w:val="superscript"/>
                <w14:textFill>
                  <w14:solidFill>
                    <w14:schemeClr w14:val="tx1"/>
                  </w14:solidFill>
                </w14:textFill>
              </w:rPr>
              <w:t>3</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臭氧（O</w:t>
            </w:r>
            <w:r>
              <w:rPr>
                <w:color w:val="000000" w:themeColor="text1"/>
                <w:sz w:val="24"/>
                <w:szCs w:val="24"/>
                <w:highlight w:val="none"/>
                <w:vertAlign w:val="subscript"/>
                <w14:textFill>
                  <w14:solidFill>
                    <w14:schemeClr w14:val="tx1"/>
                  </w14:solidFill>
                </w14:textFill>
              </w:rPr>
              <w:t>3</w:t>
            </w:r>
            <w:r>
              <w:rPr>
                <w:color w:val="000000" w:themeColor="text1"/>
                <w:sz w:val="24"/>
                <w:szCs w:val="24"/>
                <w:highlight w:val="none"/>
                <w14:textFill>
                  <w14:solidFill>
                    <w14:schemeClr w14:val="tx1"/>
                  </w14:solidFill>
                </w14:textFill>
              </w:rPr>
              <w:t>）日最大8小时平均第90百分位浓度平均为</w:t>
            </w:r>
            <w:r>
              <w:rPr>
                <w:rFonts w:hint="eastAsia"/>
                <w:color w:val="000000" w:themeColor="text1"/>
                <w:sz w:val="24"/>
                <w:szCs w:val="24"/>
                <w:highlight w:val="none"/>
                <w:lang w:val="en-US" w:eastAsia="zh-CN"/>
                <w14:textFill>
                  <w14:solidFill>
                    <w14:schemeClr w14:val="tx1"/>
                  </w14:solidFill>
                </w14:textFill>
              </w:rPr>
              <w:t>178</w:t>
            </w:r>
            <w:r>
              <w:rPr>
                <w:color w:val="000000" w:themeColor="text1"/>
                <w:sz w:val="24"/>
                <w:szCs w:val="24"/>
                <w:highlight w:val="none"/>
                <w14:textFill>
                  <w14:solidFill>
                    <w14:schemeClr w14:val="tx1"/>
                  </w14:solidFill>
                </w14:textFill>
              </w:rPr>
              <w:t>μg/m</w:t>
            </w:r>
            <w:r>
              <w:rPr>
                <w:color w:val="000000" w:themeColor="text1"/>
                <w:sz w:val="24"/>
                <w:szCs w:val="24"/>
                <w:highlight w:val="none"/>
                <w:vertAlign w:val="superscript"/>
                <w14:textFill>
                  <w14:solidFill>
                    <w14:schemeClr w14:val="tx1"/>
                  </w14:solidFill>
                </w14:textFill>
              </w:rPr>
              <w:t>3</w:t>
            </w:r>
            <w:r>
              <w:rPr>
                <w:color w:val="000000" w:themeColor="text1"/>
                <w:sz w:val="24"/>
                <w:szCs w:val="24"/>
                <w:highlight w:val="none"/>
                <w14:textFill>
                  <w14:solidFill>
                    <w14:schemeClr w14:val="tx1"/>
                  </w14:solidFill>
                </w14:textFill>
              </w:rPr>
              <w:t>。具体情况见下表。</w:t>
            </w:r>
          </w:p>
          <w:p w14:paraId="02A9141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20</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24</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年</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区域</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环境空气质量年均浓度值情况表（单位：μg/m</w:t>
            </w:r>
            <w:r>
              <w:rPr>
                <w:rFonts w:hint="default" w:ascii="Times New Roman" w:hAnsi="Times New Roman" w:eastAsia="宋体" w:cs="Times New Roman"/>
                <w:b/>
                <w:bCs/>
                <w:color w:val="000000" w:themeColor="text1"/>
                <w:spacing w:val="0"/>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w:t>
            </w:r>
          </w:p>
          <w:tbl>
            <w:tblPr>
              <w:tblStyle w:val="32"/>
              <w:tblW w:w="4776"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756"/>
              <w:gridCol w:w="1875"/>
              <w:gridCol w:w="1380"/>
              <w:gridCol w:w="870"/>
              <w:gridCol w:w="660"/>
              <w:gridCol w:w="1335"/>
              <w:gridCol w:w="862"/>
            </w:tblGrid>
            <w:tr w14:paraId="727967F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03" w:hRule="atLeast"/>
                <w:jc w:val="center"/>
              </w:trPr>
              <w:tc>
                <w:tcPr>
                  <w:tcW w:w="488" w:type="pct"/>
                  <w:vMerge w:val="restart"/>
                  <w:tcBorders>
                    <w:tl2br w:val="nil"/>
                    <w:tr2bl w:val="nil"/>
                  </w:tcBorders>
                  <w:noWrap w:val="0"/>
                  <w:vAlign w:val="center"/>
                </w:tcPr>
                <w:p w14:paraId="60BAE307">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污染物</w:t>
                  </w:r>
                </w:p>
              </w:tc>
              <w:tc>
                <w:tcPr>
                  <w:tcW w:w="1211" w:type="pct"/>
                  <w:vMerge w:val="restart"/>
                  <w:tcBorders>
                    <w:tl2br w:val="nil"/>
                    <w:tr2bl w:val="nil"/>
                  </w:tcBorders>
                  <w:noWrap w:val="0"/>
                  <w:vAlign w:val="center"/>
                </w:tcPr>
                <w:p w14:paraId="477B6B19">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年评价指标</w:t>
                  </w:r>
                </w:p>
              </w:tc>
              <w:tc>
                <w:tcPr>
                  <w:tcW w:w="1453" w:type="pct"/>
                  <w:gridSpan w:val="2"/>
                  <w:tcBorders>
                    <w:tl2br w:val="nil"/>
                    <w:tr2bl w:val="nil"/>
                  </w:tcBorders>
                  <w:noWrap w:val="0"/>
                  <w:vAlign w:val="center"/>
                </w:tcPr>
                <w:p w14:paraId="1EF7D33F">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评价标准</w:t>
                  </w:r>
                </w:p>
              </w:tc>
              <w:tc>
                <w:tcPr>
                  <w:tcW w:w="426" w:type="pct"/>
                  <w:vMerge w:val="restart"/>
                  <w:tcBorders>
                    <w:tl2br w:val="nil"/>
                    <w:tr2bl w:val="nil"/>
                  </w:tcBorders>
                  <w:noWrap w:val="0"/>
                  <w:vAlign w:val="center"/>
                </w:tcPr>
                <w:p w14:paraId="1647AEE9">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现状浓度</w:t>
                  </w:r>
                </w:p>
              </w:tc>
              <w:tc>
                <w:tcPr>
                  <w:tcW w:w="1419" w:type="pct"/>
                  <w:gridSpan w:val="2"/>
                  <w:tcBorders>
                    <w:tl2br w:val="nil"/>
                    <w:tr2bl w:val="nil"/>
                  </w:tcBorders>
                  <w:noWrap w:val="0"/>
                  <w:vAlign w:val="center"/>
                </w:tcPr>
                <w:p w14:paraId="06BD0397">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达标情况</w:t>
                  </w:r>
                </w:p>
              </w:tc>
            </w:tr>
            <w:tr w14:paraId="1A6527D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03" w:hRule="atLeast"/>
                <w:jc w:val="center"/>
              </w:trPr>
              <w:tc>
                <w:tcPr>
                  <w:tcW w:w="488" w:type="pct"/>
                  <w:vMerge w:val="continue"/>
                  <w:tcBorders>
                    <w:tl2br w:val="nil"/>
                    <w:tr2bl w:val="nil"/>
                  </w:tcBorders>
                  <w:noWrap w:val="0"/>
                  <w:vAlign w:val="center"/>
                </w:tcPr>
                <w:p w14:paraId="2B114293">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color w:val="000000" w:themeColor="text1"/>
                      <w:sz w:val="21"/>
                      <w:szCs w:val="21"/>
                      <w:highlight w:val="none"/>
                      <w14:textFill>
                        <w14:solidFill>
                          <w14:schemeClr w14:val="tx1"/>
                        </w14:solidFill>
                      </w14:textFill>
                    </w:rPr>
                  </w:pPr>
                </w:p>
              </w:tc>
              <w:tc>
                <w:tcPr>
                  <w:tcW w:w="1211" w:type="pct"/>
                  <w:vMerge w:val="continue"/>
                  <w:tcBorders>
                    <w:tl2br w:val="nil"/>
                    <w:tr2bl w:val="nil"/>
                  </w:tcBorders>
                  <w:noWrap w:val="0"/>
                  <w:vAlign w:val="center"/>
                </w:tcPr>
                <w:p w14:paraId="1AF11A7B">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color w:val="000000" w:themeColor="text1"/>
                      <w:sz w:val="21"/>
                      <w:szCs w:val="21"/>
                      <w:highlight w:val="none"/>
                      <w14:textFill>
                        <w14:solidFill>
                          <w14:schemeClr w14:val="tx1"/>
                        </w14:solidFill>
                      </w14:textFill>
                    </w:rPr>
                  </w:pPr>
                </w:p>
              </w:tc>
              <w:tc>
                <w:tcPr>
                  <w:tcW w:w="891" w:type="pct"/>
                  <w:tcBorders>
                    <w:tl2br w:val="nil"/>
                    <w:tr2bl w:val="nil"/>
                  </w:tcBorders>
                  <w:noWrap w:val="0"/>
                  <w:vAlign w:val="center"/>
                </w:tcPr>
                <w:p w14:paraId="7237AF4D">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spacing w:val="-6"/>
                      <w:kern w:val="0"/>
                      <w:sz w:val="21"/>
                      <w:szCs w:val="21"/>
                      <w:highlight w:val="none"/>
                      <w:lang w:val="en-US" w:eastAsia="zh-CN"/>
                      <w14:textFill>
                        <w14:solidFill>
                          <w14:schemeClr w14:val="tx1"/>
                        </w14:solidFill>
                      </w14:textFill>
                    </w:rPr>
                    <w:t>GB3095-2012及其修改单</w:t>
                  </w:r>
                </w:p>
              </w:tc>
              <w:tc>
                <w:tcPr>
                  <w:tcW w:w="562" w:type="pct"/>
                  <w:tcBorders>
                    <w:tl2br w:val="nil"/>
                    <w:tr2bl w:val="nil"/>
                  </w:tcBorders>
                  <w:noWrap w:val="0"/>
                  <w:vAlign w:val="center"/>
                </w:tcPr>
                <w:p w14:paraId="205FDAEB">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GB3095-2026</w:t>
                  </w:r>
                </w:p>
              </w:tc>
              <w:tc>
                <w:tcPr>
                  <w:tcW w:w="426" w:type="pct"/>
                  <w:vMerge w:val="continue"/>
                  <w:tcBorders>
                    <w:tl2br w:val="nil"/>
                    <w:tr2bl w:val="nil"/>
                  </w:tcBorders>
                  <w:noWrap w:val="0"/>
                  <w:vAlign w:val="center"/>
                </w:tcPr>
                <w:p w14:paraId="39DD0DE2">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862" w:type="pct"/>
                  <w:tcBorders>
                    <w:tl2br w:val="nil"/>
                    <w:tr2bl w:val="nil"/>
                  </w:tcBorders>
                  <w:noWrap w:val="0"/>
                  <w:vAlign w:val="center"/>
                </w:tcPr>
                <w:p w14:paraId="67A76BD9">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eastAsia" w:cs="Times New Roman"/>
                      <w:color w:val="000000" w:themeColor="text1"/>
                      <w:spacing w:val="-6"/>
                      <w:kern w:val="0"/>
                      <w:sz w:val="21"/>
                      <w:szCs w:val="21"/>
                      <w:highlight w:val="none"/>
                      <w:lang w:val="en-US" w:eastAsia="zh-CN"/>
                      <w14:textFill>
                        <w14:solidFill>
                          <w14:schemeClr w14:val="tx1"/>
                        </w14:solidFill>
                      </w14:textFill>
                    </w:rPr>
                    <w:t>GB3095-2012及其修改单</w:t>
                  </w:r>
                </w:p>
              </w:tc>
              <w:tc>
                <w:tcPr>
                  <w:tcW w:w="556" w:type="pct"/>
                  <w:tcBorders>
                    <w:tl2br w:val="nil"/>
                    <w:tr2bl w:val="nil"/>
                  </w:tcBorders>
                  <w:noWrap w:val="0"/>
                  <w:vAlign w:val="center"/>
                </w:tcPr>
                <w:p w14:paraId="165A711D">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GB3095-2026</w:t>
                  </w:r>
                </w:p>
              </w:tc>
            </w:tr>
            <w:tr w14:paraId="510A9BC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488" w:type="pct"/>
                  <w:tcBorders>
                    <w:tl2br w:val="nil"/>
                    <w:tr2bl w:val="nil"/>
                  </w:tcBorders>
                  <w:noWrap w:val="0"/>
                  <w:vAlign w:val="center"/>
                </w:tcPr>
                <w:p w14:paraId="4A1E2877">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SO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p>
              </w:tc>
              <w:tc>
                <w:tcPr>
                  <w:tcW w:w="1211" w:type="pct"/>
                  <w:tcBorders>
                    <w:tl2br w:val="nil"/>
                    <w:tr2bl w:val="nil"/>
                  </w:tcBorders>
                  <w:noWrap w:val="0"/>
                  <w:vAlign w:val="center"/>
                </w:tcPr>
                <w:p w14:paraId="66D5888C">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891" w:type="pct"/>
                  <w:tcBorders>
                    <w:tl2br w:val="nil"/>
                    <w:tr2bl w:val="nil"/>
                  </w:tcBorders>
                  <w:noWrap w:val="0"/>
                  <w:vAlign w:val="center"/>
                </w:tcPr>
                <w:p w14:paraId="1D58AE4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60</w:t>
                  </w:r>
                </w:p>
              </w:tc>
              <w:tc>
                <w:tcPr>
                  <w:tcW w:w="562" w:type="pct"/>
                  <w:tcBorders>
                    <w:tl2br w:val="nil"/>
                    <w:tr2bl w:val="nil"/>
                  </w:tcBorders>
                  <w:noWrap w:val="0"/>
                  <w:vAlign w:val="center"/>
                </w:tcPr>
                <w:p w14:paraId="790D44A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60</w:t>
                  </w:r>
                </w:p>
              </w:tc>
              <w:tc>
                <w:tcPr>
                  <w:tcW w:w="426" w:type="pct"/>
                  <w:tcBorders>
                    <w:tl2br w:val="nil"/>
                    <w:tr2bl w:val="nil"/>
                  </w:tcBorders>
                  <w:noWrap w:val="0"/>
                  <w:vAlign w:val="center"/>
                </w:tcPr>
                <w:p w14:paraId="392392BA">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7</w:t>
                  </w:r>
                </w:p>
              </w:tc>
              <w:tc>
                <w:tcPr>
                  <w:tcW w:w="1335" w:type="dxa"/>
                  <w:tcBorders>
                    <w:tl2br w:val="nil"/>
                    <w:tr2bl w:val="nil"/>
                  </w:tcBorders>
                  <w:noWrap w:val="0"/>
                  <w:vAlign w:val="center"/>
                </w:tcPr>
                <w:p w14:paraId="67D8DF4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c>
                <w:tcPr>
                  <w:tcW w:w="556" w:type="pct"/>
                  <w:tcBorders>
                    <w:tl2br w:val="nil"/>
                    <w:tr2bl w:val="nil"/>
                  </w:tcBorders>
                  <w:shd w:val="clear" w:color="auto" w:fill="auto"/>
                  <w:noWrap w:val="0"/>
                  <w:vAlign w:val="center"/>
                </w:tcPr>
                <w:p w14:paraId="13B48C5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39EA185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488" w:type="pct"/>
                  <w:tcBorders>
                    <w:tl2br w:val="nil"/>
                    <w:tr2bl w:val="nil"/>
                  </w:tcBorders>
                  <w:noWrap w:val="0"/>
                  <w:vAlign w:val="center"/>
                </w:tcPr>
                <w:p w14:paraId="2A4A6297">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NO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p>
              </w:tc>
              <w:tc>
                <w:tcPr>
                  <w:tcW w:w="1211" w:type="pct"/>
                  <w:tcBorders>
                    <w:tl2br w:val="nil"/>
                    <w:tr2bl w:val="nil"/>
                  </w:tcBorders>
                  <w:noWrap w:val="0"/>
                  <w:vAlign w:val="center"/>
                </w:tcPr>
                <w:p w14:paraId="1A36602E">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891" w:type="pct"/>
                  <w:tcBorders>
                    <w:tl2br w:val="nil"/>
                    <w:tr2bl w:val="nil"/>
                  </w:tcBorders>
                  <w:noWrap w:val="0"/>
                  <w:vAlign w:val="center"/>
                </w:tcPr>
                <w:p w14:paraId="0E09C660">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40</w:t>
                  </w:r>
                </w:p>
              </w:tc>
              <w:tc>
                <w:tcPr>
                  <w:tcW w:w="562" w:type="pct"/>
                  <w:tcBorders>
                    <w:tl2br w:val="nil"/>
                    <w:tr2bl w:val="nil"/>
                  </w:tcBorders>
                  <w:noWrap w:val="0"/>
                  <w:vAlign w:val="center"/>
                </w:tcPr>
                <w:p w14:paraId="1AFC7B0B">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40</w:t>
                  </w:r>
                </w:p>
              </w:tc>
              <w:tc>
                <w:tcPr>
                  <w:tcW w:w="426" w:type="pct"/>
                  <w:tcBorders>
                    <w:tl2br w:val="nil"/>
                    <w:tr2bl w:val="nil"/>
                  </w:tcBorders>
                  <w:noWrap w:val="0"/>
                  <w:vAlign w:val="center"/>
                </w:tcPr>
                <w:p w14:paraId="190DF99D">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27</w:t>
                  </w:r>
                </w:p>
              </w:tc>
              <w:tc>
                <w:tcPr>
                  <w:tcW w:w="1335" w:type="dxa"/>
                  <w:tcBorders>
                    <w:tl2br w:val="nil"/>
                    <w:tr2bl w:val="nil"/>
                  </w:tcBorders>
                  <w:noWrap w:val="0"/>
                  <w:vAlign w:val="center"/>
                </w:tcPr>
                <w:p w14:paraId="4762235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c>
                <w:tcPr>
                  <w:tcW w:w="556" w:type="pct"/>
                  <w:tcBorders>
                    <w:tl2br w:val="nil"/>
                    <w:tr2bl w:val="nil"/>
                  </w:tcBorders>
                  <w:shd w:val="clear" w:color="auto" w:fill="auto"/>
                  <w:noWrap w:val="0"/>
                  <w:vAlign w:val="center"/>
                </w:tcPr>
                <w:p w14:paraId="0D034096">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3734D20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488" w:type="pct"/>
                  <w:tcBorders>
                    <w:tl2br w:val="nil"/>
                    <w:tr2bl w:val="nil"/>
                  </w:tcBorders>
                  <w:noWrap w:val="0"/>
                  <w:vAlign w:val="center"/>
                </w:tcPr>
                <w:p w14:paraId="0DBE3B82">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PM</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10</w:t>
                  </w:r>
                </w:p>
              </w:tc>
              <w:tc>
                <w:tcPr>
                  <w:tcW w:w="1211" w:type="pct"/>
                  <w:tcBorders>
                    <w:tl2br w:val="nil"/>
                    <w:tr2bl w:val="nil"/>
                  </w:tcBorders>
                  <w:noWrap w:val="0"/>
                  <w:vAlign w:val="center"/>
                </w:tcPr>
                <w:p w14:paraId="3CD0BCEF">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891" w:type="pct"/>
                  <w:tcBorders>
                    <w:tl2br w:val="nil"/>
                    <w:tr2bl w:val="nil"/>
                  </w:tcBorders>
                  <w:noWrap w:val="0"/>
                  <w:vAlign w:val="center"/>
                </w:tcPr>
                <w:p w14:paraId="0E1AFF4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70</w:t>
                  </w:r>
                </w:p>
              </w:tc>
              <w:tc>
                <w:tcPr>
                  <w:tcW w:w="562" w:type="pct"/>
                  <w:tcBorders>
                    <w:tl2br w:val="nil"/>
                    <w:tr2bl w:val="nil"/>
                  </w:tcBorders>
                  <w:noWrap w:val="0"/>
                  <w:vAlign w:val="center"/>
                </w:tcPr>
                <w:p w14:paraId="662E395F">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60</w:t>
                  </w:r>
                </w:p>
              </w:tc>
              <w:tc>
                <w:tcPr>
                  <w:tcW w:w="426" w:type="pct"/>
                  <w:tcBorders>
                    <w:tl2br w:val="nil"/>
                    <w:tr2bl w:val="nil"/>
                  </w:tcBorders>
                  <w:noWrap w:val="0"/>
                  <w:vAlign w:val="center"/>
                </w:tcPr>
                <w:p w14:paraId="75DCA382">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68</w:t>
                  </w:r>
                </w:p>
              </w:tc>
              <w:tc>
                <w:tcPr>
                  <w:tcW w:w="862" w:type="pct"/>
                  <w:tcBorders>
                    <w:tl2br w:val="nil"/>
                    <w:tr2bl w:val="nil"/>
                  </w:tcBorders>
                  <w:noWrap w:val="0"/>
                  <w:vAlign w:val="center"/>
                </w:tcPr>
                <w:p w14:paraId="2A42469B">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c>
                <w:tcPr>
                  <w:tcW w:w="556" w:type="pct"/>
                  <w:tcBorders>
                    <w:tl2br w:val="nil"/>
                    <w:tr2bl w:val="nil"/>
                  </w:tcBorders>
                  <w:shd w:val="clear" w:color="auto" w:fill="auto"/>
                  <w:noWrap w:val="0"/>
                  <w:vAlign w:val="center"/>
                </w:tcPr>
                <w:p w14:paraId="3111F1EF">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超标</w:t>
                  </w:r>
                </w:p>
              </w:tc>
            </w:tr>
            <w:tr w14:paraId="438EB20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488" w:type="pct"/>
                  <w:tcBorders>
                    <w:tl2br w:val="nil"/>
                    <w:tr2bl w:val="nil"/>
                  </w:tcBorders>
                  <w:noWrap w:val="0"/>
                  <w:vAlign w:val="center"/>
                </w:tcPr>
                <w:p w14:paraId="050F64C6">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PM</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2.5</w:t>
                  </w:r>
                </w:p>
              </w:tc>
              <w:tc>
                <w:tcPr>
                  <w:tcW w:w="1211" w:type="pct"/>
                  <w:tcBorders>
                    <w:tl2br w:val="nil"/>
                    <w:tr2bl w:val="nil"/>
                  </w:tcBorders>
                  <w:noWrap w:val="0"/>
                  <w:vAlign w:val="center"/>
                </w:tcPr>
                <w:p w14:paraId="4A4B4C57">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891" w:type="pct"/>
                  <w:tcBorders>
                    <w:tl2br w:val="nil"/>
                    <w:tr2bl w:val="nil"/>
                  </w:tcBorders>
                  <w:noWrap w:val="0"/>
                  <w:vAlign w:val="center"/>
                </w:tcPr>
                <w:p w14:paraId="58EE2B72">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35</w:t>
                  </w:r>
                </w:p>
              </w:tc>
              <w:tc>
                <w:tcPr>
                  <w:tcW w:w="562" w:type="pct"/>
                  <w:tcBorders>
                    <w:tl2br w:val="nil"/>
                    <w:tr2bl w:val="nil"/>
                  </w:tcBorders>
                  <w:noWrap w:val="0"/>
                  <w:vAlign w:val="center"/>
                </w:tcPr>
                <w:p w14:paraId="1932C09E">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30</w:t>
                  </w:r>
                </w:p>
              </w:tc>
              <w:tc>
                <w:tcPr>
                  <w:tcW w:w="426" w:type="pct"/>
                  <w:tcBorders>
                    <w:tl2br w:val="nil"/>
                    <w:tr2bl w:val="nil"/>
                  </w:tcBorders>
                  <w:noWrap w:val="0"/>
                  <w:vAlign w:val="center"/>
                </w:tcPr>
                <w:p w14:paraId="7409C6DB">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3</w:t>
                  </w:r>
                  <w:r>
                    <w:rPr>
                      <w:rFonts w:hint="eastAsia" w:cs="Times New Roman"/>
                      <w:color w:val="000000" w:themeColor="text1"/>
                      <w:kern w:val="0"/>
                      <w:sz w:val="21"/>
                      <w:szCs w:val="21"/>
                      <w:highlight w:val="none"/>
                      <w:lang w:val="en-US" w:eastAsia="zh-CN"/>
                      <w14:textFill>
                        <w14:solidFill>
                          <w14:schemeClr w14:val="tx1"/>
                        </w14:solidFill>
                      </w14:textFill>
                    </w:rPr>
                    <w:t>7</w:t>
                  </w:r>
                </w:p>
              </w:tc>
              <w:tc>
                <w:tcPr>
                  <w:tcW w:w="862" w:type="pct"/>
                  <w:tcBorders>
                    <w:tl2br w:val="nil"/>
                    <w:tr2bl w:val="nil"/>
                  </w:tcBorders>
                  <w:noWrap w:val="0"/>
                  <w:vAlign w:val="center"/>
                </w:tcPr>
                <w:p w14:paraId="0B8D6DE6">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eastAsia" w:cs="Times New Roman"/>
                      <w:color w:val="000000" w:themeColor="text1"/>
                      <w:kern w:val="0"/>
                      <w:sz w:val="21"/>
                      <w:szCs w:val="21"/>
                      <w:highlight w:val="none"/>
                      <w:lang w:eastAsia="zh-CN"/>
                      <w14:textFill>
                        <w14:solidFill>
                          <w14:schemeClr w14:val="tx1"/>
                        </w14:solidFill>
                      </w14:textFill>
                    </w:rPr>
                    <w:t>超标</w:t>
                  </w:r>
                </w:p>
              </w:tc>
              <w:tc>
                <w:tcPr>
                  <w:tcW w:w="556" w:type="pct"/>
                  <w:tcBorders>
                    <w:tl2br w:val="nil"/>
                    <w:tr2bl w:val="nil"/>
                  </w:tcBorders>
                  <w:shd w:val="clear" w:color="auto" w:fill="auto"/>
                  <w:noWrap w:val="0"/>
                  <w:vAlign w:val="center"/>
                </w:tcPr>
                <w:p w14:paraId="15A00AA1">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eastAsia="zh-CN"/>
                      <w14:textFill>
                        <w14:solidFill>
                          <w14:schemeClr w14:val="tx1"/>
                        </w14:solidFill>
                      </w14:textFill>
                    </w:rPr>
                    <w:t>超标</w:t>
                  </w:r>
                </w:p>
              </w:tc>
            </w:tr>
            <w:tr w14:paraId="1DFC7F8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488" w:type="pct"/>
                  <w:tcBorders>
                    <w:tl2br w:val="nil"/>
                    <w:tr2bl w:val="nil"/>
                  </w:tcBorders>
                  <w:noWrap w:val="0"/>
                  <w:vAlign w:val="center"/>
                </w:tcPr>
                <w:p w14:paraId="34B58F54">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CO</w:t>
                  </w:r>
                </w:p>
              </w:tc>
              <w:tc>
                <w:tcPr>
                  <w:tcW w:w="1211" w:type="pct"/>
                  <w:tcBorders>
                    <w:tl2br w:val="nil"/>
                    <w:tr2bl w:val="nil"/>
                  </w:tcBorders>
                  <w:noWrap w:val="0"/>
                  <w:vAlign w:val="center"/>
                </w:tcPr>
                <w:p w14:paraId="27E4C277">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24h平均质量浓度</w:t>
                  </w:r>
                </w:p>
              </w:tc>
              <w:tc>
                <w:tcPr>
                  <w:tcW w:w="891" w:type="pct"/>
                  <w:tcBorders>
                    <w:tl2br w:val="nil"/>
                    <w:tr2bl w:val="nil"/>
                  </w:tcBorders>
                  <w:noWrap w:val="0"/>
                  <w:vAlign w:val="center"/>
                </w:tcPr>
                <w:p w14:paraId="04497F19">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4000</w:t>
                  </w:r>
                </w:p>
              </w:tc>
              <w:tc>
                <w:tcPr>
                  <w:tcW w:w="562" w:type="pct"/>
                  <w:tcBorders>
                    <w:tl2br w:val="nil"/>
                    <w:tr2bl w:val="nil"/>
                  </w:tcBorders>
                  <w:noWrap w:val="0"/>
                  <w:vAlign w:val="center"/>
                </w:tcPr>
                <w:p w14:paraId="547CA4E9">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4000</w:t>
                  </w:r>
                </w:p>
              </w:tc>
              <w:tc>
                <w:tcPr>
                  <w:tcW w:w="426" w:type="pct"/>
                  <w:tcBorders>
                    <w:tl2br w:val="nil"/>
                    <w:tr2bl w:val="nil"/>
                  </w:tcBorders>
                  <w:noWrap w:val="0"/>
                  <w:vAlign w:val="center"/>
                </w:tcPr>
                <w:p w14:paraId="79DD9AD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w:t>
                  </w:r>
                  <w:r>
                    <w:rPr>
                      <w:rFonts w:hint="eastAsia" w:cs="Times New Roman"/>
                      <w:color w:val="000000" w:themeColor="text1"/>
                      <w:kern w:val="0"/>
                      <w:sz w:val="21"/>
                      <w:szCs w:val="21"/>
                      <w:highlight w:val="none"/>
                      <w:lang w:val="en-US" w:eastAsia="zh-CN"/>
                      <w14:textFill>
                        <w14:solidFill>
                          <w14:schemeClr w14:val="tx1"/>
                        </w14:solidFill>
                      </w14:textFill>
                    </w:rPr>
                    <w:t>3</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00</w:t>
                  </w:r>
                </w:p>
              </w:tc>
              <w:tc>
                <w:tcPr>
                  <w:tcW w:w="862" w:type="pct"/>
                  <w:tcBorders>
                    <w:tl2br w:val="nil"/>
                    <w:tr2bl w:val="nil"/>
                  </w:tcBorders>
                  <w:noWrap w:val="0"/>
                  <w:vAlign w:val="center"/>
                </w:tcPr>
                <w:p w14:paraId="0B1B6560">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c>
                <w:tcPr>
                  <w:tcW w:w="556" w:type="pct"/>
                  <w:tcBorders>
                    <w:tl2br w:val="nil"/>
                    <w:tr2bl w:val="nil"/>
                  </w:tcBorders>
                  <w:shd w:val="clear" w:color="auto" w:fill="auto"/>
                  <w:noWrap w:val="0"/>
                  <w:vAlign w:val="center"/>
                </w:tcPr>
                <w:p w14:paraId="535E3546">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0BF88D7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67" w:hRule="atLeast"/>
                <w:jc w:val="center"/>
              </w:trPr>
              <w:tc>
                <w:tcPr>
                  <w:tcW w:w="488" w:type="pct"/>
                  <w:tcBorders>
                    <w:tl2br w:val="nil"/>
                    <w:tr2bl w:val="nil"/>
                  </w:tcBorders>
                  <w:noWrap w:val="0"/>
                  <w:vAlign w:val="center"/>
                </w:tcPr>
                <w:p w14:paraId="6A2DB8E8">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3</w:t>
                  </w:r>
                </w:p>
              </w:tc>
              <w:tc>
                <w:tcPr>
                  <w:tcW w:w="1211" w:type="pct"/>
                  <w:tcBorders>
                    <w:tl2br w:val="nil"/>
                    <w:tr2bl w:val="nil"/>
                  </w:tcBorders>
                  <w:noWrap w:val="0"/>
                  <w:vAlign w:val="center"/>
                </w:tcPr>
                <w:p w14:paraId="088789ED">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日最大8h平均质量浓度</w:t>
                  </w:r>
                </w:p>
              </w:tc>
              <w:tc>
                <w:tcPr>
                  <w:tcW w:w="891" w:type="pct"/>
                  <w:tcBorders>
                    <w:tl2br w:val="nil"/>
                    <w:tr2bl w:val="nil"/>
                  </w:tcBorders>
                  <w:noWrap w:val="0"/>
                  <w:vAlign w:val="center"/>
                </w:tcPr>
                <w:p w14:paraId="579D687C">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160</w:t>
                  </w:r>
                </w:p>
              </w:tc>
              <w:tc>
                <w:tcPr>
                  <w:tcW w:w="562" w:type="pct"/>
                  <w:tcBorders>
                    <w:tl2br w:val="nil"/>
                    <w:tr2bl w:val="nil"/>
                  </w:tcBorders>
                  <w:noWrap w:val="0"/>
                  <w:vAlign w:val="center"/>
                </w:tcPr>
                <w:p w14:paraId="2F3493E8">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160</w:t>
                  </w:r>
                </w:p>
              </w:tc>
              <w:tc>
                <w:tcPr>
                  <w:tcW w:w="426" w:type="pct"/>
                  <w:tcBorders>
                    <w:tl2br w:val="nil"/>
                    <w:tr2bl w:val="nil"/>
                  </w:tcBorders>
                  <w:noWrap w:val="0"/>
                  <w:vAlign w:val="center"/>
                </w:tcPr>
                <w:p w14:paraId="121EEAD6">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178</w:t>
                  </w:r>
                </w:p>
              </w:tc>
              <w:tc>
                <w:tcPr>
                  <w:tcW w:w="862" w:type="pct"/>
                  <w:tcBorders>
                    <w:tl2br w:val="nil"/>
                    <w:tr2bl w:val="nil"/>
                  </w:tcBorders>
                  <w:noWrap w:val="0"/>
                  <w:vAlign w:val="center"/>
                </w:tcPr>
                <w:p w14:paraId="6F94985F">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超标</w:t>
                  </w:r>
                </w:p>
              </w:tc>
              <w:tc>
                <w:tcPr>
                  <w:tcW w:w="556" w:type="pct"/>
                  <w:tcBorders>
                    <w:tl2br w:val="nil"/>
                    <w:tr2bl w:val="nil"/>
                  </w:tcBorders>
                  <w:shd w:val="clear" w:color="auto" w:fill="auto"/>
                  <w:noWrap w:val="0"/>
                  <w:vAlign w:val="center"/>
                </w:tcPr>
                <w:p w14:paraId="755B9D8B">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超标</w:t>
                  </w:r>
                </w:p>
              </w:tc>
            </w:tr>
          </w:tbl>
          <w:p w14:paraId="6E4776DB">
            <w:pPr>
              <w:keepNext w:val="0"/>
              <w:keepLines w:val="0"/>
              <w:pageBreakBefore w:val="0"/>
              <w:widowControl w:val="0"/>
              <w:shd w:val="clear" w:color="auto" w:fill="auto"/>
              <w:kinsoku/>
              <w:wordWrap/>
              <w:overflowPunct/>
              <w:topLinePunct w:val="0"/>
              <w:autoSpaceDE/>
              <w:autoSpaceDN/>
              <w:bidi w:val="0"/>
              <w:adjustRightInd w:val="0"/>
              <w:snapToGrid w:val="0"/>
              <w:spacing w:line="480" w:lineRule="exact"/>
              <w:ind w:firstLine="480" w:firstLineChars="200"/>
              <w:textAlignment w:val="auto"/>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由上表监测结果可知，项目所在区域SO</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、NO</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PM</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10</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年平均质量浓度及CO日均值第95百分位平均浓度均满足《</w:t>
            </w:r>
            <w:r>
              <w:rPr>
                <w:rFonts w:hint="eastAsia" w:cs="Times New Roman"/>
                <w:color w:val="000000" w:themeColor="text1"/>
                <w:sz w:val="24"/>
                <w:szCs w:val="24"/>
                <w:highlight w:val="none"/>
                <w:lang w:val="en-US" w:eastAsia="zh-CN"/>
                <w14:textFill>
                  <w14:solidFill>
                    <w14:schemeClr w14:val="tx1"/>
                  </w14:solidFill>
                </w14:textFill>
              </w:rPr>
              <w:t>环境空气质量标准</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》（GB </w:t>
            </w:r>
            <w:r>
              <w:rPr>
                <w:rFonts w:hint="eastAsia" w:cs="Times New Roman"/>
                <w:color w:val="000000" w:themeColor="text1"/>
                <w:sz w:val="24"/>
                <w:szCs w:val="24"/>
                <w:highlight w:val="none"/>
                <w:lang w:val="en-US" w:eastAsia="zh-CN"/>
                <w14:textFill>
                  <w14:solidFill>
                    <w14:schemeClr w14:val="tx1"/>
                  </w14:solidFill>
                </w14:textFill>
              </w:rPr>
              <w:t>3095</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-2012）及其修改单中二级标准限值要求；PM</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2.5</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年平均质量浓度、O</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3</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日最大8小时平均第90百分位平均浓度不满足上述标准限值要求。</w:t>
            </w:r>
          </w:p>
          <w:p w14:paraId="09C685C9">
            <w:pPr>
              <w:keepNext w:val="0"/>
              <w:keepLines w:val="0"/>
              <w:pageBreakBefore w:val="0"/>
              <w:widowControl w:val="0"/>
              <w:shd w:val="clear" w:color="auto" w:fill="auto"/>
              <w:kinsoku/>
              <w:wordWrap/>
              <w:overflowPunct/>
              <w:topLinePunct w:val="0"/>
              <w:autoSpaceDE/>
              <w:autoSpaceDN/>
              <w:bidi w:val="0"/>
              <w:adjustRightInd w:val="0"/>
              <w:snapToGrid w:val="0"/>
              <w:spacing w:line="480" w:lineRule="exact"/>
              <w:ind w:firstLine="480" w:firstLineChars="200"/>
              <w:textAlignment w:val="auto"/>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对照《</w:t>
            </w:r>
            <w:r>
              <w:rPr>
                <w:rFonts w:hint="eastAsia" w:cs="Times New Roman"/>
                <w:color w:val="000000" w:themeColor="text1"/>
                <w:sz w:val="24"/>
                <w:szCs w:val="24"/>
                <w:highlight w:val="none"/>
                <w:lang w:val="en-US" w:eastAsia="zh-CN"/>
                <w14:textFill>
                  <w14:solidFill>
                    <w14:schemeClr w14:val="tx1"/>
                  </w14:solidFill>
                </w14:textFill>
              </w:rPr>
              <w:t>环境空气质量标准</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》（GB </w:t>
            </w:r>
            <w:r>
              <w:rPr>
                <w:rFonts w:hint="eastAsia" w:cs="Times New Roman"/>
                <w:color w:val="000000" w:themeColor="text1"/>
                <w:sz w:val="24"/>
                <w:szCs w:val="24"/>
                <w:highlight w:val="none"/>
                <w:lang w:val="en-US" w:eastAsia="zh-CN"/>
                <w14:textFill>
                  <w14:solidFill>
                    <w14:schemeClr w14:val="tx1"/>
                  </w14:solidFill>
                </w14:textFill>
              </w:rPr>
              <w:t>3095</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-2026）过渡阶段二级标准，SO</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、NO</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年平均质量浓度及CO日均值第95百分位平均浓度满足标准要求；PM</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2.5</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、PM</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10</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年平均质量浓度及O</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3</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日最大8小时平均第90百分位平均浓度不满足该标准限值要求。</w:t>
            </w:r>
          </w:p>
          <w:p w14:paraId="7BE4B2B2">
            <w:pPr>
              <w:keepNext w:val="0"/>
              <w:keepLines w:val="0"/>
              <w:pageBreakBefore w:val="0"/>
              <w:widowControl w:val="0"/>
              <w:shd w:val="clear" w:color="auto" w:fill="auto"/>
              <w:kinsoku/>
              <w:wordWrap/>
              <w:overflowPunct/>
              <w:topLinePunct w:val="0"/>
              <w:autoSpaceDE/>
              <w:autoSpaceDN/>
              <w:bidi w:val="0"/>
              <w:adjustRightInd w:val="0"/>
              <w:snapToGrid w:val="0"/>
              <w:spacing w:line="480" w:lineRule="exact"/>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综合判定，项目所在区域环境空气质量现状不满足相应</w:t>
            </w:r>
            <w:r>
              <w:rPr>
                <w:rFonts w:hint="eastAsia" w:cs="Times New Roman"/>
                <w:color w:val="000000" w:themeColor="text1"/>
                <w:sz w:val="24"/>
                <w:szCs w:val="24"/>
                <w:highlight w:val="none"/>
                <w:lang w:val="en-US" w:eastAsia="zh-CN"/>
                <w14:textFill>
                  <w14:solidFill>
                    <w14:schemeClr w14:val="tx1"/>
                  </w14:solidFill>
                </w14:textFill>
              </w:rPr>
              <w:t>《环境空气质量标准》</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要求，属于环境空气质量不达标区。</w:t>
            </w:r>
          </w:p>
          <w:p w14:paraId="4131DEA4">
            <w:pPr>
              <w:keepNext w:val="0"/>
              <w:keepLines w:val="0"/>
              <w:pageBreakBefore w:val="0"/>
              <w:widowControl w:val="0"/>
              <w:shd w:val="clear"/>
              <w:kinsoku/>
              <w:wordWrap/>
              <w:overflowPunct/>
              <w:topLinePunct w:val="0"/>
              <w:autoSpaceDE w:val="0"/>
              <w:autoSpaceDN w:val="0"/>
              <w:bidi w:val="0"/>
              <w:adjustRightInd w:val="0"/>
              <w:snapToGrid w:val="0"/>
              <w:spacing w:line="480" w:lineRule="exact"/>
              <w:ind w:firstLine="496" w:firstLineChars="200"/>
              <w:jc w:val="left"/>
              <w:textAlignment w:val="auto"/>
              <w:rPr>
                <w:rFonts w:hint="eastAsia" w:eastAsia="宋体"/>
                <w:color w:val="000000" w:themeColor="text1"/>
                <w:spacing w:val="4"/>
                <w:kern w:val="0"/>
                <w:sz w:val="24"/>
                <w:highlight w:val="none"/>
                <w:lang w:eastAsia="zh-CN"/>
                <w14:textFill>
                  <w14:solidFill>
                    <w14:schemeClr w14:val="tx1"/>
                  </w14:solidFill>
                </w14:textFill>
              </w:rPr>
            </w:pPr>
            <w:r>
              <w:rPr>
                <w:rFonts w:hint="eastAsia"/>
                <w:color w:val="000000" w:themeColor="text1"/>
                <w:spacing w:val="4"/>
                <w:kern w:val="0"/>
                <w:sz w:val="24"/>
                <w:highlight w:val="none"/>
                <w:lang w:eastAsia="zh-CN"/>
                <w14:textFill>
                  <w14:solidFill>
                    <w14:schemeClr w14:val="tx1"/>
                  </w14:solidFill>
                </w14:textFill>
              </w:rPr>
              <w:t>⑵项目所在区域污染物环境质量现状</w:t>
            </w:r>
          </w:p>
          <w:p w14:paraId="005CC65A">
            <w:pPr>
              <w:keepNext w:val="0"/>
              <w:keepLines w:val="0"/>
              <w:pageBreakBefore w:val="0"/>
              <w:widowControl w:val="0"/>
              <w:shd w:val="clear"/>
              <w:kinsoku/>
              <w:wordWrap/>
              <w:overflowPunct/>
              <w:topLinePunct w:val="0"/>
              <w:autoSpaceDE w:val="0"/>
              <w:autoSpaceDN w:val="0"/>
              <w:bidi w:val="0"/>
              <w:adjustRightInd w:val="0"/>
              <w:snapToGrid w:val="0"/>
              <w:spacing w:line="480" w:lineRule="exact"/>
              <w:ind w:firstLine="496" w:firstLineChars="200"/>
              <w:jc w:val="left"/>
              <w:textAlignment w:val="auto"/>
              <w:rPr>
                <w:rFonts w:hint="eastAsia" w:eastAsia="宋体"/>
                <w:color w:val="000000" w:themeColor="text1"/>
                <w:spacing w:val="4"/>
                <w:kern w:val="0"/>
                <w:sz w:val="24"/>
                <w:highlight w:val="none"/>
                <w:lang w:eastAsia="zh-CN"/>
                <w14:textFill>
                  <w14:solidFill>
                    <w14:schemeClr w14:val="tx1"/>
                  </w14:solidFill>
                </w14:textFill>
              </w:rPr>
            </w:pPr>
            <w:r>
              <w:rPr>
                <w:rFonts w:hint="eastAsia"/>
                <w:color w:val="000000" w:themeColor="text1"/>
                <w:spacing w:val="4"/>
                <w:kern w:val="0"/>
                <w:sz w:val="24"/>
                <w:highlight w:val="none"/>
                <w:lang w:eastAsia="zh-CN"/>
                <w14:textFill>
                  <w14:solidFill>
                    <w14:schemeClr w14:val="tx1"/>
                  </w14:solidFill>
                </w14:textFill>
              </w:rPr>
              <w:t>①基本污染物环境质量现状评价</w:t>
            </w:r>
          </w:p>
          <w:p w14:paraId="2DF1019B">
            <w:pPr>
              <w:keepNext w:val="0"/>
              <w:keepLines w:val="0"/>
              <w:pageBreakBefore w:val="0"/>
              <w:widowControl w:val="0"/>
              <w:shd w:val="clear"/>
              <w:kinsoku/>
              <w:wordWrap/>
              <w:overflowPunct/>
              <w:topLinePunct w:val="0"/>
              <w:autoSpaceDE w:val="0"/>
              <w:autoSpaceDN w:val="0"/>
              <w:bidi w:val="0"/>
              <w:adjustRightInd w:val="0"/>
              <w:snapToGrid w:val="0"/>
              <w:spacing w:line="480" w:lineRule="exact"/>
              <w:ind w:firstLine="496" w:firstLineChars="200"/>
              <w:jc w:val="left"/>
              <w:textAlignment w:val="auto"/>
              <w:rPr>
                <w:color w:val="000000" w:themeColor="text1"/>
                <w:spacing w:val="4"/>
                <w:kern w:val="0"/>
                <w:sz w:val="24"/>
                <w:highlight w:val="none"/>
                <w14:textFill>
                  <w14:solidFill>
                    <w14:schemeClr w14:val="tx1"/>
                  </w14:solidFill>
                </w14:textFill>
              </w:rPr>
            </w:pPr>
            <w:r>
              <w:rPr>
                <w:color w:val="000000" w:themeColor="text1"/>
                <w:spacing w:val="4"/>
                <w:kern w:val="0"/>
                <w:sz w:val="24"/>
                <w:highlight w:val="none"/>
                <w14:textFill>
                  <w14:solidFill>
                    <w14:schemeClr w14:val="tx1"/>
                  </w14:solidFill>
                </w14:textFill>
              </w:rPr>
              <w:t>本项目</w:t>
            </w:r>
            <w:r>
              <w:rPr>
                <w:rFonts w:hint="eastAsia"/>
                <w:color w:val="000000" w:themeColor="text1"/>
                <w:spacing w:val="4"/>
                <w:kern w:val="0"/>
                <w:sz w:val="24"/>
                <w:highlight w:val="none"/>
                <w:lang w:eastAsia="zh-CN"/>
                <w14:textFill>
                  <w14:solidFill>
                    <w14:schemeClr w14:val="tx1"/>
                  </w14:solidFill>
                </w14:textFill>
              </w:rPr>
              <w:t>常规因子</w:t>
            </w:r>
            <w:r>
              <w:rPr>
                <w:color w:val="000000" w:themeColor="text1"/>
                <w:spacing w:val="4"/>
                <w:kern w:val="0"/>
                <w:sz w:val="24"/>
                <w:highlight w:val="none"/>
                <w14:textFill>
                  <w14:solidFill>
                    <w14:schemeClr w14:val="tx1"/>
                  </w14:solidFill>
                </w14:textFill>
              </w:rPr>
              <w:t>PM</w:t>
            </w:r>
            <w:r>
              <w:rPr>
                <w:color w:val="000000" w:themeColor="text1"/>
                <w:spacing w:val="4"/>
                <w:kern w:val="0"/>
                <w:sz w:val="24"/>
                <w:highlight w:val="none"/>
                <w:vertAlign w:val="subscript"/>
                <w14:textFill>
                  <w14:solidFill>
                    <w14:schemeClr w14:val="tx1"/>
                  </w14:solidFill>
                </w14:textFill>
              </w:rPr>
              <w:t>10</w:t>
            </w:r>
            <w:r>
              <w:rPr>
                <w:color w:val="000000" w:themeColor="text1"/>
                <w:spacing w:val="4"/>
                <w:kern w:val="0"/>
                <w:sz w:val="24"/>
                <w:highlight w:val="none"/>
                <w14:textFill>
                  <w14:solidFill>
                    <w14:schemeClr w14:val="tx1"/>
                  </w14:solidFill>
                </w14:textFill>
              </w:rPr>
              <w:t>、PM</w:t>
            </w:r>
            <w:r>
              <w:rPr>
                <w:color w:val="000000" w:themeColor="text1"/>
                <w:spacing w:val="4"/>
                <w:kern w:val="0"/>
                <w:sz w:val="24"/>
                <w:highlight w:val="none"/>
                <w:vertAlign w:val="subscript"/>
                <w14:textFill>
                  <w14:solidFill>
                    <w14:schemeClr w14:val="tx1"/>
                  </w14:solidFill>
                </w14:textFill>
              </w:rPr>
              <w:t>2.5</w:t>
            </w:r>
            <w:r>
              <w:rPr>
                <w:color w:val="000000" w:themeColor="text1"/>
                <w:spacing w:val="4"/>
                <w:kern w:val="0"/>
                <w:sz w:val="24"/>
                <w:highlight w:val="none"/>
                <w14:textFill>
                  <w14:solidFill>
                    <w14:schemeClr w14:val="tx1"/>
                  </w14:solidFill>
                </w14:textFill>
              </w:rPr>
              <w:t>、SO</w:t>
            </w:r>
            <w:r>
              <w:rPr>
                <w:color w:val="000000" w:themeColor="text1"/>
                <w:spacing w:val="4"/>
                <w:kern w:val="0"/>
                <w:sz w:val="24"/>
                <w:highlight w:val="none"/>
                <w:vertAlign w:val="subscript"/>
                <w14:textFill>
                  <w14:solidFill>
                    <w14:schemeClr w14:val="tx1"/>
                  </w14:solidFill>
                </w14:textFill>
              </w:rPr>
              <w:t>2</w:t>
            </w:r>
            <w:r>
              <w:rPr>
                <w:color w:val="000000" w:themeColor="text1"/>
                <w:spacing w:val="4"/>
                <w:kern w:val="0"/>
                <w:sz w:val="24"/>
                <w:highlight w:val="none"/>
                <w14:textFill>
                  <w14:solidFill>
                    <w14:schemeClr w14:val="tx1"/>
                  </w14:solidFill>
                </w14:textFill>
              </w:rPr>
              <w:t>、NO</w:t>
            </w:r>
            <w:r>
              <w:rPr>
                <w:color w:val="000000" w:themeColor="text1"/>
                <w:spacing w:val="4"/>
                <w:kern w:val="0"/>
                <w:sz w:val="24"/>
                <w:highlight w:val="none"/>
                <w:vertAlign w:val="subscript"/>
                <w14:textFill>
                  <w14:solidFill>
                    <w14:schemeClr w14:val="tx1"/>
                  </w14:solidFill>
                </w14:textFill>
              </w:rPr>
              <w:t>2</w:t>
            </w:r>
            <w:r>
              <w:rPr>
                <w:color w:val="000000" w:themeColor="text1"/>
                <w:spacing w:val="4"/>
                <w:kern w:val="0"/>
                <w:sz w:val="24"/>
                <w:highlight w:val="none"/>
                <w14:textFill>
                  <w14:solidFill>
                    <w14:schemeClr w14:val="tx1"/>
                  </w14:solidFill>
                </w14:textFill>
              </w:rPr>
              <w:t>、CO、O</w:t>
            </w:r>
            <w:r>
              <w:rPr>
                <w:color w:val="000000" w:themeColor="text1"/>
                <w:spacing w:val="4"/>
                <w:kern w:val="0"/>
                <w:sz w:val="24"/>
                <w:highlight w:val="none"/>
                <w:vertAlign w:val="subscript"/>
                <w14:textFill>
                  <w14:solidFill>
                    <w14:schemeClr w14:val="tx1"/>
                  </w14:solidFill>
                </w14:textFill>
              </w:rPr>
              <w:t>3</w:t>
            </w:r>
            <w:r>
              <w:rPr>
                <w:color w:val="000000" w:themeColor="text1"/>
                <w:spacing w:val="4"/>
                <w:kern w:val="0"/>
                <w:sz w:val="24"/>
                <w:highlight w:val="none"/>
                <w14:textFill>
                  <w14:solidFill>
                    <w14:schemeClr w14:val="tx1"/>
                  </w14:solidFill>
                </w14:textFill>
              </w:rPr>
              <w:t>引用</w:t>
            </w:r>
            <w:r>
              <w:rPr>
                <w:color w:val="000000" w:themeColor="text1"/>
                <w:spacing w:val="6"/>
                <w:sz w:val="24"/>
                <w:highlight w:val="none"/>
                <w14:textFill>
                  <w14:solidFill>
                    <w14:schemeClr w14:val="tx1"/>
                  </w14:solidFill>
                </w14:textFill>
              </w:rPr>
              <w:t>《202</w:t>
            </w:r>
            <w:r>
              <w:rPr>
                <w:rFonts w:hint="eastAsia"/>
                <w:color w:val="000000" w:themeColor="text1"/>
                <w:spacing w:val="6"/>
                <w:sz w:val="24"/>
                <w:highlight w:val="none"/>
                <w:lang w:val="en-US" w:eastAsia="zh-CN"/>
                <w14:textFill>
                  <w14:solidFill>
                    <w14:schemeClr w14:val="tx1"/>
                  </w14:solidFill>
                </w14:textFill>
              </w:rPr>
              <w:t>4</w:t>
            </w:r>
            <w:r>
              <w:rPr>
                <w:color w:val="000000" w:themeColor="text1"/>
                <w:spacing w:val="6"/>
                <w:sz w:val="24"/>
                <w:highlight w:val="none"/>
                <w14:textFill>
                  <w14:solidFill>
                    <w14:schemeClr w14:val="tx1"/>
                  </w14:solidFill>
                </w14:textFill>
              </w:rPr>
              <w:t>年唐山市</w:t>
            </w:r>
            <w:r>
              <w:rPr>
                <w:rFonts w:hint="eastAsia"/>
                <w:color w:val="000000" w:themeColor="text1"/>
                <w:spacing w:val="6"/>
                <w:sz w:val="24"/>
                <w:highlight w:val="none"/>
                <w:lang w:eastAsia="zh-CN"/>
                <w14:textFill>
                  <w14:solidFill>
                    <w14:schemeClr w14:val="tx1"/>
                  </w14:solidFill>
                </w14:textFill>
              </w:rPr>
              <w:t>生态</w:t>
            </w:r>
            <w:r>
              <w:rPr>
                <w:color w:val="000000" w:themeColor="text1"/>
                <w:spacing w:val="6"/>
                <w:sz w:val="24"/>
                <w:highlight w:val="none"/>
                <w14:textFill>
                  <w14:solidFill>
                    <w14:schemeClr w14:val="tx1"/>
                  </w14:solidFill>
                </w14:textFill>
              </w:rPr>
              <w:t>环境状况公报》</w:t>
            </w:r>
            <w:r>
              <w:rPr>
                <w:color w:val="000000" w:themeColor="text1"/>
                <w:spacing w:val="4"/>
                <w:kern w:val="0"/>
                <w:sz w:val="24"/>
                <w:highlight w:val="none"/>
                <w14:textFill>
                  <w14:solidFill>
                    <w14:schemeClr w14:val="tx1"/>
                  </w14:solidFill>
                </w14:textFill>
              </w:rPr>
              <w:t>中</w:t>
            </w:r>
            <w:r>
              <w:rPr>
                <w:rFonts w:hint="eastAsia"/>
                <w:color w:val="000000" w:themeColor="text1"/>
                <w:spacing w:val="4"/>
                <w:kern w:val="0"/>
                <w:sz w:val="24"/>
                <w:highlight w:val="none"/>
                <w:lang w:eastAsia="zh-CN"/>
                <w14:textFill>
                  <w14:solidFill>
                    <w14:schemeClr w14:val="tx1"/>
                  </w14:solidFill>
                </w14:textFill>
              </w:rPr>
              <w:t>滦州市环境空气质量数据</w:t>
            </w:r>
            <w:r>
              <w:rPr>
                <w:color w:val="000000" w:themeColor="text1"/>
                <w:spacing w:val="4"/>
                <w:kern w:val="0"/>
                <w:sz w:val="24"/>
                <w:highlight w:val="none"/>
                <w14:textFill>
                  <w14:solidFill>
                    <w14:schemeClr w14:val="tx1"/>
                  </w14:solidFill>
                </w14:textFill>
              </w:rPr>
              <w:t>。监测数据如下：</w:t>
            </w:r>
          </w:p>
          <w:p w14:paraId="13D3E89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20</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24</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年</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滦州市</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环境空气质量浓度值情况表</w:t>
            </w:r>
          </w:p>
          <w:tbl>
            <w:tblPr>
              <w:tblStyle w:val="32"/>
              <w:tblW w:w="4776"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07"/>
              <w:gridCol w:w="1824"/>
              <w:gridCol w:w="1380"/>
              <w:gridCol w:w="870"/>
              <w:gridCol w:w="660"/>
              <w:gridCol w:w="1335"/>
              <w:gridCol w:w="862"/>
            </w:tblGrid>
            <w:tr w14:paraId="0BCFD18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03" w:hRule="atLeast"/>
                <w:jc w:val="center"/>
              </w:trPr>
              <w:tc>
                <w:tcPr>
                  <w:tcW w:w="521" w:type="pct"/>
                  <w:vMerge w:val="restart"/>
                  <w:tcBorders>
                    <w:tl2br w:val="nil"/>
                    <w:tr2bl w:val="nil"/>
                  </w:tcBorders>
                  <w:noWrap w:val="0"/>
                  <w:vAlign w:val="center"/>
                </w:tcPr>
                <w:p w14:paraId="69F44B9E">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污染物</w:t>
                  </w:r>
                </w:p>
              </w:tc>
              <w:tc>
                <w:tcPr>
                  <w:tcW w:w="1178" w:type="pct"/>
                  <w:vMerge w:val="restart"/>
                  <w:tcBorders>
                    <w:tl2br w:val="nil"/>
                    <w:tr2bl w:val="nil"/>
                  </w:tcBorders>
                  <w:noWrap w:val="0"/>
                  <w:vAlign w:val="center"/>
                </w:tcPr>
                <w:p w14:paraId="3A2FC798">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年评价指标</w:t>
                  </w:r>
                </w:p>
              </w:tc>
              <w:tc>
                <w:tcPr>
                  <w:tcW w:w="1453" w:type="pct"/>
                  <w:gridSpan w:val="2"/>
                  <w:tcBorders>
                    <w:tl2br w:val="nil"/>
                    <w:tr2bl w:val="nil"/>
                  </w:tcBorders>
                  <w:noWrap w:val="0"/>
                  <w:vAlign w:val="center"/>
                </w:tcPr>
                <w:p w14:paraId="451ED42D">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评价标准</w:t>
                  </w:r>
                </w:p>
              </w:tc>
              <w:tc>
                <w:tcPr>
                  <w:tcW w:w="426" w:type="pct"/>
                  <w:vMerge w:val="restart"/>
                  <w:tcBorders>
                    <w:tl2br w:val="nil"/>
                    <w:tr2bl w:val="nil"/>
                  </w:tcBorders>
                  <w:noWrap w:val="0"/>
                  <w:vAlign w:val="center"/>
                </w:tcPr>
                <w:p w14:paraId="02A095C3">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现状浓度</w:t>
                  </w:r>
                </w:p>
              </w:tc>
              <w:tc>
                <w:tcPr>
                  <w:tcW w:w="1419" w:type="pct"/>
                  <w:gridSpan w:val="2"/>
                  <w:tcBorders>
                    <w:tl2br w:val="nil"/>
                    <w:tr2bl w:val="nil"/>
                  </w:tcBorders>
                  <w:noWrap w:val="0"/>
                  <w:vAlign w:val="center"/>
                </w:tcPr>
                <w:p w14:paraId="753BECE4">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达标情况</w:t>
                  </w:r>
                </w:p>
              </w:tc>
            </w:tr>
            <w:tr w14:paraId="397A752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03" w:hRule="atLeast"/>
                <w:jc w:val="center"/>
              </w:trPr>
              <w:tc>
                <w:tcPr>
                  <w:tcW w:w="521" w:type="pct"/>
                  <w:vMerge w:val="continue"/>
                  <w:tcBorders>
                    <w:tl2br w:val="nil"/>
                    <w:tr2bl w:val="nil"/>
                  </w:tcBorders>
                  <w:noWrap w:val="0"/>
                  <w:vAlign w:val="center"/>
                </w:tcPr>
                <w:p w14:paraId="31EAFE61">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color w:val="000000" w:themeColor="text1"/>
                      <w:sz w:val="21"/>
                      <w:szCs w:val="21"/>
                      <w:highlight w:val="none"/>
                      <w14:textFill>
                        <w14:solidFill>
                          <w14:schemeClr w14:val="tx1"/>
                        </w14:solidFill>
                      </w14:textFill>
                    </w:rPr>
                  </w:pPr>
                </w:p>
              </w:tc>
              <w:tc>
                <w:tcPr>
                  <w:tcW w:w="1178" w:type="pct"/>
                  <w:vMerge w:val="continue"/>
                  <w:tcBorders>
                    <w:tl2br w:val="nil"/>
                    <w:tr2bl w:val="nil"/>
                  </w:tcBorders>
                  <w:noWrap w:val="0"/>
                  <w:vAlign w:val="center"/>
                </w:tcPr>
                <w:p w14:paraId="64FEBA0B">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color w:val="000000" w:themeColor="text1"/>
                      <w:sz w:val="21"/>
                      <w:szCs w:val="21"/>
                      <w:highlight w:val="none"/>
                      <w14:textFill>
                        <w14:solidFill>
                          <w14:schemeClr w14:val="tx1"/>
                        </w14:solidFill>
                      </w14:textFill>
                    </w:rPr>
                  </w:pPr>
                </w:p>
              </w:tc>
              <w:tc>
                <w:tcPr>
                  <w:tcW w:w="891" w:type="pct"/>
                  <w:tcBorders>
                    <w:tl2br w:val="nil"/>
                    <w:tr2bl w:val="nil"/>
                  </w:tcBorders>
                  <w:noWrap w:val="0"/>
                  <w:vAlign w:val="center"/>
                </w:tcPr>
                <w:p w14:paraId="1E7D97F7">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spacing w:val="-6"/>
                      <w:kern w:val="0"/>
                      <w:sz w:val="21"/>
                      <w:szCs w:val="21"/>
                      <w:highlight w:val="none"/>
                      <w:lang w:val="en-US" w:eastAsia="zh-CN"/>
                      <w14:textFill>
                        <w14:solidFill>
                          <w14:schemeClr w14:val="tx1"/>
                        </w14:solidFill>
                      </w14:textFill>
                    </w:rPr>
                    <w:t>GB3095-2012及其修改单</w:t>
                  </w:r>
                </w:p>
              </w:tc>
              <w:tc>
                <w:tcPr>
                  <w:tcW w:w="562" w:type="pct"/>
                  <w:tcBorders>
                    <w:tl2br w:val="nil"/>
                    <w:tr2bl w:val="nil"/>
                  </w:tcBorders>
                  <w:noWrap w:val="0"/>
                  <w:vAlign w:val="center"/>
                </w:tcPr>
                <w:p w14:paraId="14A03C4F">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GB3095-2026</w:t>
                  </w:r>
                </w:p>
              </w:tc>
              <w:tc>
                <w:tcPr>
                  <w:tcW w:w="426" w:type="pct"/>
                  <w:vMerge w:val="continue"/>
                  <w:tcBorders>
                    <w:tl2br w:val="nil"/>
                    <w:tr2bl w:val="nil"/>
                  </w:tcBorders>
                  <w:noWrap w:val="0"/>
                  <w:vAlign w:val="center"/>
                </w:tcPr>
                <w:p w14:paraId="6CEAA7F9">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862" w:type="pct"/>
                  <w:tcBorders>
                    <w:tl2br w:val="nil"/>
                    <w:tr2bl w:val="nil"/>
                  </w:tcBorders>
                  <w:noWrap w:val="0"/>
                  <w:vAlign w:val="center"/>
                </w:tcPr>
                <w:p w14:paraId="434BDD79">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eastAsia" w:cs="Times New Roman"/>
                      <w:color w:val="000000" w:themeColor="text1"/>
                      <w:spacing w:val="-6"/>
                      <w:kern w:val="0"/>
                      <w:sz w:val="21"/>
                      <w:szCs w:val="21"/>
                      <w:highlight w:val="none"/>
                      <w:lang w:val="en-US" w:eastAsia="zh-CN"/>
                      <w14:textFill>
                        <w14:solidFill>
                          <w14:schemeClr w14:val="tx1"/>
                        </w14:solidFill>
                      </w14:textFill>
                    </w:rPr>
                    <w:t>GB3095-2012及其修改单</w:t>
                  </w:r>
                </w:p>
              </w:tc>
              <w:tc>
                <w:tcPr>
                  <w:tcW w:w="556" w:type="pct"/>
                  <w:tcBorders>
                    <w:tl2br w:val="nil"/>
                    <w:tr2bl w:val="nil"/>
                  </w:tcBorders>
                  <w:noWrap w:val="0"/>
                  <w:vAlign w:val="center"/>
                </w:tcPr>
                <w:p w14:paraId="0E0E3D80">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GB3095-2026</w:t>
                  </w:r>
                </w:p>
              </w:tc>
            </w:tr>
            <w:tr w14:paraId="2B88408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521" w:type="pct"/>
                  <w:tcBorders>
                    <w:tl2br w:val="nil"/>
                    <w:tr2bl w:val="nil"/>
                  </w:tcBorders>
                  <w:noWrap w:val="0"/>
                  <w:vAlign w:val="center"/>
                </w:tcPr>
                <w:p w14:paraId="7D7AD89F">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SO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p>
              </w:tc>
              <w:tc>
                <w:tcPr>
                  <w:tcW w:w="1178" w:type="pct"/>
                  <w:tcBorders>
                    <w:tl2br w:val="nil"/>
                    <w:tr2bl w:val="nil"/>
                  </w:tcBorders>
                  <w:noWrap w:val="0"/>
                  <w:vAlign w:val="center"/>
                </w:tcPr>
                <w:p w14:paraId="35413062">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891" w:type="pct"/>
                  <w:tcBorders>
                    <w:tl2br w:val="nil"/>
                    <w:tr2bl w:val="nil"/>
                  </w:tcBorders>
                  <w:noWrap w:val="0"/>
                  <w:vAlign w:val="center"/>
                </w:tcPr>
                <w:p w14:paraId="2BDD8BF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60</w:t>
                  </w:r>
                </w:p>
              </w:tc>
              <w:tc>
                <w:tcPr>
                  <w:tcW w:w="562" w:type="pct"/>
                  <w:tcBorders>
                    <w:tl2br w:val="nil"/>
                    <w:tr2bl w:val="nil"/>
                  </w:tcBorders>
                  <w:noWrap w:val="0"/>
                  <w:vAlign w:val="center"/>
                </w:tcPr>
                <w:p w14:paraId="46F8DBEC">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60</w:t>
                  </w:r>
                </w:p>
              </w:tc>
              <w:tc>
                <w:tcPr>
                  <w:tcW w:w="426" w:type="pct"/>
                  <w:tcBorders>
                    <w:tl2br w:val="nil"/>
                    <w:tr2bl w:val="nil"/>
                  </w:tcBorders>
                  <w:noWrap w:val="0"/>
                  <w:vAlign w:val="center"/>
                </w:tcPr>
                <w:p w14:paraId="1951CDEC">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10</w:t>
                  </w:r>
                </w:p>
              </w:tc>
              <w:tc>
                <w:tcPr>
                  <w:tcW w:w="862" w:type="pct"/>
                  <w:tcBorders>
                    <w:tl2br w:val="nil"/>
                    <w:tr2bl w:val="nil"/>
                  </w:tcBorders>
                  <w:noWrap w:val="0"/>
                  <w:vAlign w:val="center"/>
                </w:tcPr>
                <w:p w14:paraId="6B2C783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c>
                <w:tcPr>
                  <w:tcW w:w="556" w:type="pct"/>
                  <w:tcBorders>
                    <w:tl2br w:val="nil"/>
                    <w:tr2bl w:val="nil"/>
                  </w:tcBorders>
                  <w:shd w:val="clear" w:color="auto" w:fill="auto"/>
                  <w:noWrap w:val="0"/>
                  <w:vAlign w:val="center"/>
                </w:tcPr>
                <w:p w14:paraId="554983D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6AFFE7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521" w:type="pct"/>
                  <w:tcBorders>
                    <w:tl2br w:val="nil"/>
                    <w:tr2bl w:val="nil"/>
                  </w:tcBorders>
                  <w:noWrap w:val="0"/>
                  <w:vAlign w:val="center"/>
                </w:tcPr>
                <w:p w14:paraId="67639FB9">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NO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p>
              </w:tc>
              <w:tc>
                <w:tcPr>
                  <w:tcW w:w="1178" w:type="pct"/>
                  <w:tcBorders>
                    <w:tl2br w:val="nil"/>
                    <w:tr2bl w:val="nil"/>
                  </w:tcBorders>
                  <w:noWrap w:val="0"/>
                  <w:vAlign w:val="center"/>
                </w:tcPr>
                <w:p w14:paraId="630A0BCA">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891" w:type="pct"/>
                  <w:tcBorders>
                    <w:tl2br w:val="nil"/>
                    <w:tr2bl w:val="nil"/>
                  </w:tcBorders>
                  <w:noWrap w:val="0"/>
                  <w:vAlign w:val="center"/>
                </w:tcPr>
                <w:p w14:paraId="41B5B031">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40</w:t>
                  </w:r>
                </w:p>
              </w:tc>
              <w:tc>
                <w:tcPr>
                  <w:tcW w:w="562" w:type="pct"/>
                  <w:tcBorders>
                    <w:tl2br w:val="nil"/>
                    <w:tr2bl w:val="nil"/>
                  </w:tcBorders>
                  <w:noWrap w:val="0"/>
                  <w:vAlign w:val="center"/>
                </w:tcPr>
                <w:p w14:paraId="4B2BBF9E">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40</w:t>
                  </w:r>
                </w:p>
              </w:tc>
              <w:tc>
                <w:tcPr>
                  <w:tcW w:w="426" w:type="pct"/>
                  <w:tcBorders>
                    <w:tl2br w:val="nil"/>
                    <w:tr2bl w:val="nil"/>
                  </w:tcBorders>
                  <w:noWrap w:val="0"/>
                  <w:vAlign w:val="center"/>
                </w:tcPr>
                <w:p w14:paraId="62B85317">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30</w:t>
                  </w:r>
                </w:p>
              </w:tc>
              <w:tc>
                <w:tcPr>
                  <w:tcW w:w="862" w:type="pct"/>
                  <w:tcBorders>
                    <w:tl2br w:val="nil"/>
                    <w:tr2bl w:val="nil"/>
                  </w:tcBorders>
                  <w:noWrap w:val="0"/>
                  <w:vAlign w:val="center"/>
                </w:tcPr>
                <w:p w14:paraId="247313B3">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c>
                <w:tcPr>
                  <w:tcW w:w="556" w:type="pct"/>
                  <w:tcBorders>
                    <w:tl2br w:val="nil"/>
                    <w:tr2bl w:val="nil"/>
                  </w:tcBorders>
                  <w:shd w:val="clear" w:color="auto" w:fill="auto"/>
                  <w:noWrap w:val="0"/>
                  <w:vAlign w:val="center"/>
                </w:tcPr>
                <w:p w14:paraId="733E3EE9">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06F6086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521" w:type="pct"/>
                  <w:tcBorders>
                    <w:tl2br w:val="nil"/>
                    <w:tr2bl w:val="nil"/>
                  </w:tcBorders>
                  <w:noWrap w:val="0"/>
                  <w:vAlign w:val="center"/>
                </w:tcPr>
                <w:p w14:paraId="211513CA">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PM</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10</w:t>
                  </w:r>
                </w:p>
              </w:tc>
              <w:tc>
                <w:tcPr>
                  <w:tcW w:w="1178" w:type="pct"/>
                  <w:tcBorders>
                    <w:tl2br w:val="nil"/>
                    <w:tr2bl w:val="nil"/>
                  </w:tcBorders>
                  <w:noWrap w:val="0"/>
                  <w:vAlign w:val="center"/>
                </w:tcPr>
                <w:p w14:paraId="1304CCB3">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891" w:type="pct"/>
                  <w:tcBorders>
                    <w:tl2br w:val="nil"/>
                    <w:tr2bl w:val="nil"/>
                  </w:tcBorders>
                  <w:noWrap w:val="0"/>
                  <w:vAlign w:val="center"/>
                </w:tcPr>
                <w:p w14:paraId="6B71AA06">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70</w:t>
                  </w:r>
                </w:p>
              </w:tc>
              <w:tc>
                <w:tcPr>
                  <w:tcW w:w="562" w:type="pct"/>
                  <w:tcBorders>
                    <w:tl2br w:val="nil"/>
                    <w:tr2bl w:val="nil"/>
                  </w:tcBorders>
                  <w:noWrap w:val="0"/>
                  <w:vAlign w:val="center"/>
                </w:tcPr>
                <w:p w14:paraId="586FD0F3">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60</w:t>
                  </w:r>
                </w:p>
              </w:tc>
              <w:tc>
                <w:tcPr>
                  <w:tcW w:w="426" w:type="pct"/>
                  <w:tcBorders>
                    <w:tl2br w:val="nil"/>
                    <w:tr2bl w:val="nil"/>
                  </w:tcBorders>
                  <w:noWrap w:val="0"/>
                  <w:vAlign w:val="center"/>
                </w:tcPr>
                <w:p w14:paraId="55B5771F">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70</w:t>
                  </w:r>
                </w:p>
              </w:tc>
              <w:tc>
                <w:tcPr>
                  <w:tcW w:w="862" w:type="pct"/>
                  <w:tcBorders>
                    <w:tl2br w:val="nil"/>
                    <w:tr2bl w:val="nil"/>
                  </w:tcBorders>
                  <w:noWrap w:val="0"/>
                  <w:vAlign w:val="center"/>
                </w:tcPr>
                <w:p w14:paraId="437B2CA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c>
                <w:tcPr>
                  <w:tcW w:w="556" w:type="pct"/>
                  <w:tcBorders>
                    <w:tl2br w:val="nil"/>
                    <w:tr2bl w:val="nil"/>
                  </w:tcBorders>
                  <w:shd w:val="clear" w:color="auto" w:fill="auto"/>
                  <w:noWrap w:val="0"/>
                  <w:vAlign w:val="center"/>
                </w:tcPr>
                <w:p w14:paraId="7F72F6E7">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eastAsia="zh-CN"/>
                      <w14:textFill>
                        <w14:solidFill>
                          <w14:schemeClr w14:val="tx1"/>
                        </w14:solidFill>
                      </w14:textFill>
                    </w:rPr>
                    <w:t>超标</w:t>
                  </w:r>
                </w:p>
              </w:tc>
            </w:tr>
            <w:tr w14:paraId="3A24897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521" w:type="pct"/>
                  <w:tcBorders>
                    <w:tl2br w:val="nil"/>
                    <w:tr2bl w:val="nil"/>
                  </w:tcBorders>
                  <w:noWrap w:val="0"/>
                  <w:vAlign w:val="center"/>
                </w:tcPr>
                <w:p w14:paraId="1E6C0DA6">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PM</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2.5</w:t>
                  </w:r>
                </w:p>
              </w:tc>
              <w:tc>
                <w:tcPr>
                  <w:tcW w:w="1178" w:type="pct"/>
                  <w:tcBorders>
                    <w:tl2br w:val="nil"/>
                    <w:tr2bl w:val="nil"/>
                  </w:tcBorders>
                  <w:noWrap w:val="0"/>
                  <w:vAlign w:val="center"/>
                </w:tcPr>
                <w:p w14:paraId="581E32D1">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年平均质量浓度</w:t>
                  </w:r>
                </w:p>
              </w:tc>
              <w:tc>
                <w:tcPr>
                  <w:tcW w:w="891" w:type="pct"/>
                  <w:tcBorders>
                    <w:tl2br w:val="nil"/>
                    <w:tr2bl w:val="nil"/>
                  </w:tcBorders>
                  <w:noWrap w:val="0"/>
                  <w:vAlign w:val="center"/>
                </w:tcPr>
                <w:p w14:paraId="318C0C4F">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35</w:t>
                  </w:r>
                </w:p>
              </w:tc>
              <w:tc>
                <w:tcPr>
                  <w:tcW w:w="562" w:type="pct"/>
                  <w:tcBorders>
                    <w:tl2br w:val="nil"/>
                    <w:tr2bl w:val="nil"/>
                  </w:tcBorders>
                  <w:noWrap w:val="0"/>
                  <w:vAlign w:val="center"/>
                </w:tcPr>
                <w:p w14:paraId="55108B13">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30</w:t>
                  </w:r>
                </w:p>
              </w:tc>
              <w:tc>
                <w:tcPr>
                  <w:tcW w:w="426" w:type="pct"/>
                  <w:tcBorders>
                    <w:tl2br w:val="nil"/>
                    <w:tr2bl w:val="nil"/>
                  </w:tcBorders>
                  <w:noWrap w:val="0"/>
                  <w:vAlign w:val="center"/>
                </w:tcPr>
                <w:p w14:paraId="6C7ED68A">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35</w:t>
                  </w:r>
                </w:p>
              </w:tc>
              <w:tc>
                <w:tcPr>
                  <w:tcW w:w="862" w:type="pct"/>
                  <w:tcBorders>
                    <w:tl2br w:val="nil"/>
                    <w:tr2bl w:val="nil"/>
                  </w:tcBorders>
                  <w:noWrap w:val="0"/>
                  <w:vAlign w:val="center"/>
                </w:tcPr>
                <w:p w14:paraId="6DCC1897">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t>达标</w:t>
                  </w:r>
                </w:p>
              </w:tc>
              <w:tc>
                <w:tcPr>
                  <w:tcW w:w="556" w:type="pct"/>
                  <w:tcBorders>
                    <w:tl2br w:val="nil"/>
                    <w:tr2bl w:val="nil"/>
                  </w:tcBorders>
                  <w:shd w:val="clear" w:color="auto" w:fill="auto"/>
                  <w:noWrap w:val="0"/>
                  <w:vAlign w:val="center"/>
                </w:tcPr>
                <w:p w14:paraId="67AD515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eastAsia="zh-CN"/>
                      <w14:textFill>
                        <w14:solidFill>
                          <w14:schemeClr w14:val="tx1"/>
                        </w14:solidFill>
                      </w14:textFill>
                    </w:rPr>
                    <w:t>超标</w:t>
                  </w:r>
                </w:p>
              </w:tc>
            </w:tr>
            <w:tr w14:paraId="240EB1D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97" w:hRule="atLeast"/>
                <w:jc w:val="center"/>
              </w:trPr>
              <w:tc>
                <w:tcPr>
                  <w:tcW w:w="521" w:type="pct"/>
                  <w:tcBorders>
                    <w:tl2br w:val="nil"/>
                    <w:tr2bl w:val="nil"/>
                  </w:tcBorders>
                  <w:noWrap w:val="0"/>
                  <w:vAlign w:val="center"/>
                </w:tcPr>
                <w:p w14:paraId="01C58E36">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CO</w:t>
                  </w:r>
                </w:p>
              </w:tc>
              <w:tc>
                <w:tcPr>
                  <w:tcW w:w="1178" w:type="pct"/>
                  <w:tcBorders>
                    <w:tl2br w:val="nil"/>
                    <w:tr2bl w:val="nil"/>
                  </w:tcBorders>
                  <w:noWrap w:val="0"/>
                  <w:vAlign w:val="center"/>
                </w:tcPr>
                <w:p w14:paraId="4B3012B8">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24h平均质量浓度</w:t>
                  </w:r>
                </w:p>
              </w:tc>
              <w:tc>
                <w:tcPr>
                  <w:tcW w:w="891" w:type="pct"/>
                  <w:tcBorders>
                    <w:tl2br w:val="nil"/>
                    <w:tr2bl w:val="nil"/>
                  </w:tcBorders>
                  <w:noWrap w:val="0"/>
                  <w:vAlign w:val="center"/>
                </w:tcPr>
                <w:p w14:paraId="48EEEECD">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4000</w:t>
                  </w:r>
                </w:p>
              </w:tc>
              <w:tc>
                <w:tcPr>
                  <w:tcW w:w="562" w:type="pct"/>
                  <w:tcBorders>
                    <w:tl2br w:val="nil"/>
                    <w:tr2bl w:val="nil"/>
                  </w:tcBorders>
                  <w:noWrap w:val="0"/>
                  <w:vAlign w:val="center"/>
                </w:tcPr>
                <w:p w14:paraId="1EB0EDD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4000</w:t>
                  </w:r>
                </w:p>
              </w:tc>
              <w:tc>
                <w:tcPr>
                  <w:tcW w:w="426" w:type="pct"/>
                  <w:tcBorders>
                    <w:tl2br w:val="nil"/>
                    <w:tr2bl w:val="nil"/>
                  </w:tcBorders>
                  <w:noWrap w:val="0"/>
                  <w:vAlign w:val="center"/>
                </w:tcPr>
                <w:p w14:paraId="434E6D58">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1400</w:t>
                  </w:r>
                </w:p>
              </w:tc>
              <w:tc>
                <w:tcPr>
                  <w:tcW w:w="862" w:type="pct"/>
                  <w:tcBorders>
                    <w:tl2br w:val="nil"/>
                    <w:tr2bl w:val="nil"/>
                  </w:tcBorders>
                  <w:noWrap w:val="0"/>
                  <w:vAlign w:val="center"/>
                </w:tcPr>
                <w:p w14:paraId="656C02E8">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c>
                <w:tcPr>
                  <w:tcW w:w="556" w:type="pct"/>
                  <w:tcBorders>
                    <w:tl2br w:val="nil"/>
                    <w:tr2bl w:val="nil"/>
                  </w:tcBorders>
                  <w:shd w:val="clear" w:color="auto" w:fill="auto"/>
                  <w:noWrap w:val="0"/>
                  <w:vAlign w:val="center"/>
                </w:tcPr>
                <w:p w14:paraId="616688A5">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1891472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67" w:hRule="atLeast"/>
                <w:jc w:val="center"/>
              </w:trPr>
              <w:tc>
                <w:tcPr>
                  <w:tcW w:w="521" w:type="pct"/>
                  <w:tcBorders>
                    <w:tl2br w:val="nil"/>
                    <w:tr2bl w:val="nil"/>
                  </w:tcBorders>
                  <w:noWrap w:val="0"/>
                  <w:vAlign w:val="center"/>
                </w:tcPr>
                <w:p w14:paraId="5789B448">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3</w:t>
                  </w:r>
                </w:p>
              </w:tc>
              <w:tc>
                <w:tcPr>
                  <w:tcW w:w="1178" w:type="pct"/>
                  <w:tcBorders>
                    <w:tl2br w:val="nil"/>
                    <w:tr2bl w:val="nil"/>
                  </w:tcBorders>
                  <w:noWrap w:val="0"/>
                  <w:vAlign w:val="center"/>
                </w:tcPr>
                <w:p w14:paraId="34E53069">
                  <w:pPr>
                    <w:keepNext w:val="0"/>
                    <w:keepLines w:val="0"/>
                    <w:pageBreakBefore w:val="0"/>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日最大8h平均质量浓度</w:t>
                  </w:r>
                </w:p>
              </w:tc>
              <w:tc>
                <w:tcPr>
                  <w:tcW w:w="891" w:type="pct"/>
                  <w:tcBorders>
                    <w:tl2br w:val="nil"/>
                    <w:tr2bl w:val="nil"/>
                  </w:tcBorders>
                  <w:noWrap w:val="0"/>
                  <w:vAlign w:val="center"/>
                </w:tcPr>
                <w:p w14:paraId="448A1E87">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160</w:t>
                  </w:r>
                </w:p>
              </w:tc>
              <w:tc>
                <w:tcPr>
                  <w:tcW w:w="562" w:type="pct"/>
                  <w:tcBorders>
                    <w:tl2br w:val="nil"/>
                    <w:tr2bl w:val="nil"/>
                  </w:tcBorders>
                  <w:noWrap w:val="0"/>
                  <w:vAlign w:val="center"/>
                </w:tcPr>
                <w:p w14:paraId="2545C46D">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160</w:t>
                  </w:r>
                </w:p>
              </w:tc>
              <w:tc>
                <w:tcPr>
                  <w:tcW w:w="426" w:type="pct"/>
                  <w:tcBorders>
                    <w:tl2br w:val="nil"/>
                    <w:tr2bl w:val="nil"/>
                  </w:tcBorders>
                  <w:noWrap w:val="0"/>
                  <w:vAlign w:val="center"/>
                </w:tcPr>
                <w:p w14:paraId="53A1FDEE">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178</w:t>
                  </w:r>
                </w:p>
              </w:tc>
              <w:tc>
                <w:tcPr>
                  <w:tcW w:w="862" w:type="pct"/>
                  <w:tcBorders>
                    <w:tl2br w:val="nil"/>
                    <w:tr2bl w:val="nil"/>
                  </w:tcBorders>
                  <w:noWrap w:val="0"/>
                  <w:vAlign w:val="center"/>
                </w:tcPr>
                <w:p w14:paraId="0F4CDA74">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超标</w:t>
                  </w:r>
                </w:p>
              </w:tc>
              <w:tc>
                <w:tcPr>
                  <w:tcW w:w="556" w:type="pct"/>
                  <w:tcBorders>
                    <w:tl2br w:val="nil"/>
                    <w:tr2bl w:val="nil"/>
                  </w:tcBorders>
                  <w:shd w:val="clear" w:color="auto" w:fill="auto"/>
                  <w:noWrap w:val="0"/>
                  <w:vAlign w:val="center"/>
                </w:tcPr>
                <w:p w14:paraId="40DDB2BE">
                  <w:pPr>
                    <w:keepNext w:val="0"/>
                    <w:keepLines w:val="0"/>
                    <w:pageBreakBefore w:val="0"/>
                    <w:widowControl/>
                    <w:shd w:val="clear"/>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超标</w:t>
                  </w:r>
                </w:p>
              </w:tc>
            </w:tr>
          </w:tbl>
          <w:p w14:paraId="6811C3BC">
            <w:pPr>
              <w:keepNext w:val="0"/>
              <w:keepLines w:val="0"/>
              <w:pageBreakBefore w:val="0"/>
              <w:widowControl w:val="0"/>
              <w:shd w:val="clear"/>
              <w:kinsoku/>
              <w:wordWrap/>
              <w:overflowPunct/>
              <w:topLinePunct w:val="0"/>
              <w:autoSpaceDE/>
              <w:autoSpaceDN/>
              <w:bidi w:val="0"/>
              <w:adjustRightInd w:val="0"/>
              <w:snapToGrid w:val="0"/>
              <w:spacing w:line="480" w:lineRule="exact"/>
              <w:ind w:firstLine="496" w:firstLineChars="200"/>
              <w:textAlignment w:val="auto"/>
              <w:rPr>
                <w:rFonts w:hint="eastAsia" w:eastAsia="宋体"/>
                <w:color w:val="000000" w:themeColor="text1"/>
                <w:spacing w:val="4"/>
                <w:kern w:val="0"/>
                <w:sz w:val="24"/>
                <w:highlight w:val="none"/>
                <w:lang w:eastAsia="zh-CN"/>
                <w14:textFill>
                  <w14:solidFill>
                    <w14:schemeClr w14:val="tx1"/>
                  </w14:solidFill>
                </w14:textFill>
              </w:rPr>
            </w:pPr>
            <w:r>
              <w:rPr>
                <w:rFonts w:hint="eastAsia"/>
                <w:color w:val="000000" w:themeColor="text1"/>
                <w:spacing w:val="4"/>
                <w:kern w:val="0"/>
                <w:sz w:val="24"/>
                <w:highlight w:val="none"/>
                <w:lang w:eastAsia="zh-CN"/>
                <w14:textFill>
                  <w14:solidFill>
                    <w14:schemeClr w14:val="tx1"/>
                  </w14:solidFill>
                </w14:textFill>
              </w:rPr>
              <w:t>由上表可知，滦州市</w:t>
            </w:r>
            <w:r>
              <w:rPr>
                <w:color w:val="000000" w:themeColor="text1"/>
                <w:spacing w:val="4"/>
                <w:kern w:val="0"/>
                <w:sz w:val="24"/>
                <w:highlight w:val="none"/>
                <w14:textFill>
                  <w14:solidFill>
                    <w14:schemeClr w14:val="tx1"/>
                  </w14:solidFill>
                </w14:textFill>
              </w:rPr>
              <w:t>环境空气质量</w:t>
            </w:r>
            <w:r>
              <w:rPr>
                <w:rFonts w:hint="eastAsia"/>
                <w:color w:val="000000" w:themeColor="text1"/>
                <w:spacing w:val="4"/>
                <w:kern w:val="0"/>
                <w:sz w:val="24"/>
                <w:highlight w:val="none"/>
                <w:lang w:eastAsia="zh-CN"/>
                <w14:textFill>
                  <w14:solidFill>
                    <w14:schemeClr w14:val="tx1"/>
                  </w14:solidFill>
                </w14:textFill>
              </w:rPr>
              <w:t>中</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O</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3</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日最大8小时平均第 90 百分位平均浓度</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不</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满足《</w:t>
            </w:r>
            <w:r>
              <w:rPr>
                <w:rFonts w:hint="eastAsia" w:cs="Times New Roman"/>
                <w:color w:val="000000" w:themeColor="text1"/>
                <w:sz w:val="24"/>
                <w:szCs w:val="24"/>
                <w:highlight w:val="none"/>
                <w:lang w:val="en-US" w:eastAsia="zh-CN"/>
                <w14:textFill>
                  <w14:solidFill>
                    <w14:schemeClr w14:val="tx1"/>
                  </w14:solidFill>
                </w14:textFill>
              </w:rPr>
              <w:t>环境空气质量标准</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》（GB </w:t>
            </w:r>
            <w:r>
              <w:rPr>
                <w:rFonts w:hint="eastAsia" w:cs="Times New Roman"/>
                <w:color w:val="000000" w:themeColor="text1"/>
                <w:sz w:val="24"/>
                <w:szCs w:val="24"/>
                <w:highlight w:val="none"/>
                <w:lang w:val="en-US" w:eastAsia="zh-CN"/>
                <w14:textFill>
                  <w14:solidFill>
                    <w14:schemeClr w14:val="tx1"/>
                  </w14:solidFill>
                </w14:textFill>
              </w:rPr>
              <w:t>3095</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-2012）及其修改单中二级标准限值要求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4E654C5E">
            <w:pPr>
              <w:keepNext w:val="0"/>
              <w:keepLines w:val="0"/>
              <w:pageBreakBefore w:val="0"/>
              <w:widowControl w:val="0"/>
              <w:shd w:val="clear" w:color="auto" w:fill="auto"/>
              <w:kinsoku/>
              <w:wordWrap/>
              <w:overflowPunct/>
              <w:topLinePunct w:val="0"/>
              <w:autoSpaceDE/>
              <w:autoSpaceDN/>
              <w:bidi w:val="0"/>
              <w:adjustRightInd w:val="0"/>
              <w:snapToGrid w:val="0"/>
              <w:spacing w:line="480" w:lineRule="exact"/>
              <w:ind w:firstLine="480" w:firstLineChars="200"/>
              <w:textAlignment w:val="auto"/>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对照《</w:t>
            </w:r>
            <w:r>
              <w:rPr>
                <w:rFonts w:hint="eastAsia" w:cs="Times New Roman"/>
                <w:color w:val="000000" w:themeColor="text1"/>
                <w:sz w:val="24"/>
                <w:szCs w:val="24"/>
                <w:highlight w:val="none"/>
                <w:lang w:val="en-US" w:eastAsia="zh-CN"/>
                <w14:textFill>
                  <w14:solidFill>
                    <w14:schemeClr w14:val="tx1"/>
                  </w14:solidFill>
                </w14:textFill>
              </w:rPr>
              <w:t>环境空气质量标准</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》（GB </w:t>
            </w:r>
            <w:r>
              <w:rPr>
                <w:rFonts w:hint="eastAsia" w:cs="Times New Roman"/>
                <w:color w:val="000000" w:themeColor="text1"/>
                <w:sz w:val="24"/>
                <w:szCs w:val="24"/>
                <w:highlight w:val="none"/>
                <w:lang w:val="en-US" w:eastAsia="zh-CN"/>
                <w14:textFill>
                  <w14:solidFill>
                    <w14:schemeClr w14:val="tx1"/>
                  </w14:solidFill>
                </w14:textFill>
              </w:rPr>
              <w:t>3095</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-2026）过渡阶段二级标准，</w:t>
            </w:r>
            <w:r>
              <w:rPr>
                <w:rFonts w:hint="eastAsia"/>
                <w:color w:val="000000" w:themeColor="text1"/>
                <w:spacing w:val="4"/>
                <w:kern w:val="0"/>
                <w:sz w:val="24"/>
                <w:highlight w:val="none"/>
                <w:lang w:eastAsia="zh-CN"/>
                <w14:textFill>
                  <w14:solidFill>
                    <w14:schemeClr w14:val="tx1"/>
                  </w14:solidFill>
                </w14:textFill>
              </w:rPr>
              <w:t>滦州市</w:t>
            </w:r>
            <w:r>
              <w:rPr>
                <w:color w:val="000000" w:themeColor="text1"/>
                <w:spacing w:val="4"/>
                <w:kern w:val="0"/>
                <w:sz w:val="24"/>
                <w:highlight w:val="none"/>
                <w14:textFill>
                  <w14:solidFill>
                    <w14:schemeClr w14:val="tx1"/>
                  </w14:solidFill>
                </w14:textFill>
              </w:rPr>
              <w:t>环境空气质量</w:t>
            </w:r>
            <w:r>
              <w:rPr>
                <w:rFonts w:hint="eastAsia"/>
                <w:color w:val="000000" w:themeColor="text1"/>
                <w:spacing w:val="4"/>
                <w:kern w:val="0"/>
                <w:sz w:val="24"/>
                <w:highlight w:val="none"/>
                <w:lang w:eastAsia="zh-CN"/>
                <w14:textFill>
                  <w14:solidFill>
                    <w14:schemeClr w14:val="tx1"/>
                  </w14:solidFill>
                </w14:textFill>
              </w:rPr>
              <w:t>中</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PM</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2.5</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、PM</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10</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年平均质量浓度及O</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3</w:t>
            </w:r>
            <w:r>
              <w:rPr>
                <w:rFonts w:ascii="Times New Roman" w:hAnsi="Times New Roman" w:eastAsia="宋体" w:cs="Times New Roman"/>
                <w:color w:val="000000" w:themeColor="text1"/>
                <w:sz w:val="24"/>
                <w:szCs w:val="24"/>
                <w:highlight w:val="none"/>
                <w:lang w:val="en-US" w:eastAsia="zh-CN"/>
                <w14:textFill>
                  <w14:solidFill>
                    <w14:schemeClr w14:val="tx1"/>
                  </w14:solidFill>
                </w14:textFill>
              </w:rPr>
              <w:t>日最大8小时平均第90百分位平均浓度不满足该标准限值要求。</w:t>
            </w:r>
          </w:p>
          <w:p w14:paraId="5A9B7B8B">
            <w:pPr>
              <w:keepNext w:val="0"/>
              <w:keepLines w:val="0"/>
              <w:pageBreakBefore w:val="0"/>
              <w:widowControl w:val="0"/>
              <w:shd w:val="clear"/>
              <w:kinsoku/>
              <w:wordWrap/>
              <w:overflowPunct/>
              <w:topLinePunct w:val="0"/>
              <w:autoSpaceDE/>
              <w:autoSpaceDN/>
              <w:bidi w:val="0"/>
              <w:adjustRightInd w:val="0"/>
              <w:snapToGrid w:val="0"/>
              <w:spacing w:line="480" w:lineRule="exact"/>
              <w:ind w:firstLine="496" w:firstLineChars="200"/>
              <w:textAlignment w:val="auto"/>
              <w:rPr>
                <w:rFonts w:ascii="Times New Roman" w:hAnsi="Times New Roman" w:eastAsia="宋体" w:cs="Times New Roman"/>
                <w:color w:val="000000" w:themeColor="text1"/>
                <w:spacing w:val="4"/>
                <w:kern w:val="0"/>
                <w:sz w:val="24"/>
                <w:highlight w:val="none"/>
                <w14:textFill>
                  <w14:solidFill>
                    <w14:schemeClr w14:val="tx1"/>
                  </w14:solidFill>
                </w14:textFill>
              </w:rPr>
            </w:pPr>
            <w:r>
              <w:rPr>
                <w:rFonts w:hint="eastAsia" w:ascii="Times New Roman" w:hAnsi="Times New Roman" w:eastAsia="宋体" w:cs="Times New Roman"/>
                <w:color w:val="000000" w:themeColor="text1"/>
                <w:spacing w:val="4"/>
                <w:kern w:val="0"/>
                <w:sz w:val="24"/>
                <w:highlight w:val="none"/>
                <w:lang w:eastAsia="zh-CN"/>
                <w14:textFill>
                  <w14:solidFill>
                    <w14:schemeClr w14:val="tx1"/>
                  </w14:solidFill>
                </w14:textFill>
              </w:rPr>
              <w:t>②</w:t>
            </w:r>
            <w:r>
              <w:rPr>
                <w:rFonts w:hint="eastAsia" w:ascii="Times New Roman" w:hAnsi="Times New Roman" w:eastAsia="宋体" w:cs="Times New Roman"/>
                <w:color w:val="000000" w:themeColor="text1"/>
                <w:spacing w:val="4"/>
                <w:kern w:val="0"/>
                <w:sz w:val="24"/>
                <w:highlight w:val="none"/>
                <w14:textFill>
                  <w14:solidFill>
                    <w14:schemeClr w14:val="tx1"/>
                  </w14:solidFill>
                </w14:textFill>
              </w:rPr>
              <w:t>其他污染物环境质量现状</w:t>
            </w:r>
          </w:p>
          <w:p w14:paraId="347DD21A">
            <w:pPr>
              <w:pStyle w:val="116"/>
              <w:keepNext w:val="0"/>
              <w:keepLines w:val="0"/>
              <w:suppressLineNumbers w:val="0"/>
              <w:shd w:val="clear"/>
              <w:spacing w:before="0" w:beforeAutospacing="0" w:after="0" w:afterAutospacing="0" w:line="480" w:lineRule="exact"/>
              <w:ind w:left="0" w:right="0" w:firstLine="454"/>
              <w:rPr>
                <w:rFonts w:hint="default" w:ascii="Times New Roman" w:hAnsi="Times New Roman" w:cs="Times New Roman"/>
                <w:color w:val="000000" w:themeColor="text1"/>
                <w:spacing w:val="6"/>
                <w:sz w:val="24"/>
                <w:highlight w:val="none"/>
                <w14:textFill>
                  <w14:solidFill>
                    <w14:schemeClr w14:val="tx1"/>
                  </w14:solidFill>
                </w14:textFill>
              </w:rPr>
            </w:pPr>
            <w:r>
              <w:rPr>
                <w:rFonts w:hint="default" w:ascii="Times New Roman" w:hAnsi="Times New Roman" w:cs="Times New Roman"/>
                <w:color w:val="000000" w:themeColor="text1"/>
                <w:spacing w:val="6"/>
                <w:sz w:val="24"/>
                <w:highlight w:val="none"/>
                <w14:textFill>
                  <w14:solidFill>
                    <w14:schemeClr w14:val="tx1"/>
                  </w14:solidFill>
                </w14:textFill>
              </w:rPr>
              <w:t>根据《建设项目环境影响报告表编制技术指南（污染影响类）（试行）》“排放国家、地方</w:t>
            </w:r>
            <w:r>
              <w:rPr>
                <w:rFonts w:hint="eastAsia" w:cs="Times New Roman"/>
                <w:color w:val="000000" w:themeColor="text1"/>
                <w:spacing w:val="6"/>
                <w:sz w:val="24"/>
                <w:highlight w:val="none"/>
                <w:lang w:eastAsia="zh-CN"/>
                <w14:textFill>
                  <w14:solidFill>
                    <w14:schemeClr w14:val="tx1"/>
                  </w14:solidFill>
                </w14:textFill>
              </w:rPr>
              <w:t>环境空气质量标准</w:t>
            </w:r>
            <w:r>
              <w:rPr>
                <w:rFonts w:hint="default" w:ascii="Times New Roman" w:hAnsi="Times New Roman" w:cs="Times New Roman"/>
                <w:color w:val="000000" w:themeColor="text1"/>
                <w:spacing w:val="6"/>
                <w:sz w:val="24"/>
                <w:highlight w:val="none"/>
                <w14:textFill>
                  <w14:solidFill>
                    <w14:schemeClr w14:val="tx1"/>
                  </w14:solidFill>
                </w14:textFill>
              </w:rPr>
              <w:t>中有标准限值要求的特征污染物时，引用建设项目周边5千米范围内近3年的现有监测数据，无相关数据的选择当季主导风向下风向1个点位补充不少于3天的监测数据”。项目排放的特征污染物主要为颗粒物（TSP），其中TSP有国家空气质量标准，本次在评价特征污染物环境质量现状时，引用建设项目周边5千米范围内近3年的现有监测数据进行分析。</w:t>
            </w:r>
          </w:p>
          <w:p w14:paraId="2F7C96CF">
            <w:pPr>
              <w:pStyle w:val="116"/>
              <w:keepNext w:val="0"/>
              <w:keepLines w:val="0"/>
              <w:suppressLineNumbers w:val="0"/>
              <w:shd w:val="clear"/>
              <w:spacing w:before="0" w:beforeAutospacing="0" w:after="0" w:afterAutospacing="0" w:line="480" w:lineRule="exact"/>
              <w:ind w:left="0" w:right="0" w:firstLine="454"/>
              <w:rPr>
                <w:rFonts w:hint="default" w:ascii="Times New Roman" w:hAnsi="Times New Roman" w:cs="Times New Roman"/>
                <w:color w:val="000000" w:themeColor="text1"/>
                <w:spacing w:val="6"/>
                <w:sz w:val="24"/>
                <w:highlight w:val="none"/>
                <w:lang w:eastAsia="zh-TW"/>
                <w14:textFill>
                  <w14:solidFill>
                    <w14:schemeClr w14:val="tx1"/>
                  </w14:solidFill>
                </w14:textFill>
              </w:rPr>
            </w:pPr>
            <w:r>
              <w:rPr>
                <w:rFonts w:ascii="宋体" w:hAnsi="宋体" w:eastAsia="宋体" w:cs="宋体"/>
                <w:b w:val="0"/>
                <w:bCs w:val="0"/>
                <w:color w:val="000000" w:themeColor="text1"/>
                <w:sz w:val="24"/>
                <w:szCs w:val="24"/>
                <w14:textFill>
                  <w14:solidFill>
                    <w14:schemeClr w14:val="tx1"/>
                  </w14:solidFill>
                </w14:textFill>
              </w:rPr>
              <w:t>TSP 环境质量现状引用</w:t>
            </w:r>
            <w:r>
              <w:rPr>
                <w:rStyle w:val="35"/>
                <w:rFonts w:ascii="宋体" w:hAnsi="宋体" w:eastAsia="宋体" w:cs="宋体"/>
                <w:b w:val="0"/>
                <w:bCs w:val="0"/>
                <w:color w:val="000000" w:themeColor="text1"/>
                <w:sz w:val="24"/>
                <w:szCs w:val="24"/>
                <w14:textFill>
                  <w14:solidFill>
                    <w14:schemeClr w14:val="tx1"/>
                  </w14:solidFill>
                </w14:textFill>
              </w:rPr>
              <w:t>唐山北极熊建材有限公司环境空气质量监测项目</w:t>
            </w:r>
            <w:r>
              <w:rPr>
                <w:rFonts w:ascii="宋体" w:hAnsi="宋体" w:eastAsia="宋体" w:cs="宋体"/>
                <w:b w:val="0"/>
                <w:bCs w:val="0"/>
                <w:color w:val="000000" w:themeColor="text1"/>
                <w:sz w:val="24"/>
                <w:szCs w:val="24"/>
                <w14:textFill>
                  <w14:solidFill>
                    <w14:schemeClr w14:val="tx1"/>
                  </w14:solidFill>
                </w14:textFill>
              </w:rPr>
              <w:t>的现状监测数据进行评价</w:t>
            </w:r>
            <w:r>
              <w:rPr>
                <w:rFonts w:hint="default" w:ascii="Times New Roman" w:hAnsi="Times New Roman" w:cs="Times New Roman"/>
                <w:color w:val="000000" w:themeColor="text1"/>
                <w:spacing w:val="6"/>
                <w:sz w:val="24"/>
                <w:highlight w:val="none"/>
                <w14:textFill>
                  <w14:solidFill>
                    <w14:schemeClr w14:val="tx1"/>
                  </w14:solidFill>
                </w14:textFill>
              </w:rPr>
              <w:t>，检测时间为202</w:t>
            </w:r>
            <w:r>
              <w:rPr>
                <w:rFonts w:hint="eastAsia" w:ascii="Times New Roman" w:hAnsi="Times New Roman" w:cs="Times New Roman"/>
                <w:color w:val="000000" w:themeColor="text1"/>
                <w:spacing w:val="6"/>
                <w:sz w:val="24"/>
                <w:highlight w:val="none"/>
                <w:lang w:val="en-US" w:eastAsia="zh-CN"/>
                <w14:textFill>
                  <w14:solidFill>
                    <w14:schemeClr w14:val="tx1"/>
                  </w14:solidFill>
                </w14:textFill>
              </w:rPr>
              <w:t>4</w:t>
            </w:r>
            <w:r>
              <w:rPr>
                <w:rFonts w:hint="default" w:ascii="Times New Roman" w:hAnsi="Times New Roman" w:cs="Times New Roman"/>
                <w:color w:val="000000" w:themeColor="text1"/>
                <w:spacing w:val="6"/>
                <w:sz w:val="24"/>
                <w:highlight w:val="none"/>
                <w14:textFill>
                  <w14:solidFill>
                    <w14:schemeClr w14:val="tx1"/>
                  </w14:solidFill>
                </w14:textFill>
              </w:rPr>
              <w:t>年</w:t>
            </w:r>
            <w:r>
              <w:rPr>
                <w:rFonts w:hint="eastAsia" w:ascii="Times New Roman" w:hAnsi="Times New Roman" w:cs="Times New Roman"/>
                <w:color w:val="000000" w:themeColor="text1"/>
                <w:spacing w:val="6"/>
                <w:sz w:val="24"/>
                <w:highlight w:val="none"/>
                <w:lang w:val="en-US" w:eastAsia="zh-CN"/>
                <w14:textFill>
                  <w14:solidFill>
                    <w14:schemeClr w14:val="tx1"/>
                  </w14:solidFill>
                </w14:textFill>
              </w:rPr>
              <w:t>1</w:t>
            </w:r>
            <w:r>
              <w:rPr>
                <w:rFonts w:hint="default" w:ascii="Times New Roman" w:hAnsi="Times New Roman" w:cs="Times New Roman"/>
                <w:color w:val="000000" w:themeColor="text1"/>
                <w:spacing w:val="6"/>
                <w:sz w:val="24"/>
                <w:highlight w:val="none"/>
                <w14:textFill>
                  <w14:solidFill>
                    <w14:schemeClr w14:val="tx1"/>
                  </w14:solidFill>
                </w14:textFill>
              </w:rPr>
              <w:t>月</w:t>
            </w:r>
            <w:r>
              <w:rPr>
                <w:rFonts w:hint="eastAsia" w:ascii="Times New Roman" w:hAnsi="Times New Roman" w:cs="Times New Roman"/>
                <w:color w:val="000000" w:themeColor="text1"/>
                <w:spacing w:val="6"/>
                <w:sz w:val="24"/>
                <w:highlight w:val="none"/>
                <w:lang w:val="en-US" w:eastAsia="zh-CN"/>
                <w14:textFill>
                  <w14:solidFill>
                    <w14:schemeClr w14:val="tx1"/>
                  </w14:solidFill>
                </w14:textFill>
              </w:rPr>
              <w:t>11</w:t>
            </w:r>
            <w:r>
              <w:rPr>
                <w:rFonts w:hint="default" w:ascii="Times New Roman" w:hAnsi="Times New Roman" w:cs="Times New Roman"/>
                <w:color w:val="000000" w:themeColor="text1"/>
                <w:spacing w:val="6"/>
                <w:sz w:val="24"/>
                <w:highlight w:val="none"/>
                <w14:textFill>
                  <w14:solidFill>
                    <w14:schemeClr w14:val="tx1"/>
                  </w14:solidFill>
                </w14:textFill>
              </w:rPr>
              <w:t>日~202</w:t>
            </w:r>
            <w:r>
              <w:rPr>
                <w:rFonts w:hint="eastAsia" w:ascii="Times New Roman" w:hAnsi="Times New Roman" w:cs="Times New Roman"/>
                <w:color w:val="000000" w:themeColor="text1"/>
                <w:spacing w:val="6"/>
                <w:sz w:val="24"/>
                <w:highlight w:val="none"/>
                <w:lang w:val="en-US" w:eastAsia="zh-CN"/>
                <w14:textFill>
                  <w14:solidFill>
                    <w14:schemeClr w14:val="tx1"/>
                  </w14:solidFill>
                </w14:textFill>
              </w:rPr>
              <w:t>4</w:t>
            </w:r>
            <w:r>
              <w:rPr>
                <w:rFonts w:hint="default" w:ascii="Times New Roman" w:hAnsi="Times New Roman" w:cs="Times New Roman"/>
                <w:color w:val="000000" w:themeColor="text1"/>
                <w:spacing w:val="6"/>
                <w:sz w:val="24"/>
                <w:highlight w:val="none"/>
                <w14:textFill>
                  <w14:solidFill>
                    <w14:schemeClr w14:val="tx1"/>
                  </w14:solidFill>
                </w14:textFill>
              </w:rPr>
              <w:t>年</w:t>
            </w:r>
            <w:r>
              <w:rPr>
                <w:rFonts w:hint="eastAsia" w:ascii="Times New Roman" w:hAnsi="Times New Roman" w:cs="Times New Roman"/>
                <w:color w:val="000000" w:themeColor="text1"/>
                <w:spacing w:val="6"/>
                <w:sz w:val="24"/>
                <w:highlight w:val="none"/>
                <w:lang w:val="en-US" w:eastAsia="zh-CN"/>
                <w14:textFill>
                  <w14:solidFill>
                    <w14:schemeClr w14:val="tx1"/>
                  </w14:solidFill>
                </w14:textFill>
              </w:rPr>
              <w:t>1</w:t>
            </w:r>
            <w:r>
              <w:rPr>
                <w:rFonts w:hint="default" w:ascii="Times New Roman" w:hAnsi="Times New Roman" w:cs="Times New Roman"/>
                <w:color w:val="000000" w:themeColor="text1"/>
                <w:spacing w:val="6"/>
                <w:sz w:val="24"/>
                <w:highlight w:val="none"/>
                <w14:textFill>
                  <w14:solidFill>
                    <w14:schemeClr w14:val="tx1"/>
                  </w14:solidFill>
                </w14:textFill>
              </w:rPr>
              <w:t>月</w:t>
            </w:r>
            <w:r>
              <w:rPr>
                <w:rFonts w:hint="eastAsia" w:ascii="Times New Roman" w:hAnsi="Times New Roman" w:cs="Times New Roman"/>
                <w:color w:val="000000" w:themeColor="text1"/>
                <w:spacing w:val="6"/>
                <w:sz w:val="24"/>
                <w:highlight w:val="none"/>
                <w:lang w:val="en-US" w:eastAsia="zh-CN"/>
                <w14:textFill>
                  <w14:solidFill>
                    <w14:schemeClr w14:val="tx1"/>
                  </w14:solidFill>
                </w14:textFill>
              </w:rPr>
              <w:t>17</w:t>
            </w:r>
            <w:r>
              <w:rPr>
                <w:rFonts w:hint="default" w:ascii="Times New Roman" w:hAnsi="Times New Roman" w:cs="Times New Roman"/>
                <w:color w:val="000000" w:themeColor="text1"/>
                <w:spacing w:val="6"/>
                <w:sz w:val="24"/>
                <w:highlight w:val="none"/>
                <w14:textFill>
                  <w14:solidFill>
                    <w14:schemeClr w14:val="tx1"/>
                  </w14:solidFill>
                </w14:textFill>
              </w:rPr>
              <w:t>日，检测点位位于</w:t>
            </w:r>
            <w:r>
              <w:rPr>
                <w:rFonts w:hint="eastAsia" w:ascii="Times New Roman" w:hAnsi="Times New Roman" w:cs="Times New Roman"/>
                <w:color w:val="000000" w:themeColor="text1"/>
                <w:spacing w:val="6"/>
                <w:sz w:val="24"/>
                <w:highlight w:val="none"/>
                <w:lang w:val="en-US" w:eastAsia="zh-CN"/>
                <w14:textFill>
                  <w14:solidFill>
                    <w14:schemeClr w14:val="tx1"/>
                  </w14:solidFill>
                </w14:textFill>
              </w:rPr>
              <w:t>邵庄村，距离</w:t>
            </w:r>
            <w:r>
              <w:rPr>
                <w:rFonts w:hint="default" w:ascii="Times New Roman" w:hAnsi="Times New Roman" w:cs="Times New Roman"/>
                <w:color w:val="000000" w:themeColor="text1"/>
                <w:spacing w:val="6"/>
                <w:sz w:val="24"/>
                <w:highlight w:val="none"/>
                <w14:textFill>
                  <w14:solidFill>
                    <w14:schemeClr w14:val="tx1"/>
                  </w14:solidFill>
                </w14:textFill>
              </w:rPr>
              <w:t>本项目</w:t>
            </w:r>
            <w:r>
              <w:rPr>
                <w:rFonts w:hint="eastAsia" w:ascii="Times New Roman" w:hAnsi="Times New Roman" w:cs="Times New Roman"/>
                <w:color w:val="000000" w:themeColor="text1"/>
                <w:spacing w:val="6"/>
                <w:sz w:val="24"/>
                <w:highlight w:val="none"/>
                <w:lang w:val="en-US" w:eastAsia="zh-CN"/>
                <w14:textFill>
                  <w14:solidFill>
                    <w14:schemeClr w14:val="tx1"/>
                  </w14:solidFill>
                </w14:textFill>
              </w:rPr>
              <w:t>南</w:t>
            </w:r>
            <w:r>
              <w:rPr>
                <w:rFonts w:hint="default" w:ascii="Times New Roman" w:hAnsi="Times New Roman" w:cs="Times New Roman"/>
                <w:color w:val="000000" w:themeColor="text1"/>
                <w:spacing w:val="6"/>
                <w:sz w:val="24"/>
                <w:highlight w:val="none"/>
                <w:lang w:val="en-US" w:eastAsia="zh-CN"/>
                <w14:textFill>
                  <w14:solidFill>
                    <w14:schemeClr w14:val="tx1"/>
                  </w14:solidFill>
                </w14:textFill>
              </w:rPr>
              <w:t>侧</w:t>
            </w:r>
            <w:r>
              <w:rPr>
                <w:rFonts w:hint="eastAsia" w:cs="Times New Roman"/>
                <w:color w:val="000000" w:themeColor="text1"/>
                <w:spacing w:val="6"/>
                <w:sz w:val="24"/>
                <w:highlight w:val="none"/>
                <w:lang w:val="en-US" w:eastAsia="zh-CN"/>
                <w14:textFill>
                  <w14:solidFill>
                    <w14:schemeClr w14:val="tx1"/>
                  </w14:solidFill>
                </w14:textFill>
              </w:rPr>
              <w:t>1900</w:t>
            </w:r>
            <w:r>
              <w:rPr>
                <w:rFonts w:hint="default" w:ascii="Times New Roman" w:hAnsi="Times New Roman" w:cs="Times New Roman"/>
                <w:color w:val="000000" w:themeColor="text1"/>
                <w:spacing w:val="6"/>
                <w:sz w:val="24"/>
                <w:highlight w:val="none"/>
                <w14:textFill>
                  <w14:solidFill>
                    <w14:schemeClr w14:val="tx1"/>
                  </w14:solidFill>
                </w14:textFill>
              </w:rPr>
              <w:t>m，</w:t>
            </w:r>
            <w:r>
              <w:rPr>
                <w:rFonts w:hint="default" w:ascii="Times New Roman" w:hAnsi="Times New Roman" w:cs="Times New Roman"/>
                <w:color w:val="000000" w:themeColor="text1"/>
                <w:spacing w:val="6"/>
                <w:sz w:val="24"/>
                <w:highlight w:val="none"/>
                <w:lang w:eastAsia="zh-TW"/>
                <w14:textFill>
                  <w14:solidFill>
                    <w14:schemeClr w14:val="tx1"/>
                  </w14:solidFill>
                </w14:textFill>
              </w:rPr>
              <w:t>引用数据</w:t>
            </w:r>
            <w:r>
              <w:rPr>
                <w:rFonts w:hint="default" w:ascii="Times New Roman" w:hAnsi="Times New Roman" w:cs="Times New Roman"/>
                <w:color w:val="000000" w:themeColor="text1"/>
                <w:spacing w:val="6"/>
                <w:sz w:val="24"/>
                <w:highlight w:val="none"/>
                <w14:textFill>
                  <w14:solidFill>
                    <w14:schemeClr w14:val="tx1"/>
                  </w14:solidFill>
                </w14:textFill>
              </w:rPr>
              <w:t>符合《建设项目环境影响报告表编制技术指南（污染影响类）（试行）》要求，</w:t>
            </w:r>
            <w:r>
              <w:rPr>
                <w:rFonts w:hint="default" w:ascii="Times New Roman" w:hAnsi="Times New Roman" w:cs="Times New Roman"/>
                <w:color w:val="000000" w:themeColor="text1"/>
                <w:spacing w:val="6"/>
                <w:sz w:val="24"/>
                <w:highlight w:val="none"/>
                <w:lang w:eastAsia="zh-TW"/>
                <w14:textFill>
                  <w14:solidFill>
                    <w14:schemeClr w14:val="tx1"/>
                  </w14:solidFill>
                </w14:textFill>
              </w:rPr>
              <w:t>引用数据可用。</w:t>
            </w:r>
          </w:p>
          <w:p w14:paraId="1685FA46">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其</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他污染物环境质量现状检测结果一览表</w:t>
            </w:r>
          </w:p>
          <w:tbl>
            <w:tblPr>
              <w:tblStyle w:val="32"/>
              <w:tblW w:w="4997"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1288"/>
              <w:gridCol w:w="656"/>
              <w:gridCol w:w="540"/>
              <w:gridCol w:w="704"/>
              <w:gridCol w:w="794"/>
              <w:gridCol w:w="970"/>
              <w:gridCol w:w="1080"/>
              <w:gridCol w:w="917"/>
              <w:gridCol w:w="629"/>
              <w:gridCol w:w="517"/>
            </w:tblGrid>
            <w:tr w14:paraId="1B6A623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97" w:hRule="atLeast"/>
                <w:jc w:val="center"/>
              </w:trPr>
              <w:tc>
                <w:tcPr>
                  <w:tcW w:w="795" w:type="pct"/>
                  <w:vMerge w:val="restart"/>
                  <w:tcBorders>
                    <w:tl2br w:val="nil"/>
                    <w:tr2bl w:val="nil"/>
                  </w:tcBorders>
                  <w:noWrap w:val="0"/>
                  <w:vAlign w:val="center"/>
                </w:tcPr>
                <w:p w14:paraId="756A4D0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检测点位</w:t>
                  </w:r>
                </w:p>
              </w:tc>
              <w:tc>
                <w:tcPr>
                  <w:tcW w:w="738" w:type="pct"/>
                  <w:gridSpan w:val="2"/>
                  <w:tcBorders>
                    <w:tl2br w:val="nil"/>
                    <w:tr2bl w:val="nil"/>
                  </w:tcBorders>
                  <w:noWrap w:val="0"/>
                  <w:vAlign w:val="center"/>
                </w:tcPr>
                <w:p w14:paraId="6B96AA1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检测点距本项目</w:t>
                  </w:r>
                </w:p>
              </w:tc>
              <w:tc>
                <w:tcPr>
                  <w:tcW w:w="434" w:type="pct"/>
                  <w:vMerge w:val="restart"/>
                  <w:tcBorders>
                    <w:tl2br w:val="nil"/>
                    <w:tr2bl w:val="nil"/>
                  </w:tcBorders>
                  <w:noWrap w:val="0"/>
                  <w:vAlign w:val="center"/>
                </w:tcPr>
                <w:p w14:paraId="5C9CED0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污染物</w:t>
                  </w:r>
                </w:p>
              </w:tc>
              <w:tc>
                <w:tcPr>
                  <w:tcW w:w="490" w:type="pct"/>
                  <w:vMerge w:val="restart"/>
                  <w:tcBorders>
                    <w:tl2br w:val="nil"/>
                    <w:tr2bl w:val="nil"/>
                  </w:tcBorders>
                  <w:noWrap w:val="0"/>
                  <w:vAlign w:val="center"/>
                </w:tcPr>
                <w:p w14:paraId="2285259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平均时间</w:t>
                  </w:r>
                </w:p>
              </w:tc>
              <w:tc>
                <w:tcPr>
                  <w:tcW w:w="599" w:type="pct"/>
                  <w:vMerge w:val="restart"/>
                  <w:tcBorders>
                    <w:tl2br w:val="nil"/>
                    <w:tr2bl w:val="nil"/>
                  </w:tcBorders>
                  <w:noWrap w:val="0"/>
                  <w:vAlign w:val="center"/>
                </w:tcPr>
                <w:p w14:paraId="6A71A8E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评价标准（μg/m</w:t>
                  </w:r>
                  <w:r>
                    <w:rPr>
                      <w:rFonts w:hint="default" w:ascii="Times New Roman" w:hAnsi="Times New Roman" w:cs="Times New Roman"/>
                      <w:color w:val="000000" w:themeColor="text1"/>
                      <w:kern w:val="0"/>
                      <w:sz w:val="21"/>
                      <w:szCs w:val="21"/>
                      <w:highlight w:val="none"/>
                      <w:vertAlign w:val="superscript"/>
                      <w14:textFill>
                        <w14:solidFill>
                          <w14:schemeClr w14:val="tx1"/>
                        </w14:solidFill>
                      </w14:textFill>
                    </w:rPr>
                    <w:t>3</w:t>
                  </w:r>
                  <w:r>
                    <w:rPr>
                      <w:rFonts w:hint="default" w:ascii="Times New Roman" w:hAnsi="Times New Roman" w:cs="Times New Roman"/>
                      <w:color w:val="000000" w:themeColor="text1"/>
                      <w:kern w:val="0"/>
                      <w:sz w:val="21"/>
                      <w:szCs w:val="21"/>
                      <w:highlight w:val="none"/>
                      <w14:textFill>
                        <w14:solidFill>
                          <w14:schemeClr w14:val="tx1"/>
                        </w14:solidFill>
                      </w14:textFill>
                    </w:rPr>
                    <w:t>）</w:t>
                  </w:r>
                </w:p>
              </w:tc>
              <w:tc>
                <w:tcPr>
                  <w:tcW w:w="667" w:type="pct"/>
                  <w:vMerge w:val="restart"/>
                  <w:tcBorders>
                    <w:tl2br w:val="nil"/>
                    <w:tr2bl w:val="nil"/>
                  </w:tcBorders>
                  <w:noWrap w:val="0"/>
                  <w:vAlign w:val="center"/>
                </w:tcPr>
                <w:p w14:paraId="590DB90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检测浓度范围（μg/m</w:t>
                  </w:r>
                  <w:r>
                    <w:rPr>
                      <w:rFonts w:hint="default" w:ascii="Times New Roman" w:hAnsi="Times New Roman" w:cs="Times New Roman"/>
                      <w:color w:val="000000" w:themeColor="text1"/>
                      <w:kern w:val="0"/>
                      <w:sz w:val="21"/>
                      <w:szCs w:val="21"/>
                      <w:highlight w:val="none"/>
                      <w:vertAlign w:val="superscript"/>
                      <w14:textFill>
                        <w14:solidFill>
                          <w14:schemeClr w14:val="tx1"/>
                        </w14:solidFill>
                      </w14:textFill>
                    </w:rPr>
                    <w:t>3</w:t>
                  </w:r>
                  <w:r>
                    <w:rPr>
                      <w:rFonts w:hint="default" w:ascii="Times New Roman" w:hAnsi="Times New Roman" w:cs="Times New Roman"/>
                      <w:color w:val="000000" w:themeColor="text1"/>
                      <w:kern w:val="0"/>
                      <w:sz w:val="21"/>
                      <w:szCs w:val="21"/>
                      <w:highlight w:val="none"/>
                      <w14:textFill>
                        <w14:solidFill>
                          <w14:schemeClr w14:val="tx1"/>
                        </w14:solidFill>
                      </w14:textFill>
                    </w:rPr>
                    <w:t>）</w:t>
                  </w:r>
                </w:p>
              </w:tc>
              <w:tc>
                <w:tcPr>
                  <w:tcW w:w="566" w:type="pct"/>
                  <w:vMerge w:val="restart"/>
                  <w:tcBorders>
                    <w:tl2br w:val="nil"/>
                    <w:tr2bl w:val="nil"/>
                  </w:tcBorders>
                  <w:noWrap w:val="0"/>
                  <w:vAlign w:val="center"/>
                </w:tcPr>
                <w:p w14:paraId="3B64C9C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最大浓度占标率（%）</w:t>
                  </w:r>
                </w:p>
              </w:tc>
              <w:tc>
                <w:tcPr>
                  <w:tcW w:w="388" w:type="pct"/>
                  <w:vMerge w:val="restart"/>
                  <w:tcBorders>
                    <w:tl2br w:val="nil"/>
                    <w:tr2bl w:val="nil"/>
                  </w:tcBorders>
                  <w:noWrap w:val="0"/>
                  <w:vAlign w:val="center"/>
                </w:tcPr>
                <w:p w14:paraId="36B91BF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超标率（%）</w:t>
                  </w:r>
                </w:p>
              </w:tc>
              <w:tc>
                <w:tcPr>
                  <w:tcW w:w="319" w:type="pct"/>
                  <w:vMerge w:val="restart"/>
                  <w:tcBorders>
                    <w:tl2br w:val="nil"/>
                    <w:tr2bl w:val="nil"/>
                  </w:tcBorders>
                  <w:noWrap w:val="0"/>
                  <w:vAlign w:val="center"/>
                </w:tcPr>
                <w:p w14:paraId="645B34F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达标情况</w:t>
                  </w:r>
                </w:p>
              </w:tc>
            </w:tr>
            <w:tr w14:paraId="3AE0370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54" w:hRule="atLeast"/>
                <w:jc w:val="center"/>
              </w:trPr>
              <w:tc>
                <w:tcPr>
                  <w:tcW w:w="795" w:type="pct"/>
                  <w:vMerge w:val="continue"/>
                  <w:tcBorders>
                    <w:tl2br w:val="nil"/>
                    <w:tr2bl w:val="nil"/>
                  </w:tcBorders>
                  <w:noWrap w:val="0"/>
                  <w:vAlign w:val="center"/>
                </w:tcPr>
                <w:p w14:paraId="73F51AB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p>
              </w:tc>
              <w:tc>
                <w:tcPr>
                  <w:tcW w:w="352" w:type="pct"/>
                  <w:tcBorders>
                    <w:tl2br w:val="nil"/>
                    <w:tr2bl w:val="nil"/>
                  </w:tcBorders>
                  <w:noWrap w:val="0"/>
                  <w:vAlign w:val="center"/>
                </w:tcPr>
                <w:p w14:paraId="7FCD171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方位</w:t>
                  </w:r>
                </w:p>
              </w:tc>
              <w:tc>
                <w:tcPr>
                  <w:tcW w:w="386" w:type="pct"/>
                  <w:tcBorders>
                    <w:tl2br w:val="nil"/>
                    <w:tr2bl w:val="nil"/>
                  </w:tcBorders>
                  <w:noWrap w:val="0"/>
                  <w:vAlign w:val="center"/>
                </w:tcPr>
                <w:p w14:paraId="5652A9D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距离m</w:t>
                  </w:r>
                </w:p>
              </w:tc>
              <w:tc>
                <w:tcPr>
                  <w:tcW w:w="434" w:type="pct"/>
                  <w:vMerge w:val="continue"/>
                  <w:tcBorders>
                    <w:tl2br w:val="nil"/>
                    <w:tr2bl w:val="nil"/>
                  </w:tcBorders>
                  <w:noWrap w:val="0"/>
                  <w:vAlign w:val="center"/>
                </w:tcPr>
                <w:p w14:paraId="34BAFFB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p>
              </w:tc>
              <w:tc>
                <w:tcPr>
                  <w:tcW w:w="490" w:type="pct"/>
                  <w:vMerge w:val="continue"/>
                  <w:tcBorders>
                    <w:tl2br w:val="nil"/>
                    <w:tr2bl w:val="nil"/>
                  </w:tcBorders>
                  <w:noWrap w:val="0"/>
                  <w:vAlign w:val="center"/>
                </w:tcPr>
                <w:p w14:paraId="06BCA68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p>
              </w:tc>
              <w:tc>
                <w:tcPr>
                  <w:tcW w:w="599" w:type="pct"/>
                  <w:vMerge w:val="continue"/>
                  <w:tcBorders>
                    <w:tl2br w:val="nil"/>
                    <w:tr2bl w:val="nil"/>
                  </w:tcBorders>
                  <w:noWrap w:val="0"/>
                  <w:vAlign w:val="center"/>
                </w:tcPr>
                <w:p w14:paraId="115C3F5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p>
              </w:tc>
              <w:tc>
                <w:tcPr>
                  <w:tcW w:w="667" w:type="pct"/>
                  <w:vMerge w:val="continue"/>
                  <w:tcBorders>
                    <w:tl2br w:val="nil"/>
                    <w:tr2bl w:val="nil"/>
                  </w:tcBorders>
                  <w:noWrap w:val="0"/>
                  <w:vAlign w:val="center"/>
                </w:tcPr>
                <w:p w14:paraId="2BC1C74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p>
              </w:tc>
              <w:tc>
                <w:tcPr>
                  <w:tcW w:w="566" w:type="pct"/>
                  <w:vMerge w:val="continue"/>
                  <w:tcBorders>
                    <w:tl2br w:val="nil"/>
                    <w:tr2bl w:val="nil"/>
                  </w:tcBorders>
                  <w:noWrap w:val="0"/>
                  <w:vAlign w:val="center"/>
                </w:tcPr>
                <w:p w14:paraId="3639FFF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p>
              </w:tc>
              <w:tc>
                <w:tcPr>
                  <w:tcW w:w="388" w:type="pct"/>
                  <w:vMerge w:val="continue"/>
                  <w:tcBorders>
                    <w:tl2br w:val="nil"/>
                    <w:tr2bl w:val="nil"/>
                  </w:tcBorders>
                  <w:noWrap w:val="0"/>
                  <w:vAlign w:val="center"/>
                </w:tcPr>
                <w:p w14:paraId="305A34D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p>
              </w:tc>
              <w:tc>
                <w:tcPr>
                  <w:tcW w:w="319" w:type="pct"/>
                  <w:vMerge w:val="continue"/>
                  <w:tcBorders>
                    <w:tl2br w:val="nil"/>
                    <w:tr2bl w:val="nil"/>
                  </w:tcBorders>
                  <w:noWrap w:val="0"/>
                  <w:vAlign w:val="center"/>
                </w:tcPr>
                <w:p w14:paraId="6F4541C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p>
              </w:tc>
            </w:tr>
            <w:tr w14:paraId="5A62233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674" w:hRule="atLeast"/>
                <w:jc w:val="center"/>
              </w:trPr>
              <w:tc>
                <w:tcPr>
                  <w:tcW w:w="795" w:type="pct"/>
                  <w:tcBorders>
                    <w:tl2br w:val="nil"/>
                    <w:tr2bl w:val="nil"/>
                  </w:tcBorders>
                  <w:noWrap w:val="0"/>
                  <w:vAlign w:val="center"/>
                </w:tcPr>
                <w:p w14:paraId="3AA452C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邵庄村</w:t>
                  </w:r>
                </w:p>
              </w:tc>
              <w:tc>
                <w:tcPr>
                  <w:tcW w:w="352" w:type="pct"/>
                  <w:tcBorders>
                    <w:tl2br w:val="nil"/>
                    <w:tr2bl w:val="nil"/>
                  </w:tcBorders>
                  <w:noWrap w:val="0"/>
                  <w:vAlign w:val="center"/>
                </w:tcPr>
                <w:p w14:paraId="0E13DD5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南</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侧</w:t>
                  </w:r>
                </w:p>
              </w:tc>
              <w:tc>
                <w:tcPr>
                  <w:tcW w:w="386" w:type="pct"/>
                  <w:tcBorders>
                    <w:tl2br w:val="nil"/>
                    <w:tr2bl w:val="nil"/>
                  </w:tcBorders>
                  <w:noWrap w:val="0"/>
                  <w:vAlign w:val="center"/>
                </w:tcPr>
                <w:p w14:paraId="15E1316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14:textFill>
                        <w14:solidFill>
                          <w14:schemeClr w14:val="tx1"/>
                        </w14:solidFill>
                      </w14:textFill>
                    </w:rPr>
                    <w:t>1900</w:t>
                  </w:r>
                </w:p>
              </w:tc>
              <w:tc>
                <w:tcPr>
                  <w:tcW w:w="434" w:type="pct"/>
                  <w:tcBorders>
                    <w:tl2br w:val="nil"/>
                    <w:tr2bl w:val="nil"/>
                  </w:tcBorders>
                  <w:noWrap w:val="0"/>
                  <w:vAlign w:val="center"/>
                </w:tcPr>
                <w:p w14:paraId="40191E0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TSP</w:t>
                  </w:r>
                </w:p>
              </w:tc>
              <w:tc>
                <w:tcPr>
                  <w:tcW w:w="490" w:type="pct"/>
                  <w:tcBorders>
                    <w:tl2br w:val="nil"/>
                    <w:tr2bl w:val="nil"/>
                  </w:tcBorders>
                  <w:noWrap w:val="0"/>
                  <w:vAlign w:val="center"/>
                </w:tcPr>
                <w:p w14:paraId="5538FF8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24小时平均</w:t>
                  </w:r>
                </w:p>
              </w:tc>
              <w:tc>
                <w:tcPr>
                  <w:tcW w:w="599" w:type="pct"/>
                  <w:tcBorders>
                    <w:tl2br w:val="nil"/>
                    <w:tr2bl w:val="nil"/>
                  </w:tcBorders>
                  <w:noWrap w:val="0"/>
                  <w:vAlign w:val="center"/>
                </w:tcPr>
                <w:p w14:paraId="5A76CE4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300</w:t>
                  </w:r>
                </w:p>
              </w:tc>
              <w:tc>
                <w:tcPr>
                  <w:tcW w:w="667" w:type="pct"/>
                  <w:tcBorders>
                    <w:tl2br w:val="nil"/>
                    <w:tr2bl w:val="nil"/>
                  </w:tcBorders>
                  <w:noWrap w:val="0"/>
                  <w:vAlign w:val="center"/>
                </w:tcPr>
                <w:p w14:paraId="39B3A80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176</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217</w:t>
                  </w:r>
                </w:p>
              </w:tc>
              <w:tc>
                <w:tcPr>
                  <w:tcW w:w="566" w:type="pct"/>
                  <w:tcBorders>
                    <w:tl2br w:val="nil"/>
                    <w:tr2bl w:val="nil"/>
                  </w:tcBorders>
                  <w:noWrap w:val="0"/>
                  <w:vAlign w:val="center"/>
                </w:tcPr>
                <w:p w14:paraId="031F91A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72.3</w:t>
                  </w:r>
                </w:p>
              </w:tc>
              <w:tc>
                <w:tcPr>
                  <w:tcW w:w="388" w:type="pct"/>
                  <w:tcBorders>
                    <w:tl2br w:val="nil"/>
                    <w:tr2bl w:val="nil"/>
                  </w:tcBorders>
                  <w:noWrap w:val="0"/>
                  <w:vAlign w:val="center"/>
                </w:tcPr>
                <w:p w14:paraId="1454DFC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0</w:t>
                  </w:r>
                </w:p>
              </w:tc>
              <w:tc>
                <w:tcPr>
                  <w:tcW w:w="319" w:type="pct"/>
                  <w:tcBorders>
                    <w:tl2br w:val="nil"/>
                    <w:tr2bl w:val="nil"/>
                  </w:tcBorders>
                  <w:noWrap w:val="0"/>
                  <w:vAlign w:val="center"/>
                </w:tcPr>
                <w:p w14:paraId="722C7AA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达标</w:t>
                  </w:r>
                </w:p>
              </w:tc>
            </w:tr>
          </w:tbl>
          <w:p w14:paraId="4CDAB6C3">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eastAsia"/>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由上表可知</w:t>
            </w:r>
            <w:r>
              <w:rPr>
                <w:rFonts w:hint="eastAsia"/>
                <w:bCs/>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TSP24</w:t>
            </w:r>
            <w:r>
              <w:rPr>
                <w:color w:val="000000" w:themeColor="text1"/>
                <w:sz w:val="24"/>
                <w:highlight w:val="none"/>
                <w14:textFill>
                  <w14:solidFill>
                    <w14:schemeClr w14:val="tx1"/>
                  </w14:solidFill>
                </w14:textFill>
              </w:rPr>
              <w:t>小时平均浓度满足</w:t>
            </w:r>
            <w:r>
              <w:rPr>
                <w:rFonts w:hint="eastAsia"/>
                <w:color w:val="000000" w:themeColor="text1"/>
                <w:sz w:val="24"/>
                <w:szCs w:val="24"/>
                <w:highlight w:val="none"/>
                <w:lang w:eastAsia="zh-CN"/>
                <w14:textFill>
                  <w14:solidFill>
                    <w14:schemeClr w14:val="tx1"/>
                  </w14:solidFill>
                </w14:textFill>
              </w:rPr>
              <w:t>《环境空气质量标准》（GB3095-2026）</w:t>
            </w:r>
            <w:r>
              <w:rPr>
                <w:color w:val="000000" w:themeColor="text1"/>
                <w:spacing w:val="4"/>
                <w:kern w:val="0"/>
                <w:sz w:val="24"/>
                <w:highlight w:val="none"/>
                <w14:textFill>
                  <w14:solidFill>
                    <w14:schemeClr w14:val="tx1"/>
                  </w14:solidFill>
                </w14:textFill>
              </w:rPr>
              <w:t>中二级标准要求</w:t>
            </w:r>
            <w:r>
              <w:rPr>
                <w:rFonts w:hint="eastAsia"/>
                <w:color w:val="000000" w:themeColor="text1"/>
                <w:sz w:val="24"/>
                <w:highlight w:val="none"/>
                <w14:textFill>
                  <w14:solidFill>
                    <w14:schemeClr w14:val="tx1"/>
                  </w14:solidFill>
                </w14:textFill>
              </w:rPr>
              <w:t>。</w:t>
            </w:r>
          </w:p>
          <w:p w14:paraId="07662BE9">
            <w:pPr>
              <w:pStyle w:val="15"/>
              <w:keepNext w:val="0"/>
              <w:keepLines w:val="0"/>
              <w:pageBreakBefore w:val="0"/>
              <w:widowControl w:val="0"/>
              <w:shd w:val="clear"/>
              <w:kinsoku/>
              <w:wordWrap/>
              <w:overflowPunct/>
              <w:topLinePunct w:val="0"/>
              <w:autoSpaceDE/>
              <w:autoSpaceDN/>
              <w:bidi w:val="0"/>
              <w:adjustRightInd w:val="0"/>
              <w:snapToGrid w:val="0"/>
              <w:spacing w:after="0" w:line="480" w:lineRule="exact"/>
              <w:ind w:left="0" w:leftChars="0" w:right="0" w:rightChars="0" w:firstLine="480" w:firstLineChars="200"/>
              <w:textAlignment w:val="auto"/>
              <w:rPr>
                <w:rFonts w:hint="default" w:ascii="Times New Roman" w:hAnsi="Times New Roman" w:eastAsia="宋体" w:cs="Times New Roman"/>
                <w:color w:val="000000" w:themeColor="text1"/>
                <w:w w:val="100"/>
                <w:sz w:val="24"/>
                <w:szCs w:val="24"/>
                <w:highlight w:val="none"/>
                <w14:textFill>
                  <w14:solidFill>
                    <w14:schemeClr w14:val="tx1"/>
                  </w14:solidFill>
                </w14:textFill>
              </w:rPr>
            </w:pP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2、地表水环境</w:t>
            </w:r>
          </w:p>
          <w:p w14:paraId="334F87B9">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default" w:ascii="Times New Roman" w:hAnsi="Times New Roman" w:eastAsia="宋体" w:cs="Times New Roman"/>
                <w:color w:val="000000" w:themeColor="text1"/>
                <w:w w:val="100"/>
                <w:kern w:val="24"/>
                <w:sz w:val="24"/>
                <w:szCs w:val="24"/>
                <w:highlight w:val="none"/>
                <w14:textFill>
                  <w14:solidFill>
                    <w14:schemeClr w14:val="tx1"/>
                  </w14:solidFill>
                </w14:textFill>
              </w:rPr>
            </w:pP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本项目无废水外排，不会对周围地表水产生影响。</w:t>
            </w:r>
            <w:r>
              <w:rPr>
                <w:rFonts w:ascii="Times New Roman" w:hAnsi="Times New Roman"/>
                <w:bCs/>
                <w:color w:val="000000" w:themeColor="text1"/>
                <w:sz w:val="24"/>
                <w:szCs w:val="24"/>
                <w:highlight w:val="none"/>
                <w14:textFill>
                  <w14:solidFill>
                    <w14:schemeClr w14:val="tx1"/>
                  </w14:solidFill>
                </w14:textFill>
              </w:rPr>
              <w:t>根据20</w:t>
            </w:r>
            <w:r>
              <w:rPr>
                <w:rFonts w:hint="eastAsia" w:ascii="Times New Roman" w:hAnsi="Times New Roman"/>
                <w:bCs/>
                <w:color w:val="000000" w:themeColor="text1"/>
                <w:sz w:val="24"/>
                <w:szCs w:val="24"/>
                <w:highlight w:val="none"/>
                <w:lang w:val="en-US" w:eastAsia="zh-CN"/>
                <w14:textFill>
                  <w14:solidFill>
                    <w14:schemeClr w14:val="tx1"/>
                  </w14:solidFill>
                </w14:textFill>
              </w:rPr>
              <w:t>25</w:t>
            </w:r>
            <w:r>
              <w:rPr>
                <w:rFonts w:ascii="Times New Roman" w:hAnsi="Times New Roman"/>
                <w:bCs/>
                <w:color w:val="000000" w:themeColor="text1"/>
                <w:sz w:val="24"/>
                <w:szCs w:val="24"/>
                <w:highlight w:val="none"/>
                <w14:textFill>
                  <w14:solidFill>
                    <w14:schemeClr w14:val="tx1"/>
                  </w14:solidFill>
                </w14:textFill>
              </w:rPr>
              <w:t>年5月唐山市生态环境局发布</w:t>
            </w:r>
            <w:r>
              <w:rPr>
                <w:rFonts w:hint="eastAsia" w:ascii="Times New Roman" w:hAnsi="Times New Roman"/>
                <w:bCs/>
                <w:color w:val="000000" w:themeColor="text1"/>
                <w:sz w:val="24"/>
                <w:szCs w:val="24"/>
                <w:highlight w:val="none"/>
                <w:lang w:eastAsia="zh-CN"/>
                <w14:textFill>
                  <w14:solidFill>
                    <w14:schemeClr w14:val="tx1"/>
                  </w14:solidFill>
                </w14:textFill>
              </w:rPr>
              <w:t>的</w:t>
            </w:r>
            <w:r>
              <w:rPr>
                <w:rFonts w:ascii="Times New Roman" w:hAnsi="Times New Roman"/>
                <w:bCs/>
                <w:color w:val="000000" w:themeColor="text1"/>
                <w:sz w:val="24"/>
                <w:szCs w:val="24"/>
                <w:highlight w:val="none"/>
                <w14:textFill>
                  <w14:solidFill>
                    <w14:schemeClr w14:val="tx1"/>
                  </w14:solidFill>
                </w14:textFill>
              </w:rPr>
              <w:t>《202</w:t>
            </w:r>
            <w:r>
              <w:rPr>
                <w:rFonts w:hint="eastAsia" w:ascii="Times New Roman" w:hAnsi="Times New Roman"/>
                <w:bCs/>
                <w:color w:val="000000" w:themeColor="text1"/>
                <w:sz w:val="24"/>
                <w:szCs w:val="24"/>
                <w:highlight w:val="none"/>
                <w:lang w:val="en-US" w:eastAsia="zh-CN"/>
                <w14:textFill>
                  <w14:solidFill>
                    <w14:schemeClr w14:val="tx1"/>
                  </w14:solidFill>
                </w14:textFill>
              </w:rPr>
              <w:t>4</w:t>
            </w:r>
            <w:r>
              <w:rPr>
                <w:rFonts w:ascii="Times New Roman" w:hAnsi="Times New Roman"/>
                <w:bCs/>
                <w:color w:val="000000" w:themeColor="text1"/>
                <w:sz w:val="24"/>
                <w:szCs w:val="24"/>
                <w:highlight w:val="none"/>
                <w14:textFill>
                  <w14:solidFill>
                    <w14:schemeClr w14:val="tx1"/>
                  </w14:solidFill>
                </w14:textFill>
              </w:rPr>
              <w:t>年唐山市</w:t>
            </w:r>
            <w:r>
              <w:rPr>
                <w:rFonts w:hint="eastAsia" w:ascii="Times New Roman" w:hAnsi="Times New Roman"/>
                <w:bCs/>
                <w:color w:val="000000" w:themeColor="text1"/>
                <w:sz w:val="24"/>
                <w:szCs w:val="24"/>
                <w:highlight w:val="none"/>
                <w:lang w:eastAsia="zh-CN"/>
                <w14:textFill>
                  <w14:solidFill>
                    <w14:schemeClr w14:val="tx1"/>
                  </w14:solidFill>
                </w14:textFill>
              </w:rPr>
              <w:t>生态</w:t>
            </w:r>
            <w:r>
              <w:rPr>
                <w:rFonts w:ascii="Times New Roman" w:hAnsi="Times New Roman"/>
                <w:bCs/>
                <w:color w:val="000000" w:themeColor="text1"/>
                <w:sz w:val="24"/>
                <w:szCs w:val="24"/>
                <w:highlight w:val="none"/>
                <w14:textFill>
                  <w14:solidFill>
                    <w14:schemeClr w14:val="tx1"/>
                  </w14:solidFill>
                </w14:textFill>
              </w:rPr>
              <w:t>环境状况公报》可知，全市共有地表水国、省考监测断面14个，其中国考监测断面12个，省考监测断面2个，分别布于滦河4个、还乡河2个、陡河2个、青龙河1个、蓟运河1个、煤河1个、淋河1个、黎河1个、沙河1个，202</w:t>
            </w:r>
            <w:r>
              <w:rPr>
                <w:rFonts w:hint="eastAsia" w:ascii="Times New Roman" w:hAnsi="Times New Roman"/>
                <w:bCs/>
                <w:color w:val="000000" w:themeColor="text1"/>
                <w:sz w:val="24"/>
                <w:szCs w:val="24"/>
                <w:highlight w:val="none"/>
                <w:lang w:val="en-US" w:eastAsia="zh-CN"/>
                <w14:textFill>
                  <w14:solidFill>
                    <w14:schemeClr w14:val="tx1"/>
                  </w14:solidFill>
                </w14:textFill>
              </w:rPr>
              <w:t>4</w:t>
            </w:r>
            <w:r>
              <w:rPr>
                <w:rFonts w:ascii="Times New Roman" w:hAnsi="Times New Roman"/>
                <w:bCs/>
                <w:color w:val="000000" w:themeColor="text1"/>
                <w:sz w:val="24"/>
                <w:szCs w:val="24"/>
                <w:highlight w:val="none"/>
                <w14:textFill>
                  <w14:solidFill>
                    <w14:schemeClr w14:val="tx1"/>
                  </w14:solidFill>
                </w14:textFill>
              </w:rPr>
              <w:t>年全市国、省考核9条河流、2个湖库的14个断面优良（Ⅰ~Ⅲ）比例为85.71%，完成省达目标要求，因此本项目所在区域地表水满足《地表水环境质量标准》（GB3838-2002）Ⅲ类水质目标要求，地表水环境质量状况良好。</w:t>
            </w:r>
          </w:p>
          <w:p w14:paraId="674CD689">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default" w:ascii="Times New Roman" w:hAnsi="Times New Roman" w:eastAsia="宋体" w:cs="Times New Roman"/>
                <w:color w:val="000000" w:themeColor="text1"/>
                <w:w w:val="100"/>
                <w:kern w:val="24"/>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w w:val="100"/>
                <w:kern w:val="24"/>
                <w:sz w:val="24"/>
                <w:szCs w:val="24"/>
                <w:highlight w:val="none"/>
                <w:lang w:val="zh-CN"/>
                <w14:textFill>
                  <w14:solidFill>
                    <w14:schemeClr w14:val="tx1"/>
                  </w14:solidFill>
                </w14:textFill>
              </w:rPr>
              <w:t>3、声环境</w:t>
            </w:r>
          </w:p>
          <w:p w14:paraId="3A68366F">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snapToGrid w:val="0"/>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项目厂区周边50m范围内不存在声环境保护目标，根据</w:t>
            </w:r>
            <w:r>
              <w:rPr>
                <w:rFonts w:hint="eastAsia" w:cs="Times New Roman"/>
                <w:color w:val="000000" w:themeColor="text1"/>
                <w:w w:val="100"/>
                <w:sz w:val="24"/>
                <w:szCs w:val="24"/>
                <w:highlight w:val="none"/>
                <w:lang w:eastAsia="zh-CN"/>
                <w14:textFill>
                  <w14:solidFill>
                    <w14:schemeClr w14:val="tx1"/>
                  </w14:solidFill>
                </w14:textFill>
              </w:rPr>
              <w:t>《建设项目环境影响报告表编制技术指南（污染影响类）（试行）》</w:t>
            </w: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，本项目无需进行声环境质量现状监测。</w:t>
            </w:r>
          </w:p>
          <w:p w14:paraId="6A8D76FC">
            <w:pPr>
              <w:pStyle w:val="31"/>
              <w:keepNext w:val="0"/>
              <w:keepLines w:val="0"/>
              <w:pageBreakBefore w:val="0"/>
              <w:widowControl w:val="0"/>
              <w:shd w:val="clear"/>
              <w:kinsoku/>
              <w:wordWrap/>
              <w:overflowPunct/>
              <w:topLinePunct w:val="0"/>
              <w:autoSpaceDE/>
              <w:autoSpaceDN/>
              <w:bidi w:val="0"/>
              <w:adjustRightInd w:val="0"/>
              <w:snapToGrid w:val="0"/>
              <w:spacing w:after="0" w:line="480" w:lineRule="exact"/>
              <w:ind w:left="0" w:leftChars="0" w:rightChars="0" w:firstLine="480" w:firstLineChars="200"/>
              <w:textAlignment w:val="auto"/>
              <w:rPr>
                <w:rFonts w:hint="default" w:ascii="Times New Roman" w:hAnsi="Times New Roman" w:eastAsia="宋体" w:cs="Times New Roman"/>
                <w:color w:val="000000" w:themeColor="text1"/>
                <w:w w:val="100"/>
                <w:sz w:val="24"/>
                <w:szCs w:val="24"/>
                <w:highlight w:val="none"/>
                <w14:textFill>
                  <w14:solidFill>
                    <w14:schemeClr w14:val="tx1"/>
                  </w14:solidFill>
                </w14:textFill>
              </w:rPr>
            </w:pP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4、生态环境</w:t>
            </w:r>
          </w:p>
          <w:p w14:paraId="53779CB7">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bidi="ar"/>
                <w14:textFill>
                  <w14:solidFill>
                    <w14:schemeClr w14:val="tx1"/>
                  </w14:solidFill>
                </w14:textFill>
              </w:rPr>
              <w:t>该区域内生态环境以农村环境为主，主要粮食作物有红薯、花生、棉花、玉米、小麦，树种主要以杨、柳、槐树为主，动物种类主要为田鼠及农村饲养的家禽、家畜。区域内无国家保护的名胜古迹和重点文物</w:t>
            </w:r>
            <w: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t>。</w:t>
            </w:r>
          </w:p>
          <w:p w14:paraId="0295A041">
            <w:pPr>
              <w:pStyle w:val="31"/>
              <w:keepNext w:val="0"/>
              <w:keepLines w:val="0"/>
              <w:pageBreakBefore w:val="0"/>
              <w:widowControl w:val="0"/>
              <w:shd w:val="clear"/>
              <w:kinsoku/>
              <w:wordWrap/>
              <w:overflowPunct/>
              <w:topLinePunct w:val="0"/>
              <w:autoSpaceDE/>
              <w:autoSpaceDN/>
              <w:bidi w:val="0"/>
              <w:adjustRightInd w:val="0"/>
              <w:snapToGrid w:val="0"/>
              <w:spacing w:after="0" w:line="480" w:lineRule="exact"/>
              <w:ind w:left="0" w:leftChars="0" w:rightChars="0" w:firstLine="480" w:firstLineChars="200"/>
              <w:textAlignment w:val="auto"/>
              <w:rPr>
                <w:rFonts w:hint="default" w:ascii="Times New Roman" w:hAnsi="Times New Roman" w:eastAsia="宋体" w:cs="Times New Roman"/>
                <w:color w:val="000000" w:themeColor="text1"/>
                <w:w w:val="100"/>
                <w:sz w:val="24"/>
                <w:szCs w:val="24"/>
                <w:highlight w:val="none"/>
                <w14:textFill>
                  <w14:solidFill>
                    <w14:schemeClr w14:val="tx1"/>
                  </w14:solidFill>
                </w14:textFill>
              </w:rPr>
            </w:pP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5、电磁辐射</w:t>
            </w:r>
          </w:p>
          <w:p w14:paraId="5A82A9B1">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default" w:ascii="Times New Roman" w:hAnsi="Times New Roman" w:eastAsia="宋体" w:cs="Times New Roman"/>
                <w:color w:val="000000" w:themeColor="text1"/>
                <w:w w:val="10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w w:val="100"/>
                <w:kern w:val="0"/>
                <w:sz w:val="24"/>
                <w:szCs w:val="24"/>
                <w:highlight w:val="none"/>
                <w14:textFill>
                  <w14:solidFill>
                    <w14:schemeClr w14:val="tx1"/>
                  </w14:solidFill>
                </w14:textFill>
              </w:rPr>
              <w:t>项目不属于新建或改建、扩建广播电台、差转台、电视塔台、卫星地球上行站、雷达等电磁辐射类项目，无需开展电磁辐射现状监测与评价。</w:t>
            </w:r>
          </w:p>
          <w:p w14:paraId="048670B4">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Style w:val="39"/>
                <w:rFonts w:hint="default" w:ascii="Times New Roman" w:hAnsi="Times New Roman" w:eastAsia="宋体" w:cs="Times New Roman"/>
                <w:color w:val="000000" w:themeColor="text1"/>
                <w:w w:val="100"/>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w w:val="100"/>
                <w:kern w:val="24"/>
                <w:sz w:val="24"/>
                <w:szCs w:val="24"/>
                <w:highlight w:val="none"/>
                <w14:textFill>
                  <w14:solidFill>
                    <w14:schemeClr w14:val="tx1"/>
                  </w14:solidFill>
                </w14:textFill>
              </w:rPr>
              <w:t>6、</w:t>
            </w: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地下水、土壤环境</w:t>
            </w:r>
          </w:p>
          <w:p w14:paraId="7D687862">
            <w:pPr>
              <w:keepNext w:val="0"/>
              <w:keepLines w:val="0"/>
              <w:pageBreakBefore w:val="0"/>
              <w:widowControl w:val="0"/>
              <w:shd w:val="clear"/>
              <w:kinsoku/>
              <w:wordWrap/>
              <w:overflowPunct/>
              <w:topLinePunct w:val="0"/>
              <w:autoSpaceDE/>
              <w:autoSpaceDN/>
              <w:bidi w:val="0"/>
              <w:adjustRightInd w:val="0"/>
              <w:snapToGrid w:val="0"/>
              <w:spacing w:line="480" w:lineRule="exact"/>
              <w:ind w:leftChars="0" w:rightChars="0" w:firstLine="480" w:firstLineChars="200"/>
              <w:textAlignment w:val="auto"/>
              <w:rPr>
                <w:rFonts w:hint="default"/>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根据</w:t>
            </w:r>
            <w:r>
              <w:rPr>
                <w:rFonts w:hint="eastAsia" w:cs="Times New Roman"/>
                <w:color w:val="000000" w:themeColor="text1"/>
                <w:w w:val="100"/>
                <w:sz w:val="24"/>
                <w:szCs w:val="24"/>
                <w:highlight w:val="none"/>
                <w:lang w:eastAsia="zh-CN"/>
                <w14:textFill>
                  <w14:solidFill>
                    <w14:schemeClr w14:val="tx1"/>
                  </w14:solidFill>
                </w14:textFill>
              </w:rPr>
              <w:t>《建设项目环境影响报告表编制技术指南（污染影响类）（试行）》</w:t>
            </w: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规定，原则上不开展环境质量现状调查。本项目按相关要求采取相关防渗措施后可防止地下水、土壤污染。因此</w:t>
            </w:r>
            <w:r>
              <w:rPr>
                <w:rFonts w:hint="eastAsia" w:cs="Times New Roman"/>
                <w:color w:val="000000" w:themeColor="text1"/>
                <w:w w:val="10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w w:val="100"/>
                <w:sz w:val="24"/>
                <w:szCs w:val="24"/>
                <w:highlight w:val="none"/>
                <w14:textFill>
                  <w14:solidFill>
                    <w14:schemeClr w14:val="tx1"/>
                  </w14:solidFill>
                </w14:textFill>
              </w:rPr>
              <w:t>项目可不进行地下水、土壤环境质量现状调查。</w:t>
            </w:r>
          </w:p>
        </w:tc>
      </w:tr>
      <w:tr w14:paraId="31DB9DD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252" w:hRule="atLeast"/>
          <w:jc w:val="center"/>
        </w:trPr>
        <w:tc>
          <w:tcPr>
            <w:tcW w:w="800" w:type="dxa"/>
            <w:tcBorders>
              <w:tl2br w:val="nil"/>
              <w:tr2bl w:val="nil"/>
            </w:tcBorders>
            <w:noWrap w:val="0"/>
            <w:vAlign w:val="center"/>
          </w:tcPr>
          <w:p w14:paraId="3889AA69">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环境</w:t>
            </w:r>
          </w:p>
          <w:p w14:paraId="51DC35D8">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保护</w:t>
            </w:r>
          </w:p>
          <w:p w14:paraId="4FB6C09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目标</w:t>
            </w:r>
          </w:p>
        </w:tc>
        <w:tc>
          <w:tcPr>
            <w:tcW w:w="8346" w:type="dxa"/>
            <w:tcBorders>
              <w:tl2br w:val="nil"/>
              <w:tr2bl w:val="nil"/>
            </w:tcBorders>
            <w:noWrap w:val="0"/>
            <w:vAlign w:val="center"/>
          </w:tcPr>
          <w:p w14:paraId="1307CEA6">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环境保护目标如下：</w:t>
            </w:r>
          </w:p>
          <w:p w14:paraId="6770B892">
            <w:pPr>
              <w:keepNext w:val="0"/>
              <w:keepLines w:val="0"/>
              <w:pageBreakBefore w:val="0"/>
              <w:widowControl w:val="0"/>
              <w:numPr>
                <w:ilvl w:val="0"/>
                <w:numId w:val="13"/>
              </w:numPr>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b/>
                <w:bCs/>
                <w:color w:val="000000" w:themeColor="text1"/>
                <w:kern w:val="0"/>
                <w:sz w:val="24"/>
                <w:szCs w:val="24"/>
                <w:highlight w:val="none"/>
                <w:shd w:val="clear" w:color="auto" w:fill="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shd w:val="clear" w:color="auto" w:fill="auto"/>
                <w:lang w:val="en-US" w:eastAsia="zh-CN"/>
                <w14:textFill>
                  <w14:solidFill>
                    <w14:schemeClr w14:val="tx1"/>
                  </w14:solidFill>
                </w14:textFill>
              </w:rPr>
              <w:t>大气环境</w:t>
            </w:r>
          </w:p>
          <w:p w14:paraId="785D9F25">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本项目厂界外500m范围内无自然保护区、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风景</w:t>
            </w:r>
            <w:r>
              <w:rPr>
                <w:rFonts w:hint="eastAsia" w:cs="Times New Roman"/>
                <w:color w:val="000000" w:themeColor="text1"/>
                <w:sz w:val="24"/>
                <w:szCs w:val="24"/>
                <w:highlight w:val="none"/>
                <w:lang w:val="en-US" w:eastAsia="zh-CN"/>
                <w14:textFill>
                  <w14:solidFill>
                    <w14:schemeClr w14:val="tx1"/>
                  </w14:solidFill>
                </w14:textFill>
              </w:rPr>
              <w:t>名胜</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区以及其他需要特殊保护的区域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本项目厂界外500米范围</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由于本项目厂界轮廓呈不规则形状，为统一评价范围、便于敏感点调查，本次以厂区占地边界最外侧拐点外延500m划定大气环境评价调查范围</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内大气环境保护目标如下：</w:t>
            </w:r>
          </w:p>
          <w:p w14:paraId="35F3071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大气环境保护目标</w:t>
            </w:r>
          </w:p>
          <w:tbl>
            <w:tblPr>
              <w:tblStyle w:val="32"/>
              <w:tblW w:w="7836"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295"/>
              <w:gridCol w:w="975"/>
              <w:gridCol w:w="1321"/>
              <w:gridCol w:w="1151"/>
              <w:gridCol w:w="723"/>
              <w:gridCol w:w="806"/>
              <w:gridCol w:w="839"/>
              <w:gridCol w:w="474"/>
              <w:gridCol w:w="626"/>
              <w:gridCol w:w="626"/>
            </w:tblGrid>
            <w:tr w14:paraId="29D6F56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PrEx>
              <w:trPr>
                <w:trHeight w:val="554" w:hRule="atLeast"/>
                <w:jc w:val="center"/>
              </w:trPr>
              <w:tc>
                <w:tcPr>
                  <w:tcW w:w="295" w:type="dxa"/>
                  <w:vMerge w:val="restart"/>
                  <w:tcBorders>
                    <w:tl2br w:val="nil"/>
                    <w:tr2bl w:val="nil"/>
                  </w:tcBorders>
                  <w:noWrap w:val="0"/>
                  <w:vAlign w:val="center"/>
                </w:tcPr>
                <w:p w14:paraId="564B286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编号</w:t>
                  </w:r>
                </w:p>
              </w:tc>
              <w:tc>
                <w:tcPr>
                  <w:tcW w:w="975" w:type="dxa"/>
                  <w:vMerge w:val="restart"/>
                  <w:tcBorders>
                    <w:tl2br w:val="nil"/>
                    <w:tr2bl w:val="nil"/>
                  </w:tcBorders>
                  <w:noWrap w:val="0"/>
                  <w:vAlign w:val="center"/>
                </w:tcPr>
                <w:p w14:paraId="44037C00">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保护对象</w:t>
                  </w:r>
                  <w:r>
                    <w:rPr>
                      <w:rFonts w:hint="eastAsia"/>
                      <w:color w:val="000000" w:themeColor="text1"/>
                      <w:sz w:val="21"/>
                      <w:szCs w:val="21"/>
                      <w:highlight w:val="none"/>
                      <w:lang w:val="en-US" w:eastAsia="zh-CN"/>
                      <w14:textFill>
                        <w14:solidFill>
                          <w14:schemeClr w14:val="tx1"/>
                        </w14:solidFill>
                      </w14:textFill>
                    </w:rPr>
                    <w:t>名称</w:t>
                  </w:r>
                </w:p>
              </w:tc>
              <w:tc>
                <w:tcPr>
                  <w:tcW w:w="2472" w:type="dxa"/>
                  <w:gridSpan w:val="2"/>
                  <w:tcBorders>
                    <w:tl2br w:val="nil"/>
                    <w:tr2bl w:val="nil"/>
                  </w:tcBorders>
                  <w:noWrap w:val="0"/>
                  <w:vAlign w:val="center"/>
                </w:tcPr>
                <w:p w14:paraId="174A4B32">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坐标</w:t>
                  </w:r>
                </w:p>
              </w:tc>
              <w:tc>
                <w:tcPr>
                  <w:tcW w:w="723" w:type="dxa"/>
                  <w:vMerge w:val="restart"/>
                  <w:tcBorders>
                    <w:tl2br w:val="nil"/>
                    <w:tr2bl w:val="nil"/>
                  </w:tcBorders>
                  <w:noWrap w:val="0"/>
                  <w:vAlign w:val="center"/>
                </w:tcPr>
                <w:p w14:paraId="11B50BF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保护对象</w:t>
                  </w:r>
                </w:p>
              </w:tc>
              <w:tc>
                <w:tcPr>
                  <w:tcW w:w="806" w:type="dxa"/>
                  <w:vMerge w:val="restart"/>
                  <w:tcBorders>
                    <w:tl2br w:val="nil"/>
                    <w:tr2bl w:val="nil"/>
                  </w:tcBorders>
                  <w:noWrap w:val="0"/>
                  <w:vAlign w:val="center"/>
                </w:tcPr>
                <w:p w14:paraId="51867197">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保护内容</w:t>
                  </w:r>
                </w:p>
              </w:tc>
              <w:tc>
                <w:tcPr>
                  <w:tcW w:w="839" w:type="dxa"/>
                  <w:vMerge w:val="restart"/>
                  <w:tcBorders>
                    <w:tl2br w:val="nil"/>
                    <w:tr2bl w:val="nil"/>
                  </w:tcBorders>
                  <w:noWrap w:val="0"/>
                  <w:vAlign w:val="center"/>
                </w:tcPr>
                <w:p w14:paraId="6C33556F">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环境功能区</w:t>
                  </w:r>
                </w:p>
              </w:tc>
              <w:tc>
                <w:tcPr>
                  <w:tcW w:w="474" w:type="dxa"/>
                  <w:vMerge w:val="restart"/>
                  <w:tcBorders>
                    <w:tl2br w:val="nil"/>
                    <w:tr2bl w:val="nil"/>
                  </w:tcBorders>
                  <w:noWrap w:val="0"/>
                  <w:vAlign w:val="center"/>
                </w:tcPr>
                <w:p w14:paraId="1A600757">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相对厂址方位</w:t>
                  </w:r>
                </w:p>
              </w:tc>
              <w:tc>
                <w:tcPr>
                  <w:tcW w:w="626" w:type="dxa"/>
                  <w:vMerge w:val="restart"/>
                  <w:tcBorders>
                    <w:tl2br w:val="nil"/>
                    <w:tr2bl w:val="nil"/>
                  </w:tcBorders>
                  <w:noWrap w:val="0"/>
                  <w:vAlign w:val="center"/>
                </w:tcPr>
                <w:p w14:paraId="1E2595A9">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相对厂界距离/m</w:t>
                  </w:r>
                </w:p>
              </w:tc>
              <w:tc>
                <w:tcPr>
                  <w:tcW w:w="626" w:type="dxa"/>
                  <w:vMerge w:val="restart"/>
                  <w:tcBorders>
                    <w:tl2br w:val="nil"/>
                    <w:tr2bl w:val="nil"/>
                  </w:tcBorders>
                  <w:noWrap w:val="0"/>
                  <w:vAlign w:val="center"/>
                </w:tcPr>
                <w:p w14:paraId="2BA76D5E">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人口数量（人）</w:t>
                  </w:r>
                </w:p>
              </w:tc>
            </w:tr>
            <w:tr w14:paraId="06E6F67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517" w:hRule="atLeast"/>
                <w:jc w:val="center"/>
              </w:trPr>
              <w:tc>
                <w:tcPr>
                  <w:tcW w:w="295" w:type="dxa"/>
                  <w:vMerge w:val="continue"/>
                  <w:tcBorders>
                    <w:tl2br w:val="nil"/>
                    <w:tr2bl w:val="nil"/>
                  </w:tcBorders>
                  <w:noWrap w:val="0"/>
                  <w:vAlign w:val="center"/>
                </w:tcPr>
                <w:p w14:paraId="2536730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p>
              </w:tc>
              <w:tc>
                <w:tcPr>
                  <w:tcW w:w="975" w:type="dxa"/>
                  <w:vMerge w:val="continue"/>
                  <w:tcBorders>
                    <w:tl2br w:val="nil"/>
                    <w:tr2bl w:val="nil"/>
                  </w:tcBorders>
                  <w:noWrap w:val="0"/>
                  <w:vAlign w:val="center"/>
                </w:tcPr>
                <w:p w14:paraId="3E615C22">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p>
              </w:tc>
              <w:tc>
                <w:tcPr>
                  <w:tcW w:w="1321" w:type="dxa"/>
                  <w:tcBorders>
                    <w:tl2br w:val="nil"/>
                    <w:tr2bl w:val="nil"/>
                  </w:tcBorders>
                  <w:noWrap w:val="0"/>
                  <w:vAlign w:val="center"/>
                </w:tcPr>
                <w:p w14:paraId="7107F60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经度</w:t>
                  </w:r>
                </w:p>
              </w:tc>
              <w:tc>
                <w:tcPr>
                  <w:tcW w:w="1151" w:type="dxa"/>
                  <w:tcBorders>
                    <w:tl2br w:val="nil"/>
                    <w:tr2bl w:val="nil"/>
                  </w:tcBorders>
                  <w:noWrap w:val="0"/>
                  <w:vAlign w:val="center"/>
                </w:tcPr>
                <w:p w14:paraId="4FF63ED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纬度</w:t>
                  </w:r>
                </w:p>
              </w:tc>
              <w:tc>
                <w:tcPr>
                  <w:tcW w:w="723" w:type="dxa"/>
                  <w:vMerge w:val="continue"/>
                  <w:tcBorders>
                    <w:tl2br w:val="nil"/>
                    <w:tr2bl w:val="nil"/>
                  </w:tcBorders>
                  <w:noWrap w:val="0"/>
                  <w:vAlign w:val="center"/>
                </w:tcPr>
                <w:p w14:paraId="23DB8971">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p>
              </w:tc>
              <w:tc>
                <w:tcPr>
                  <w:tcW w:w="806" w:type="dxa"/>
                  <w:vMerge w:val="continue"/>
                  <w:tcBorders>
                    <w:tl2br w:val="nil"/>
                    <w:tr2bl w:val="nil"/>
                  </w:tcBorders>
                  <w:noWrap w:val="0"/>
                  <w:vAlign w:val="center"/>
                </w:tcPr>
                <w:p w14:paraId="05BB1790">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p>
              </w:tc>
              <w:tc>
                <w:tcPr>
                  <w:tcW w:w="839" w:type="dxa"/>
                  <w:vMerge w:val="continue"/>
                  <w:tcBorders>
                    <w:tl2br w:val="nil"/>
                    <w:tr2bl w:val="nil"/>
                  </w:tcBorders>
                  <w:noWrap w:val="0"/>
                  <w:vAlign w:val="center"/>
                </w:tcPr>
                <w:p w14:paraId="69DE7ACE">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p>
              </w:tc>
              <w:tc>
                <w:tcPr>
                  <w:tcW w:w="474" w:type="dxa"/>
                  <w:vMerge w:val="continue"/>
                  <w:tcBorders>
                    <w:tl2br w:val="nil"/>
                    <w:tr2bl w:val="nil"/>
                  </w:tcBorders>
                  <w:noWrap w:val="0"/>
                  <w:vAlign w:val="center"/>
                </w:tcPr>
                <w:p w14:paraId="76C8206A">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p>
              </w:tc>
              <w:tc>
                <w:tcPr>
                  <w:tcW w:w="626" w:type="dxa"/>
                  <w:vMerge w:val="continue"/>
                  <w:tcBorders>
                    <w:tl2br w:val="nil"/>
                    <w:tr2bl w:val="nil"/>
                  </w:tcBorders>
                  <w:noWrap w:val="0"/>
                  <w:vAlign w:val="center"/>
                </w:tcPr>
                <w:p w14:paraId="13A5EF85">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p>
              </w:tc>
              <w:tc>
                <w:tcPr>
                  <w:tcW w:w="626" w:type="dxa"/>
                  <w:vMerge w:val="continue"/>
                  <w:tcBorders>
                    <w:tl2br w:val="nil"/>
                    <w:tr2bl w:val="nil"/>
                  </w:tcBorders>
                  <w:noWrap w:val="0"/>
                  <w:vAlign w:val="center"/>
                </w:tcPr>
                <w:p w14:paraId="3F8FA8C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p>
              </w:tc>
            </w:tr>
            <w:tr w14:paraId="599D378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22" w:hRule="atLeast"/>
                <w:jc w:val="center"/>
              </w:trPr>
              <w:tc>
                <w:tcPr>
                  <w:tcW w:w="295" w:type="dxa"/>
                  <w:tcBorders>
                    <w:tl2br w:val="nil"/>
                    <w:tr2bl w:val="nil"/>
                  </w:tcBorders>
                  <w:noWrap w:val="0"/>
                  <w:vAlign w:val="center"/>
                </w:tcPr>
                <w:p w14:paraId="1C79A40C">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975" w:type="dxa"/>
                  <w:tcBorders>
                    <w:tl2br w:val="nil"/>
                    <w:tr2bl w:val="nil"/>
                  </w:tcBorders>
                  <w:noWrap w:val="0"/>
                  <w:vAlign w:val="center"/>
                </w:tcPr>
                <w:p w14:paraId="55754A4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新店子村</w:t>
                  </w:r>
                </w:p>
              </w:tc>
              <w:tc>
                <w:tcPr>
                  <w:tcW w:w="1321" w:type="dxa"/>
                  <w:tcBorders>
                    <w:tl2br w:val="nil"/>
                    <w:tr2bl w:val="nil"/>
                  </w:tcBorders>
                  <w:noWrap w:val="0"/>
                  <w:vAlign w:val="center"/>
                </w:tcPr>
                <w:p w14:paraId="5C24E99C">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118.580444°</w:t>
                  </w:r>
                </w:p>
              </w:tc>
              <w:tc>
                <w:tcPr>
                  <w:tcW w:w="1151" w:type="dxa"/>
                  <w:tcBorders>
                    <w:tl2br w:val="nil"/>
                    <w:tr2bl w:val="nil"/>
                  </w:tcBorders>
                  <w:noWrap w:val="0"/>
                  <w:vAlign w:val="center"/>
                </w:tcPr>
                <w:p w14:paraId="4261891B">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39.769388°</w:t>
                  </w:r>
                </w:p>
              </w:tc>
              <w:tc>
                <w:tcPr>
                  <w:tcW w:w="723" w:type="dxa"/>
                  <w:tcBorders>
                    <w:tl2br w:val="nil"/>
                    <w:tr2bl w:val="nil"/>
                  </w:tcBorders>
                  <w:noWrap w:val="0"/>
                  <w:vAlign w:val="center"/>
                </w:tcPr>
                <w:p w14:paraId="5F7664E7">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000000" w:themeColor="text1"/>
                      <w:sz w:val="21"/>
                      <w:szCs w:val="21"/>
                      <w:highlight w:val="none"/>
                      <w:lang w:eastAsia="zh-CN"/>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人群</w:t>
                  </w:r>
                </w:p>
              </w:tc>
              <w:tc>
                <w:tcPr>
                  <w:tcW w:w="806" w:type="dxa"/>
                  <w:tcBorders>
                    <w:tl2br w:val="nil"/>
                    <w:tr2bl w:val="nil"/>
                  </w:tcBorders>
                  <w:noWrap w:val="0"/>
                  <w:vAlign w:val="center"/>
                </w:tcPr>
                <w:p w14:paraId="6103078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居住区</w:t>
                  </w:r>
                </w:p>
              </w:tc>
              <w:tc>
                <w:tcPr>
                  <w:tcW w:w="839" w:type="dxa"/>
                  <w:tcBorders>
                    <w:tl2br w:val="nil"/>
                    <w:tr2bl w:val="nil"/>
                  </w:tcBorders>
                  <w:noWrap w:val="0"/>
                  <w:vAlign w:val="center"/>
                </w:tcPr>
                <w:p w14:paraId="553DE78A">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环境空气二类区</w:t>
                  </w:r>
                </w:p>
              </w:tc>
              <w:tc>
                <w:tcPr>
                  <w:tcW w:w="474" w:type="dxa"/>
                  <w:tcBorders>
                    <w:tl2br w:val="nil"/>
                    <w:tr2bl w:val="nil"/>
                  </w:tcBorders>
                  <w:noWrap w:val="0"/>
                  <w:vAlign w:val="center"/>
                </w:tcPr>
                <w:p w14:paraId="69FA3004">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NW</w:t>
                  </w:r>
                </w:p>
              </w:tc>
              <w:tc>
                <w:tcPr>
                  <w:tcW w:w="626" w:type="dxa"/>
                  <w:tcBorders>
                    <w:tl2br w:val="nil"/>
                    <w:tr2bl w:val="nil"/>
                  </w:tcBorders>
                  <w:noWrap w:val="0"/>
                  <w:vAlign w:val="center"/>
                </w:tcPr>
                <w:p w14:paraId="37B5FC19">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350</w:t>
                  </w:r>
                </w:p>
              </w:tc>
              <w:tc>
                <w:tcPr>
                  <w:tcW w:w="626" w:type="dxa"/>
                  <w:tcBorders>
                    <w:tl2br w:val="nil"/>
                    <w:tr2bl w:val="nil"/>
                  </w:tcBorders>
                  <w:noWrap w:val="0"/>
                  <w:vAlign w:val="center"/>
                </w:tcPr>
                <w:p w14:paraId="794A6809">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240</w:t>
                  </w:r>
                </w:p>
              </w:tc>
            </w:tr>
            <w:tr w14:paraId="08F9ADE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22" w:hRule="atLeast"/>
                <w:jc w:val="center"/>
              </w:trPr>
              <w:tc>
                <w:tcPr>
                  <w:tcW w:w="295" w:type="dxa"/>
                  <w:tcBorders>
                    <w:tl2br w:val="nil"/>
                    <w:tr2bl w:val="nil"/>
                  </w:tcBorders>
                  <w:noWrap w:val="0"/>
                  <w:vAlign w:val="center"/>
                </w:tcPr>
                <w:p w14:paraId="5FDF5FFE">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p>
              </w:tc>
              <w:tc>
                <w:tcPr>
                  <w:tcW w:w="975" w:type="dxa"/>
                  <w:tcBorders>
                    <w:tl2br w:val="nil"/>
                    <w:tr2bl w:val="nil"/>
                  </w:tcBorders>
                  <w:noWrap w:val="0"/>
                  <w:vAlign w:val="center"/>
                </w:tcPr>
                <w:p w14:paraId="037BE929">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雷庄村</w:t>
                  </w:r>
                </w:p>
              </w:tc>
              <w:tc>
                <w:tcPr>
                  <w:tcW w:w="1321" w:type="dxa"/>
                  <w:tcBorders>
                    <w:tl2br w:val="nil"/>
                    <w:tr2bl w:val="nil"/>
                  </w:tcBorders>
                  <w:noWrap w:val="0"/>
                  <w:vAlign w:val="center"/>
                </w:tcPr>
                <w:p w14:paraId="19928C1C">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118.582587°</w:t>
                  </w:r>
                </w:p>
              </w:tc>
              <w:tc>
                <w:tcPr>
                  <w:tcW w:w="1151" w:type="dxa"/>
                  <w:tcBorders>
                    <w:tl2br w:val="nil"/>
                    <w:tr2bl w:val="nil"/>
                  </w:tcBorders>
                  <w:noWrap w:val="0"/>
                  <w:vAlign w:val="center"/>
                </w:tcPr>
                <w:p w14:paraId="6FD68A68">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39.755753°</w:t>
                  </w:r>
                </w:p>
              </w:tc>
              <w:tc>
                <w:tcPr>
                  <w:tcW w:w="723" w:type="dxa"/>
                  <w:tcBorders>
                    <w:tl2br w:val="nil"/>
                    <w:tr2bl w:val="nil"/>
                  </w:tcBorders>
                  <w:shd w:val="clear" w:color="auto" w:fill="auto"/>
                  <w:noWrap w:val="0"/>
                  <w:vAlign w:val="center"/>
                </w:tcPr>
                <w:p w14:paraId="7F57E7A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人群</w:t>
                  </w:r>
                </w:p>
              </w:tc>
              <w:tc>
                <w:tcPr>
                  <w:tcW w:w="806" w:type="dxa"/>
                  <w:tcBorders>
                    <w:tl2br w:val="nil"/>
                    <w:tr2bl w:val="nil"/>
                  </w:tcBorders>
                  <w:shd w:val="clear" w:color="auto" w:fill="auto"/>
                  <w:noWrap w:val="0"/>
                  <w:vAlign w:val="center"/>
                </w:tcPr>
                <w:p w14:paraId="0110F632">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居住区</w:t>
                  </w:r>
                </w:p>
              </w:tc>
              <w:tc>
                <w:tcPr>
                  <w:tcW w:w="839" w:type="dxa"/>
                  <w:tcBorders>
                    <w:tl2br w:val="nil"/>
                    <w:tr2bl w:val="nil"/>
                  </w:tcBorders>
                  <w:shd w:val="clear" w:color="auto" w:fill="auto"/>
                  <w:noWrap w:val="0"/>
                  <w:vAlign w:val="center"/>
                </w:tcPr>
                <w:p w14:paraId="40DF8C0F">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color w:val="000000" w:themeColor="text1"/>
                      <w:sz w:val="21"/>
                      <w:szCs w:val="21"/>
                      <w:highlight w:val="none"/>
                      <w14:textFill>
                        <w14:solidFill>
                          <w14:schemeClr w14:val="tx1"/>
                        </w14:solidFill>
                      </w14:textFill>
                    </w:rPr>
                    <w:t>环境空气二类区</w:t>
                  </w:r>
                </w:p>
              </w:tc>
              <w:tc>
                <w:tcPr>
                  <w:tcW w:w="474" w:type="dxa"/>
                  <w:tcBorders>
                    <w:tl2br w:val="nil"/>
                    <w:tr2bl w:val="nil"/>
                  </w:tcBorders>
                  <w:shd w:val="clear" w:color="auto" w:fill="auto"/>
                  <w:noWrap w:val="0"/>
                  <w:vAlign w:val="center"/>
                </w:tcPr>
                <w:p w14:paraId="313A6C12">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S</w:t>
                  </w:r>
                </w:p>
              </w:tc>
              <w:tc>
                <w:tcPr>
                  <w:tcW w:w="626" w:type="dxa"/>
                  <w:tcBorders>
                    <w:tl2br w:val="nil"/>
                    <w:tr2bl w:val="nil"/>
                  </w:tcBorders>
                  <w:shd w:val="clear" w:color="auto" w:fill="auto"/>
                  <w:noWrap w:val="0"/>
                  <w:vAlign w:val="center"/>
                </w:tcPr>
                <w:p w14:paraId="04386090">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210</w:t>
                  </w:r>
                </w:p>
              </w:tc>
              <w:tc>
                <w:tcPr>
                  <w:tcW w:w="626" w:type="dxa"/>
                  <w:tcBorders>
                    <w:tl2br w:val="nil"/>
                    <w:tr2bl w:val="nil"/>
                  </w:tcBorders>
                  <w:shd w:val="clear" w:color="auto" w:fill="auto"/>
                  <w:noWrap w:val="0"/>
                  <w:vAlign w:val="center"/>
                </w:tcPr>
                <w:p w14:paraId="52B05251">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980</w:t>
                  </w:r>
                </w:p>
              </w:tc>
            </w:tr>
            <w:tr w14:paraId="0747F9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750" w:hRule="atLeast"/>
                <w:jc w:val="center"/>
              </w:trPr>
              <w:tc>
                <w:tcPr>
                  <w:tcW w:w="295" w:type="dxa"/>
                  <w:tcBorders>
                    <w:tl2br w:val="nil"/>
                    <w:tr2bl w:val="nil"/>
                  </w:tcBorders>
                  <w:noWrap w:val="0"/>
                  <w:vAlign w:val="center"/>
                </w:tcPr>
                <w:p w14:paraId="686CA181">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w:t>
                  </w:r>
                </w:p>
              </w:tc>
              <w:tc>
                <w:tcPr>
                  <w:tcW w:w="975" w:type="dxa"/>
                  <w:tcBorders>
                    <w:tl2br w:val="nil"/>
                    <w:tr2bl w:val="nil"/>
                  </w:tcBorders>
                  <w:noWrap w:val="0"/>
                  <w:vAlign w:val="center"/>
                </w:tcPr>
                <w:p w14:paraId="700AF55D">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蓝天里</w:t>
                  </w:r>
                </w:p>
              </w:tc>
              <w:tc>
                <w:tcPr>
                  <w:tcW w:w="1321" w:type="dxa"/>
                  <w:tcBorders>
                    <w:tl2br w:val="nil"/>
                    <w:tr2bl w:val="nil"/>
                  </w:tcBorders>
                  <w:noWrap w:val="0"/>
                  <w:vAlign w:val="center"/>
                </w:tcPr>
                <w:p w14:paraId="31B4ED60">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118.589591°</w:t>
                  </w:r>
                </w:p>
              </w:tc>
              <w:tc>
                <w:tcPr>
                  <w:tcW w:w="1151" w:type="dxa"/>
                  <w:tcBorders>
                    <w:tl2br w:val="nil"/>
                    <w:tr2bl w:val="nil"/>
                  </w:tcBorders>
                  <w:noWrap w:val="0"/>
                  <w:vAlign w:val="center"/>
                </w:tcPr>
                <w:p w14:paraId="667CDEFD">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39.756064°</w:t>
                  </w:r>
                </w:p>
              </w:tc>
              <w:tc>
                <w:tcPr>
                  <w:tcW w:w="723" w:type="dxa"/>
                  <w:tcBorders>
                    <w:tl2br w:val="nil"/>
                    <w:tr2bl w:val="nil"/>
                  </w:tcBorders>
                  <w:shd w:val="clear" w:color="auto" w:fill="auto"/>
                  <w:noWrap w:val="0"/>
                  <w:vAlign w:val="center"/>
                </w:tcPr>
                <w:p w14:paraId="2AA4A6AC">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人群</w:t>
                  </w:r>
                </w:p>
              </w:tc>
              <w:tc>
                <w:tcPr>
                  <w:tcW w:w="806" w:type="dxa"/>
                  <w:tcBorders>
                    <w:tl2br w:val="nil"/>
                    <w:tr2bl w:val="nil"/>
                  </w:tcBorders>
                  <w:shd w:val="clear" w:color="auto" w:fill="auto"/>
                  <w:noWrap w:val="0"/>
                  <w:vAlign w:val="center"/>
                </w:tcPr>
                <w:p w14:paraId="0B9A5D97">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居住区</w:t>
                  </w:r>
                </w:p>
              </w:tc>
              <w:tc>
                <w:tcPr>
                  <w:tcW w:w="839" w:type="dxa"/>
                  <w:tcBorders>
                    <w:tl2br w:val="nil"/>
                    <w:tr2bl w:val="nil"/>
                  </w:tcBorders>
                  <w:shd w:val="clear" w:color="auto" w:fill="auto"/>
                  <w:noWrap w:val="0"/>
                  <w:vAlign w:val="center"/>
                </w:tcPr>
                <w:p w14:paraId="55BE1553">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color w:val="000000" w:themeColor="text1"/>
                      <w:sz w:val="21"/>
                      <w:szCs w:val="21"/>
                      <w:highlight w:val="none"/>
                      <w14:textFill>
                        <w14:solidFill>
                          <w14:schemeClr w14:val="tx1"/>
                        </w14:solidFill>
                      </w14:textFill>
                    </w:rPr>
                    <w:t>环境空气二类区</w:t>
                  </w:r>
                </w:p>
              </w:tc>
              <w:tc>
                <w:tcPr>
                  <w:tcW w:w="474" w:type="dxa"/>
                  <w:tcBorders>
                    <w:tl2br w:val="nil"/>
                    <w:tr2bl w:val="nil"/>
                  </w:tcBorders>
                  <w:noWrap w:val="0"/>
                  <w:vAlign w:val="center"/>
                </w:tcPr>
                <w:p w14:paraId="65E533FD">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SE</w:t>
                  </w:r>
                </w:p>
              </w:tc>
              <w:tc>
                <w:tcPr>
                  <w:tcW w:w="626" w:type="dxa"/>
                  <w:tcBorders>
                    <w:tl2br w:val="nil"/>
                    <w:tr2bl w:val="nil"/>
                  </w:tcBorders>
                  <w:noWrap w:val="0"/>
                  <w:vAlign w:val="center"/>
                </w:tcPr>
                <w:p w14:paraId="54DD92E8">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703</w:t>
                  </w:r>
                </w:p>
              </w:tc>
              <w:tc>
                <w:tcPr>
                  <w:tcW w:w="626" w:type="dxa"/>
                  <w:tcBorders>
                    <w:tl2br w:val="nil"/>
                    <w:tr2bl w:val="nil"/>
                  </w:tcBorders>
                  <w:noWrap w:val="0"/>
                  <w:vAlign w:val="center"/>
                </w:tcPr>
                <w:p w14:paraId="380E9410">
                  <w:pPr>
                    <w:pStyle w:val="50"/>
                    <w:keepNext w:val="0"/>
                    <w:keepLines w:val="0"/>
                    <w:pageBreakBefore w:val="0"/>
                    <w:widowControl w:val="0"/>
                    <w:shd w:val="clear"/>
                    <w:kinsoku/>
                    <w:wordWrap/>
                    <w:overflowPunct/>
                    <w:topLinePunct w:val="0"/>
                    <w:autoSpaceDE/>
                    <w:autoSpaceDN/>
                    <w:bidi w:val="0"/>
                    <w:adjustRightInd w:val="0"/>
                    <w:snapToGrid/>
                    <w:spacing w:line="0" w:lineRule="atLeast"/>
                    <w:ind w:firstLine="0" w:firstLineChars="0"/>
                    <w:jc w:val="center"/>
                    <w:textAlignment w:val="baseline"/>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384</w:t>
                  </w:r>
                </w:p>
              </w:tc>
            </w:tr>
          </w:tbl>
          <w:p w14:paraId="09745551">
            <w:pPr>
              <w:keepNext w:val="0"/>
              <w:keepLines w:val="0"/>
              <w:pageBreakBefore w:val="0"/>
              <w:widowControl w:val="0"/>
              <w:numPr>
                <w:ilvl w:val="0"/>
                <w:numId w:val="13"/>
              </w:numPr>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声环境保护目标</w:t>
            </w:r>
          </w:p>
          <w:p w14:paraId="1DD2BE7E">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本项目厂界外50米范围内</w:t>
            </w:r>
            <w:r>
              <w:rPr>
                <w:rFonts w:hint="eastAsia" w:cs="Times New Roman"/>
                <w:color w:val="000000" w:themeColor="text1"/>
                <w:sz w:val="24"/>
                <w:szCs w:val="24"/>
                <w:highlight w:val="none"/>
                <w:lang w:val="en-US" w:eastAsia="zh-CN"/>
                <w14:textFill>
                  <w14:solidFill>
                    <w14:schemeClr w14:val="tx1"/>
                  </w14:solidFill>
                </w14:textFill>
              </w:rPr>
              <w:t>无</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声环境保护目标。</w:t>
            </w:r>
          </w:p>
          <w:p w14:paraId="49FEE548">
            <w:pPr>
              <w:pStyle w:val="12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rPr>
                <w:b w:val="0"/>
                <w:bCs/>
                <w:color w:val="000000" w:themeColor="text1"/>
                <w:highlight w:val="none"/>
                <w14:textFill>
                  <w14:solidFill>
                    <w14:schemeClr w14:val="tx1"/>
                  </w14:solidFill>
                </w14:textFill>
              </w:rPr>
            </w:pPr>
            <w:r>
              <w:rPr>
                <w:b w:val="0"/>
                <w:bCs/>
                <w:color w:val="000000" w:themeColor="text1"/>
                <w:highlight w:val="none"/>
                <w14:textFill>
                  <w14:solidFill>
                    <w14:schemeClr w14:val="tx1"/>
                  </w14:solidFill>
                </w14:textFill>
              </w:rPr>
              <w:t>3、地下水环境保护目标</w:t>
            </w:r>
          </w:p>
          <w:p w14:paraId="6A61BBF0">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根据《建设项目环境影响评价报告表编制技术指南》（污染影响类）及现状调查结果，厂界外500m范围内无地下水集中式饮用水水源和热水、矿泉水、温泉等特殊地下水资源，无地下水环境保护目标。</w:t>
            </w:r>
          </w:p>
          <w:p w14:paraId="0707AF1A">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4、生态环境保护目标</w:t>
            </w:r>
          </w:p>
          <w:p w14:paraId="15DA6CC7">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left"/>
              <w:textAlignment w:val="auto"/>
              <w:outlineLvl w:val="9"/>
              <w:rPr>
                <w:rFonts w:hint="default"/>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本项目利用现有厂区进行，不新增其他占地，占地范围内无生态环境保护目标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r>
      <w:tr w14:paraId="7183C45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583" w:hRule="atLeast"/>
          <w:jc w:val="center"/>
        </w:trPr>
        <w:tc>
          <w:tcPr>
            <w:tcW w:w="800" w:type="dxa"/>
            <w:tcBorders>
              <w:tl2br w:val="nil"/>
              <w:tr2bl w:val="nil"/>
            </w:tcBorders>
            <w:noWrap w:val="0"/>
            <w:vAlign w:val="center"/>
          </w:tcPr>
          <w:p w14:paraId="45EE32DB">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污染</w:t>
            </w:r>
          </w:p>
          <w:p w14:paraId="37EF7310">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物排</w:t>
            </w:r>
          </w:p>
          <w:p w14:paraId="2BC4CA65">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放控</w:t>
            </w:r>
          </w:p>
          <w:p w14:paraId="74A65A9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制标</w:t>
            </w:r>
          </w:p>
          <w:p w14:paraId="3697B0F7">
            <w:pPr>
              <w:pStyle w:val="43"/>
              <w:keepNext w:val="0"/>
              <w:keepLines w:val="0"/>
              <w:pageBreakBefore w:val="0"/>
              <w:widowControl w:val="0"/>
              <w:shd w:val="clear"/>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准</w:t>
            </w:r>
          </w:p>
        </w:tc>
        <w:tc>
          <w:tcPr>
            <w:tcW w:w="8346" w:type="dxa"/>
            <w:tcBorders>
              <w:tl2br w:val="nil"/>
              <w:tr2bl w:val="nil"/>
            </w:tcBorders>
            <w:noWrap w:val="0"/>
            <w:vAlign w:val="center"/>
          </w:tcPr>
          <w:p w14:paraId="1644763A">
            <w:pPr>
              <w:shd w:val="clear"/>
              <w:spacing w:line="360" w:lineRule="auto"/>
              <w:ind w:firstLine="482"/>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一、施工期污染物排放标准</w:t>
            </w:r>
          </w:p>
          <w:p w14:paraId="491A652D">
            <w:pPr>
              <w:shd w:val="clear"/>
              <w:spacing w:line="360" w:lineRule="auto"/>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1、废气</w:t>
            </w:r>
          </w:p>
          <w:p w14:paraId="09CB4B99">
            <w:pPr>
              <w:shd w:val="clear"/>
              <w:spacing w:line="360" w:lineRule="auto"/>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施工期扬尘排放执行河北省地标《施工场地扬尘排放标准》（DB13/2934-2019）要求</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PM</w:t>
            </w:r>
            <w:r>
              <w:rPr>
                <w:rFonts w:hint="eastAsia"/>
                <w:color w:val="000000" w:themeColor="text1"/>
                <w:highlight w:val="none"/>
                <w:vertAlign w:val="subscript"/>
                <w:lang w:val="en-US" w:eastAsia="zh-CN"/>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80</w:t>
            </w:r>
            <w:r>
              <w:rPr>
                <w:rFonts w:hint="default" w:ascii="Times New Roman" w:hAnsi="Times New Roman" w:cs="Times New Roman"/>
                <w:color w:val="000000" w:themeColor="text1"/>
                <w:highlight w:val="none"/>
                <w:lang w:val="en-US" w:eastAsia="zh-CN"/>
                <w14:textFill>
                  <w14:solidFill>
                    <w14:schemeClr w14:val="tx1"/>
                  </w14:solidFill>
                </w14:textFill>
              </w:rPr>
              <w:t>μ</w:t>
            </w:r>
            <w:r>
              <w:rPr>
                <w:rFonts w:hint="eastAsia"/>
                <w:color w:val="000000" w:themeColor="text1"/>
                <w:highlight w:val="none"/>
                <w:lang w:val="en-US" w:eastAsia="zh-CN"/>
                <w14:textFill>
                  <w14:solidFill>
                    <w14:schemeClr w14:val="tx1"/>
                  </w14:solidFill>
                </w14:textFill>
              </w:rPr>
              <w:t>g/m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w:t>
            </w:r>
          </w:p>
          <w:p w14:paraId="3B0A067D">
            <w:pPr>
              <w:shd w:val="clear"/>
              <w:spacing w:line="360" w:lineRule="auto"/>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2、噪声</w:t>
            </w:r>
          </w:p>
          <w:p w14:paraId="58D958D0">
            <w:pPr>
              <w:shd w:val="clear"/>
              <w:spacing w:line="360" w:lineRule="auto"/>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施工期噪声执行《</w:t>
            </w:r>
            <w:r>
              <w:rPr>
                <w:rFonts w:hint="eastAsia"/>
                <w:color w:val="000000" w:themeColor="text1"/>
                <w:highlight w:val="none"/>
                <w:lang w:eastAsia="zh-CN"/>
                <w14:textFill>
                  <w14:solidFill>
                    <w14:schemeClr w14:val="tx1"/>
                  </w14:solidFill>
                </w14:textFill>
              </w:rPr>
              <w:t>建筑施工噪声排放标准</w:t>
            </w:r>
            <w:r>
              <w:rPr>
                <w:rFonts w:hint="eastAsia"/>
                <w:color w:val="000000" w:themeColor="text1"/>
                <w:highlight w:val="none"/>
                <w14:textFill>
                  <w14:solidFill>
                    <w14:schemeClr w14:val="tx1"/>
                  </w14:solidFill>
                </w14:textFill>
              </w:rPr>
              <w:t xml:space="preserve">》（GB </w:t>
            </w:r>
            <w:r>
              <w:rPr>
                <w:rFonts w:hint="eastAsia"/>
                <w:color w:val="000000" w:themeColor="text1"/>
                <w:highlight w:val="none"/>
                <w:lang w:eastAsia="zh-CN"/>
                <w14:textFill>
                  <w14:solidFill>
                    <w14:schemeClr w14:val="tx1"/>
                  </w14:solidFill>
                </w14:textFill>
              </w:rPr>
              <w:t>12523</w:t>
            </w:r>
            <w:r>
              <w:rPr>
                <w:rFonts w:hint="eastAsia"/>
                <w:color w:val="000000" w:themeColor="text1"/>
                <w:highlight w:val="none"/>
                <w14:textFill>
                  <w14:solidFill>
                    <w14:schemeClr w14:val="tx1"/>
                  </w14:solidFill>
                </w14:textFill>
              </w:rPr>
              <w:t>-20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）表1中建筑施工场界环境噪声排放限值</w:t>
            </w:r>
            <w:r>
              <w:rPr>
                <w:rFonts w:hint="eastAsia"/>
                <w:color w:val="000000" w:themeColor="text1"/>
                <w:highlight w:val="none"/>
                <w:lang w:eastAsia="zh-CN"/>
                <w14:textFill>
                  <w14:solidFill>
                    <w14:schemeClr w14:val="tx1"/>
                  </w14:solidFill>
                </w14:textFill>
              </w:rPr>
              <w:t>，昼间</w:t>
            </w:r>
            <w:r>
              <w:rPr>
                <w:rFonts w:hint="eastAsia"/>
                <w:color w:val="000000" w:themeColor="text1"/>
                <w:highlight w:val="none"/>
                <w:lang w:val="en-US" w:eastAsia="zh-CN"/>
                <w14:textFill>
                  <w14:solidFill>
                    <w14:schemeClr w14:val="tx1"/>
                  </w14:solidFill>
                </w14:textFill>
              </w:rPr>
              <w:t>70dB（A）、夜间55dB（A）</w:t>
            </w:r>
            <w:r>
              <w:rPr>
                <w:rFonts w:hint="eastAsia"/>
                <w:color w:val="000000" w:themeColor="text1"/>
                <w:highlight w:val="none"/>
                <w14:textFill>
                  <w14:solidFill>
                    <w14:schemeClr w14:val="tx1"/>
                  </w14:solidFill>
                </w14:textFill>
              </w:rPr>
              <w:t>。</w:t>
            </w:r>
          </w:p>
          <w:p w14:paraId="2787596A">
            <w:pPr>
              <w:shd w:val="clear"/>
              <w:spacing w:line="360" w:lineRule="auto"/>
              <w:ind w:firstLine="482"/>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二、运营期污染物排放标准</w:t>
            </w:r>
          </w:p>
          <w:p w14:paraId="0B21C133">
            <w:pPr>
              <w:keepNext w:val="0"/>
              <w:keepLines w:val="0"/>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outlineLvl w:val="2"/>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废气</w:t>
            </w:r>
          </w:p>
          <w:p w14:paraId="3CA4F343">
            <w:pPr>
              <w:keepNext w:val="0"/>
              <w:keepLines w:val="0"/>
              <w:pageBreakBefore w:val="0"/>
              <w:shd w:val="clear"/>
              <w:kinsoku/>
              <w:wordWrap/>
              <w:overflowPunct/>
              <w:topLinePunct w:val="0"/>
              <w:bidi w:val="0"/>
              <w:spacing w:line="480" w:lineRule="exact"/>
              <w:ind w:firstLine="480" w:firstLineChars="200"/>
              <w:textAlignment w:val="auto"/>
              <w:rPr>
                <w:rFonts w:hint="eastAsia" w:eastAsia="宋体"/>
                <w:color w:val="000000" w:themeColor="text1"/>
                <w:szCs w:val="24"/>
                <w:highlight w:val="none"/>
                <w:lang w:val="en-US" w:eastAsia="zh-CN"/>
                <w14:textFill>
                  <w14:solidFill>
                    <w14:schemeClr w14:val="tx1"/>
                  </w14:solidFill>
                </w14:textFill>
              </w:rPr>
            </w:pPr>
            <w:r>
              <w:rPr>
                <w:rFonts w:hint="eastAsia"/>
                <w:color w:val="000000" w:themeColor="text1"/>
                <w:szCs w:val="24"/>
                <w:highlight w:val="none"/>
                <w14:textFill>
                  <w14:solidFill>
                    <w14:schemeClr w14:val="tx1"/>
                  </w14:solidFill>
                </w14:textFill>
              </w:rPr>
              <w:t>本项目有组织废气颗粒物参照执行《</w:t>
            </w:r>
            <w:r>
              <w:rPr>
                <w:rFonts w:hint="eastAsia"/>
                <w:color w:val="000000" w:themeColor="text1"/>
                <w:szCs w:val="24"/>
                <w:highlight w:val="none"/>
                <w:lang w:eastAsia="zh-CN"/>
                <w14:textFill>
                  <w14:solidFill>
                    <w14:schemeClr w14:val="tx1"/>
                  </w14:solidFill>
                </w14:textFill>
              </w:rPr>
              <w:t>石灰工业大气污染物排放标准</w:t>
            </w:r>
            <w:r>
              <w:rPr>
                <w:rFonts w:hint="eastAsia"/>
                <w:color w:val="000000" w:themeColor="text1"/>
                <w:szCs w:val="24"/>
                <w:highlight w:val="none"/>
                <w14:textFill>
                  <w14:solidFill>
                    <w14:schemeClr w14:val="tx1"/>
                  </w14:solidFill>
                </w14:textFill>
              </w:rPr>
              <w:t>》</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DB</w:t>
            </w:r>
            <w:r>
              <w:rPr>
                <w:rFonts w:hint="eastAsia"/>
                <w:color w:val="000000" w:themeColor="text1"/>
                <w:szCs w:val="24"/>
                <w:highlight w:val="none"/>
                <w:lang w:eastAsia="zh-CN"/>
                <w14:textFill>
                  <w14:solidFill>
                    <w14:schemeClr w14:val="tx1"/>
                  </w14:solidFill>
                </w14:textFill>
              </w:rPr>
              <w:t>13/1641-2025）</w:t>
            </w:r>
            <w:r>
              <w:rPr>
                <w:rFonts w:hint="eastAsia"/>
                <w:color w:val="000000" w:themeColor="text1"/>
                <w:szCs w:val="24"/>
                <w:highlight w:val="none"/>
                <w14:textFill>
                  <w14:solidFill>
                    <w14:schemeClr w14:val="tx1"/>
                  </w14:solidFill>
                </w14:textFill>
              </w:rPr>
              <w:t>及《2019年“十项重点工作”工作方案》</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唐办发</w:t>
            </w:r>
            <w:r>
              <w:rPr>
                <w:rFonts w:hint="eastAsia"/>
                <w:color w:val="000000" w:themeColor="text1"/>
                <w:szCs w:val="24"/>
                <w:highlight w:val="none"/>
                <w:lang w:eastAsia="zh-CN"/>
                <w14:textFill>
                  <w14:solidFill>
                    <w14:schemeClr w14:val="tx1"/>
                  </w14:solidFill>
                </w14:textFill>
              </w:rPr>
              <w:t>﹝2019﹞</w:t>
            </w:r>
            <w:r>
              <w:rPr>
                <w:rFonts w:hint="eastAsia"/>
                <w:color w:val="000000" w:themeColor="text1"/>
                <w:szCs w:val="24"/>
                <w:highlight w:val="none"/>
                <w14:textFill>
                  <w14:solidFill>
                    <w14:schemeClr w14:val="tx1"/>
                  </w14:solidFill>
                </w14:textFill>
              </w:rPr>
              <w:t>3号</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排放限值要求</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无组织废气中颗粒物参照执行《</w:t>
            </w:r>
            <w:r>
              <w:rPr>
                <w:rFonts w:hint="eastAsia"/>
                <w:color w:val="000000" w:themeColor="text1"/>
                <w:szCs w:val="24"/>
                <w:highlight w:val="none"/>
                <w:lang w:eastAsia="zh-CN"/>
                <w14:textFill>
                  <w14:solidFill>
                    <w14:schemeClr w14:val="tx1"/>
                  </w14:solidFill>
                </w14:textFill>
              </w:rPr>
              <w:t>石灰工业大气污染物排放标准</w:t>
            </w:r>
            <w:r>
              <w:rPr>
                <w:rFonts w:hint="eastAsia"/>
                <w:color w:val="000000" w:themeColor="text1"/>
                <w:szCs w:val="24"/>
                <w:highlight w:val="none"/>
                <w14:textFill>
                  <w14:solidFill>
                    <w14:schemeClr w14:val="tx1"/>
                  </w14:solidFill>
                </w14:textFill>
              </w:rPr>
              <w:t>》</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DB</w:t>
            </w:r>
            <w:r>
              <w:rPr>
                <w:rFonts w:hint="eastAsia"/>
                <w:color w:val="000000" w:themeColor="text1"/>
                <w:szCs w:val="24"/>
                <w:highlight w:val="none"/>
                <w:lang w:eastAsia="zh-CN"/>
                <w14:textFill>
                  <w14:solidFill>
                    <w14:schemeClr w14:val="tx1"/>
                  </w14:solidFill>
                </w14:textFill>
              </w:rPr>
              <w:t>13/1641-2025）</w:t>
            </w:r>
            <w:r>
              <w:rPr>
                <w:rFonts w:hint="eastAsia"/>
                <w:color w:val="000000" w:themeColor="text1"/>
                <w:szCs w:val="24"/>
                <w:highlight w:val="none"/>
                <w14:textFill>
                  <w14:solidFill>
                    <w14:schemeClr w14:val="tx1"/>
                  </w14:solidFill>
                </w14:textFill>
              </w:rPr>
              <w:t>及《2019年“十项重点工作”工作方案》</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唐办发</w:t>
            </w:r>
            <w:r>
              <w:rPr>
                <w:rFonts w:hint="eastAsia"/>
                <w:color w:val="000000" w:themeColor="text1"/>
                <w:szCs w:val="24"/>
                <w:highlight w:val="none"/>
                <w:lang w:eastAsia="zh-CN"/>
                <w14:textFill>
                  <w14:solidFill>
                    <w14:schemeClr w14:val="tx1"/>
                  </w14:solidFill>
                </w14:textFill>
              </w:rPr>
              <w:t>﹝2019﹞</w:t>
            </w:r>
            <w:r>
              <w:rPr>
                <w:rFonts w:hint="eastAsia"/>
                <w:color w:val="000000" w:themeColor="text1"/>
                <w:szCs w:val="24"/>
                <w:highlight w:val="none"/>
                <w14:textFill>
                  <w14:solidFill>
                    <w14:schemeClr w14:val="tx1"/>
                  </w14:solidFill>
                </w14:textFill>
              </w:rPr>
              <w:t>3号</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排放限值要求</w:t>
            </w:r>
            <w:r>
              <w:rPr>
                <w:rFonts w:hint="eastAsia"/>
                <w:color w:val="000000" w:themeColor="text1"/>
                <w:szCs w:val="24"/>
                <w:highlight w:val="none"/>
                <w:lang w:eastAsia="zh-CN"/>
                <w14:textFill>
                  <w14:solidFill>
                    <w14:schemeClr w14:val="tx1"/>
                  </w14:solidFill>
                </w14:textFill>
              </w:rPr>
              <w:t>。</w:t>
            </w:r>
          </w:p>
          <w:p w14:paraId="0964B3A1">
            <w:pPr>
              <w:keepNext w:val="0"/>
              <w:keepLines w:val="0"/>
              <w:pageBreakBefore w:val="0"/>
              <w:shd w:val="clear"/>
              <w:kinsoku/>
              <w:wordWrap/>
              <w:overflowPunct/>
              <w:topLinePunct w:val="0"/>
              <w:bidi w:val="0"/>
              <w:spacing w:line="480" w:lineRule="exact"/>
              <w:ind w:firstLine="480" w:firstLineChars="200"/>
              <w:textAlignment w:val="auto"/>
              <w:rPr>
                <w:rFonts w:hint="eastAsia" w:eastAsia="宋体"/>
                <w:color w:val="000000" w:themeColor="text1"/>
                <w:szCs w:val="24"/>
                <w:highlight w:val="none"/>
                <w:lang w:eastAsia="zh-CN"/>
                <w14:textFill>
                  <w14:solidFill>
                    <w14:schemeClr w14:val="tx1"/>
                  </w14:solidFill>
                </w14:textFill>
              </w:rPr>
            </w:pPr>
            <w:r>
              <w:rPr>
                <w:rFonts w:hint="eastAsia"/>
                <w:color w:val="000000" w:themeColor="text1"/>
                <w:szCs w:val="24"/>
                <w:highlight w:val="none"/>
                <w14:textFill>
                  <w14:solidFill>
                    <w14:schemeClr w14:val="tx1"/>
                  </w14:solidFill>
                </w14:textFill>
              </w:rPr>
              <w:t>废气排气筒高度严格执行《</w:t>
            </w:r>
            <w:r>
              <w:rPr>
                <w:rFonts w:hint="eastAsia"/>
                <w:color w:val="000000" w:themeColor="text1"/>
                <w:szCs w:val="24"/>
                <w:highlight w:val="none"/>
                <w:lang w:eastAsia="zh-CN"/>
                <w14:textFill>
                  <w14:solidFill>
                    <w14:schemeClr w14:val="tx1"/>
                  </w14:solidFill>
                </w14:textFill>
              </w:rPr>
              <w:t>石灰工业大气污染物排放标准</w:t>
            </w:r>
            <w:r>
              <w:rPr>
                <w:rFonts w:hint="eastAsia"/>
                <w:color w:val="000000" w:themeColor="text1"/>
                <w:szCs w:val="24"/>
                <w:highlight w:val="none"/>
                <w14:textFill>
                  <w14:solidFill>
                    <w14:schemeClr w14:val="tx1"/>
                  </w14:solidFill>
                </w14:textFill>
              </w:rPr>
              <w:t>》（DB</w:t>
            </w:r>
            <w:r>
              <w:rPr>
                <w:rFonts w:hint="eastAsia"/>
                <w:color w:val="000000" w:themeColor="text1"/>
                <w:szCs w:val="24"/>
                <w:highlight w:val="none"/>
                <w:lang w:eastAsia="zh-CN"/>
                <w14:textFill>
                  <w14:solidFill>
                    <w14:schemeClr w14:val="tx1"/>
                  </w14:solidFill>
                </w14:textFill>
              </w:rPr>
              <w:t>13/1641</w:t>
            </w:r>
            <w:r>
              <w:rPr>
                <w:rFonts w:hint="eastAsia"/>
                <w:color w:val="000000" w:themeColor="text1"/>
                <w:szCs w:val="24"/>
                <w:highlight w:val="none"/>
                <w14:textFill>
                  <w14:solidFill>
                    <w14:schemeClr w14:val="tx1"/>
                  </w14:solidFill>
                </w14:textFill>
              </w:rPr>
              <w:t>-2025）有关规定，排气筒最低建设高度不得低于15m，其具体高度及与周边建筑物的相对高差须按环境影响评价文件要求确定。本项目预处理车间建筑高度为8m，结合标准限值、车间层高及废气扩散要求，本次配套废气治理设施排气筒设置为15m</w:t>
            </w:r>
            <w:r>
              <w:rPr>
                <w:rFonts w:hint="eastAsia"/>
                <w:color w:val="000000" w:themeColor="text1"/>
                <w:szCs w:val="24"/>
                <w:highlight w:val="none"/>
                <w:lang w:eastAsia="zh-CN"/>
                <w14:textFill>
                  <w14:solidFill>
                    <w14:schemeClr w14:val="tx1"/>
                  </w14:solidFill>
                </w14:textFill>
              </w:rPr>
              <w:t>。</w:t>
            </w:r>
          </w:p>
          <w:p w14:paraId="223BDEC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大</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气</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污染物排放限值</w:t>
            </w:r>
          </w:p>
          <w:tbl>
            <w:tblPr>
              <w:tblStyle w:val="32"/>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760"/>
              <w:gridCol w:w="2689"/>
              <w:gridCol w:w="1683"/>
              <w:gridCol w:w="2842"/>
            </w:tblGrid>
            <w:tr w14:paraId="25DB8F0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80" w:hRule="atLeast"/>
                <w:jc w:val="center"/>
              </w:trPr>
              <w:tc>
                <w:tcPr>
                  <w:tcW w:w="760" w:type="dxa"/>
                  <w:tcBorders>
                    <w:tl2br w:val="nil"/>
                    <w:tr2bl w:val="nil"/>
                  </w:tcBorders>
                  <w:noWrap w:val="0"/>
                  <w:vAlign w:val="center"/>
                </w:tcPr>
                <w:p w14:paraId="2B5BCCF5">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ascii="Times New Roman" w:hAnsi="Times New Roman" w:cs="Times New Roman"/>
                      <w:b w:val="0"/>
                      <w:bCs w:val="0"/>
                      <w:color w:val="000000" w:themeColor="text1"/>
                      <w:sz w:val="21"/>
                      <w:szCs w:val="21"/>
                      <w:highlight w:val="none"/>
                      <w14:textFill>
                        <w14:solidFill>
                          <w14:schemeClr w14:val="tx1"/>
                        </w14:solidFill>
                      </w14:textFill>
                    </w:rPr>
                  </w:pPr>
                  <w:r>
                    <w:rPr>
                      <w:rFonts w:ascii="Times New Roman" w:hAnsi="Times New Roman" w:cs="Times New Roman"/>
                      <w:b w:val="0"/>
                      <w:bCs w:val="0"/>
                      <w:color w:val="000000" w:themeColor="text1"/>
                      <w:sz w:val="21"/>
                      <w:szCs w:val="21"/>
                      <w:highlight w:val="none"/>
                      <w14:textFill>
                        <w14:solidFill>
                          <w14:schemeClr w14:val="tx1"/>
                        </w14:solidFill>
                      </w14:textFill>
                    </w:rPr>
                    <w:t>序号</w:t>
                  </w:r>
                </w:p>
              </w:tc>
              <w:tc>
                <w:tcPr>
                  <w:tcW w:w="2689" w:type="dxa"/>
                  <w:tcBorders>
                    <w:tl2br w:val="nil"/>
                    <w:tr2bl w:val="nil"/>
                  </w:tcBorders>
                  <w:noWrap w:val="0"/>
                  <w:vAlign w:val="center"/>
                </w:tcPr>
                <w:p w14:paraId="0E3BFC89">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ascii="Times New Roman" w:hAnsi="Times New Roman" w:cs="Times New Roman"/>
                      <w:b w:val="0"/>
                      <w:bCs w:val="0"/>
                      <w:color w:val="000000" w:themeColor="text1"/>
                      <w:sz w:val="21"/>
                      <w:szCs w:val="21"/>
                      <w:highlight w:val="none"/>
                      <w14:textFill>
                        <w14:solidFill>
                          <w14:schemeClr w14:val="tx1"/>
                        </w14:solidFill>
                      </w14:textFill>
                    </w:rPr>
                  </w:pPr>
                  <w:r>
                    <w:rPr>
                      <w:rFonts w:ascii="Times New Roman" w:hAnsi="Times New Roman" w:cs="Times New Roman"/>
                      <w:b w:val="0"/>
                      <w:bCs w:val="0"/>
                      <w:color w:val="000000" w:themeColor="text1"/>
                      <w:sz w:val="21"/>
                      <w:szCs w:val="21"/>
                      <w:highlight w:val="none"/>
                      <w14:textFill>
                        <w14:solidFill>
                          <w14:schemeClr w14:val="tx1"/>
                        </w14:solidFill>
                      </w14:textFill>
                    </w:rPr>
                    <w:t>污染物</w:t>
                  </w:r>
                </w:p>
              </w:tc>
              <w:tc>
                <w:tcPr>
                  <w:tcW w:w="1683" w:type="dxa"/>
                  <w:tcBorders>
                    <w:tl2br w:val="nil"/>
                    <w:tr2bl w:val="nil"/>
                  </w:tcBorders>
                  <w:noWrap w:val="0"/>
                  <w:vAlign w:val="center"/>
                </w:tcPr>
                <w:p w14:paraId="504909D5">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ascii="Times New Roman" w:hAnsi="Times New Roman" w:cs="Times New Roman"/>
                      <w:b w:val="0"/>
                      <w:bCs w:val="0"/>
                      <w:color w:val="000000" w:themeColor="text1"/>
                      <w:sz w:val="21"/>
                      <w:szCs w:val="21"/>
                      <w:highlight w:val="none"/>
                      <w14:textFill>
                        <w14:solidFill>
                          <w14:schemeClr w14:val="tx1"/>
                        </w14:solidFill>
                      </w14:textFill>
                    </w:rPr>
                  </w:pPr>
                  <w:r>
                    <w:rPr>
                      <w:rFonts w:ascii="Times New Roman" w:hAnsi="Times New Roman" w:cs="Times New Roman"/>
                      <w:b w:val="0"/>
                      <w:bCs w:val="0"/>
                      <w:color w:val="000000" w:themeColor="text1"/>
                      <w:sz w:val="21"/>
                      <w:szCs w:val="21"/>
                      <w:highlight w:val="none"/>
                      <w14:textFill>
                        <w14:solidFill>
                          <w14:schemeClr w14:val="tx1"/>
                        </w14:solidFill>
                      </w14:textFill>
                    </w:rPr>
                    <w:t>排放浓度限值（mg/m</w:t>
                  </w:r>
                  <w:r>
                    <w:rPr>
                      <w:rFonts w:ascii="Times New Roman" w:hAnsi="Times New Roman" w:cs="Times New Roman"/>
                      <w:b w:val="0"/>
                      <w:bCs w:val="0"/>
                      <w:color w:val="000000" w:themeColor="text1"/>
                      <w:sz w:val="21"/>
                      <w:szCs w:val="21"/>
                      <w:highlight w:val="none"/>
                      <w:vertAlign w:val="superscript"/>
                      <w14:textFill>
                        <w14:solidFill>
                          <w14:schemeClr w14:val="tx1"/>
                        </w14:solidFill>
                      </w14:textFill>
                    </w:rPr>
                    <w:t>3</w:t>
                  </w:r>
                  <w:r>
                    <w:rPr>
                      <w:rFonts w:ascii="Times New Roman" w:hAnsi="Times New Roman" w:cs="Times New Roman"/>
                      <w:b w:val="0"/>
                      <w:bCs w:val="0"/>
                      <w:color w:val="000000" w:themeColor="text1"/>
                      <w:sz w:val="21"/>
                      <w:szCs w:val="21"/>
                      <w:highlight w:val="none"/>
                      <w14:textFill>
                        <w14:solidFill>
                          <w14:schemeClr w14:val="tx1"/>
                        </w14:solidFill>
                      </w14:textFill>
                    </w:rPr>
                    <w:t>）</w:t>
                  </w:r>
                </w:p>
              </w:tc>
              <w:tc>
                <w:tcPr>
                  <w:tcW w:w="2842" w:type="dxa"/>
                  <w:tcBorders>
                    <w:tl2br w:val="nil"/>
                    <w:tr2bl w:val="nil"/>
                  </w:tcBorders>
                  <w:noWrap w:val="0"/>
                  <w:vAlign w:val="center"/>
                </w:tcPr>
                <w:p w14:paraId="72EB5B64">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ascii="Times New Roman" w:hAnsi="Times New Roman" w:cs="Times New Roman"/>
                      <w:b w:val="0"/>
                      <w:bCs w:val="0"/>
                      <w:color w:val="000000" w:themeColor="text1"/>
                      <w:sz w:val="21"/>
                      <w:szCs w:val="21"/>
                      <w:highlight w:val="none"/>
                      <w14:textFill>
                        <w14:solidFill>
                          <w14:schemeClr w14:val="tx1"/>
                        </w14:solidFill>
                      </w14:textFill>
                    </w:rPr>
                  </w:pPr>
                  <w:r>
                    <w:rPr>
                      <w:rFonts w:ascii="Times New Roman" w:hAnsi="Times New Roman" w:cs="Times New Roman"/>
                      <w:b w:val="0"/>
                      <w:bCs w:val="0"/>
                      <w:color w:val="000000" w:themeColor="text1"/>
                      <w:sz w:val="21"/>
                      <w:szCs w:val="21"/>
                      <w:highlight w:val="none"/>
                      <w14:textFill>
                        <w14:solidFill>
                          <w14:schemeClr w14:val="tx1"/>
                        </w14:solidFill>
                      </w14:textFill>
                    </w:rPr>
                    <w:t>标准来源</w:t>
                  </w:r>
                </w:p>
              </w:tc>
            </w:tr>
            <w:tr w14:paraId="11FE080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80" w:hRule="atLeast"/>
                <w:jc w:val="center"/>
              </w:trPr>
              <w:tc>
                <w:tcPr>
                  <w:tcW w:w="760" w:type="dxa"/>
                  <w:tcBorders>
                    <w:tl2br w:val="nil"/>
                    <w:tr2bl w:val="nil"/>
                  </w:tcBorders>
                  <w:noWrap w:val="0"/>
                  <w:vAlign w:val="center"/>
                </w:tcPr>
                <w:p w14:paraId="2280B905">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hint="eastAsia" w:ascii="Times New Roman" w:hAnsi="Times New Roman"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14:textFill>
                        <w14:solidFill>
                          <w14:schemeClr w14:val="tx1"/>
                        </w14:solidFill>
                      </w14:textFill>
                    </w:rPr>
                    <w:t>1</w:t>
                  </w:r>
                </w:p>
              </w:tc>
              <w:tc>
                <w:tcPr>
                  <w:tcW w:w="2689" w:type="dxa"/>
                  <w:tcBorders>
                    <w:tl2br w:val="nil"/>
                    <w:tr2bl w:val="nil"/>
                  </w:tcBorders>
                  <w:noWrap w:val="0"/>
                  <w:vAlign w:val="center"/>
                </w:tcPr>
                <w:p w14:paraId="3C63BBF3">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eastAsia" w:eastAsia="宋体"/>
                      <w:b w:val="0"/>
                      <w:bCs w:val="0"/>
                      <w:snapToGrid w:val="0"/>
                      <w:color w:val="000000" w:themeColor="text1"/>
                      <w:sz w:val="21"/>
                      <w:szCs w:val="21"/>
                      <w:highlight w:val="none"/>
                      <w:lang w:eastAsia="zh-CN"/>
                      <w14:textFill>
                        <w14:solidFill>
                          <w14:schemeClr w14:val="tx1"/>
                        </w14:solidFill>
                      </w14:textFill>
                    </w:rPr>
                  </w:pPr>
                  <w:r>
                    <w:rPr>
                      <w:b w:val="0"/>
                      <w:bCs w:val="0"/>
                      <w:snapToGrid w:val="0"/>
                      <w:color w:val="000000" w:themeColor="text1"/>
                      <w:sz w:val="21"/>
                      <w:szCs w:val="21"/>
                      <w:highlight w:val="none"/>
                      <w14:textFill>
                        <w14:solidFill>
                          <w14:schemeClr w14:val="tx1"/>
                        </w14:solidFill>
                      </w14:textFill>
                    </w:rPr>
                    <w:t>颗粒物</w:t>
                  </w:r>
                  <w:r>
                    <w:rPr>
                      <w:rFonts w:hint="eastAsia"/>
                      <w:b w:val="0"/>
                      <w:bCs w:val="0"/>
                      <w:snapToGrid w:val="0"/>
                      <w:color w:val="000000" w:themeColor="text1"/>
                      <w:sz w:val="21"/>
                      <w:szCs w:val="21"/>
                      <w:highlight w:val="none"/>
                      <w:lang w:eastAsia="zh-CN"/>
                      <w14:textFill>
                        <w14:solidFill>
                          <w14:schemeClr w14:val="tx1"/>
                        </w14:solidFill>
                      </w14:textFill>
                    </w:rPr>
                    <w:t>（厂界无组织）</w:t>
                  </w:r>
                </w:p>
              </w:tc>
              <w:tc>
                <w:tcPr>
                  <w:tcW w:w="1683" w:type="dxa"/>
                  <w:tcBorders>
                    <w:tl2br w:val="nil"/>
                    <w:tr2bl w:val="nil"/>
                  </w:tcBorders>
                  <w:noWrap w:val="0"/>
                  <w:vAlign w:val="center"/>
                </w:tcPr>
                <w:p w14:paraId="70546990">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default" w:eastAsia="宋体"/>
                      <w:b w:val="0"/>
                      <w:bCs w:val="0"/>
                      <w:snapToGrid w:val="0"/>
                      <w:color w:val="000000" w:themeColor="text1"/>
                      <w:sz w:val="21"/>
                      <w:szCs w:val="21"/>
                      <w:highlight w:val="none"/>
                      <w:lang w:val="en-US" w:eastAsia="zh-CN"/>
                      <w14:textFill>
                        <w14:solidFill>
                          <w14:schemeClr w14:val="tx1"/>
                        </w14:solidFill>
                      </w14:textFill>
                    </w:rPr>
                  </w:pPr>
                  <w:r>
                    <w:rPr>
                      <w:rFonts w:hint="eastAsia"/>
                      <w:b w:val="0"/>
                      <w:bCs w:val="0"/>
                      <w:snapToGrid w:val="0"/>
                      <w:color w:val="000000" w:themeColor="text1"/>
                      <w:sz w:val="21"/>
                      <w:szCs w:val="21"/>
                      <w:highlight w:val="none"/>
                      <w:lang w:val="en-US" w:eastAsia="zh-CN"/>
                      <w14:textFill>
                        <w14:solidFill>
                          <w14:schemeClr w14:val="tx1"/>
                        </w14:solidFill>
                      </w14:textFill>
                    </w:rPr>
                    <w:t>0.5</w:t>
                  </w:r>
                </w:p>
              </w:tc>
              <w:tc>
                <w:tcPr>
                  <w:tcW w:w="2842" w:type="dxa"/>
                  <w:vMerge w:val="restart"/>
                  <w:tcBorders>
                    <w:tl2br w:val="nil"/>
                    <w:tr2bl w:val="nil"/>
                  </w:tcBorders>
                  <w:noWrap w:val="0"/>
                  <w:vAlign w:val="center"/>
                </w:tcPr>
                <w:p w14:paraId="4400CA84">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b w:val="0"/>
                      <w:bCs w:val="0"/>
                      <w:snapToGrid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14:textFill>
                        <w14:solidFill>
                          <w14:schemeClr w14:val="tx1"/>
                        </w14:solidFill>
                      </w14:textFill>
                    </w:rPr>
                    <w:t>《</w:t>
                  </w:r>
                  <w:r>
                    <w:rPr>
                      <w:rFonts w:hint="eastAsia"/>
                      <w:b w:val="0"/>
                      <w:bCs w:val="0"/>
                      <w:color w:val="000000" w:themeColor="text1"/>
                      <w:sz w:val="21"/>
                      <w:szCs w:val="21"/>
                      <w:highlight w:val="none"/>
                      <w:lang w:eastAsia="zh-CN"/>
                      <w14:textFill>
                        <w14:solidFill>
                          <w14:schemeClr w14:val="tx1"/>
                        </w14:solidFill>
                      </w14:textFill>
                    </w:rPr>
                    <w:t>石灰工业大气污染物排放标准</w:t>
                  </w:r>
                  <w:r>
                    <w:rPr>
                      <w:rFonts w:hint="eastAsia"/>
                      <w:b w:val="0"/>
                      <w:bCs w:val="0"/>
                      <w:color w:val="000000" w:themeColor="text1"/>
                      <w:sz w:val="21"/>
                      <w:szCs w:val="21"/>
                      <w:highlight w:val="none"/>
                      <w14:textFill>
                        <w14:solidFill>
                          <w14:schemeClr w14:val="tx1"/>
                        </w14:solidFill>
                      </w14:textFill>
                    </w:rPr>
                    <w:t>》</w:t>
                  </w:r>
                  <w:r>
                    <w:rPr>
                      <w:rFonts w:hint="eastAsia"/>
                      <w:b w:val="0"/>
                      <w:bCs w:val="0"/>
                      <w:color w:val="000000" w:themeColor="text1"/>
                      <w:sz w:val="21"/>
                      <w:szCs w:val="21"/>
                      <w:highlight w:val="none"/>
                      <w:lang w:eastAsia="zh-CN"/>
                      <w14:textFill>
                        <w14:solidFill>
                          <w14:schemeClr w14:val="tx1"/>
                        </w14:solidFill>
                      </w14:textFill>
                    </w:rPr>
                    <w:t>（</w:t>
                  </w:r>
                  <w:r>
                    <w:rPr>
                      <w:rFonts w:hint="eastAsia"/>
                      <w:b w:val="0"/>
                      <w:bCs w:val="0"/>
                      <w:color w:val="000000" w:themeColor="text1"/>
                      <w:sz w:val="21"/>
                      <w:szCs w:val="21"/>
                      <w:highlight w:val="none"/>
                      <w14:textFill>
                        <w14:solidFill>
                          <w14:schemeClr w14:val="tx1"/>
                        </w14:solidFill>
                      </w14:textFill>
                    </w:rPr>
                    <w:t>DB</w:t>
                  </w:r>
                  <w:r>
                    <w:rPr>
                      <w:rFonts w:hint="eastAsia"/>
                      <w:b w:val="0"/>
                      <w:bCs w:val="0"/>
                      <w:color w:val="000000" w:themeColor="text1"/>
                      <w:sz w:val="21"/>
                      <w:szCs w:val="21"/>
                      <w:highlight w:val="none"/>
                      <w:lang w:eastAsia="zh-CN"/>
                      <w14:textFill>
                        <w14:solidFill>
                          <w14:schemeClr w14:val="tx1"/>
                        </w14:solidFill>
                      </w14:textFill>
                    </w:rPr>
                    <w:t>13/1641-2025）</w:t>
                  </w:r>
                  <w:r>
                    <w:rPr>
                      <w:rFonts w:hint="eastAsia"/>
                      <w:b w:val="0"/>
                      <w:bCs w:val="0"/>
                      <w:color w:val="000000" w:themeColor="text1"/>
                      <w:sz w:val="21"/>
                      <w:szCs w:val="21"/>
                      <w:highlight w:val="none"/>
                      <w14:textFill>
                        <w14:solidFill>
                          <w14:schemeClr w14:val="tx1"/>
                        </w14:solidFill>
                      </w14:textFill>
                    </w:rPr>
                    <w:t>及《2019年“十项重点工作”工作方案》</w:t>
                  </w:r>
                  <w:r>
                    <w:rPr>
                      <w:rFonts w:hint="eastAsia"/>
                      <w:b w:val="0"/>
                      <w:bCs w:val="0"/>
                      <w:color w:val="000000" w:themeColor="text1"/>
                      <w:sz w:val="21"/>
                      <w:szCs w:val="21"/>
                      <w:highlight w:val="none"/>
                      <w:lang w:eastAsia="zh-CN"/>
                      <w14:textFill>
                        <w14:solidFill>
                          <w14:schemeClr w14:val="tx1"/>
                        </w14:solidFill>
                      </w14:textFill>
                    </w:rPr>
                    <w:t>（</w:t>
                  </w:r>
                  <w:r>
                    <w:rPr>
                      <w:rFonts w:hint="eastAsia"/>
                      <w:b w:val="0"/>
                      <w:bCs w:val="0"/>
                      <w:color w:val="000000" w:themeColor="text1"/>
                      <w:sz w:val="21"/>
                      <w:szCs w:val="21"/>
                      <w:highlight w:val="none"/>
                      <w14:textFill>
                        <w14:solidFill>
                          <w14:schemeClr w14:val="tx1"/>
                        </w14:solidFill>
                      </w14:textFill>
                    </w:rPr>
                    <w:t>唐办发</w:t>
                  </w:r>
                  <w:r>
                    <w:rPr>
                      <w:rFonts w:hint="eastAsia"/>
                      <w:b w:val="0"/>
                      <w:bCs w:val="0"/>
                      <w:color w:val="000000" w:themeColor="text1"/>
                      <w:sz w:val="21"/>
                      <w:szCs w:val="21"/>
                      <w:highlight w:val="none"/>
                      <w:lang w:eastAsia="zh-CN"/>
                      <w14:textFill>
                        <w14:solidFill>
                          <w14:schemeClr w14:val="tx1"/>
                        </w14:solidFill>
                      </w14:textFill>
                    </w:rPr>
                    <w:t>﹝2019﹞</w:t>
                  </w:r>
                  <w:r>
                    <w:rPr>
                      <w:rFonts w:hint="eastAsia"/>
                      <w:b w:val="0"/>
                      <w:bCs w:val="0"/>
                      <w:color w:val="000000" w:themeColor="text1"/>
                      <w:sz w:val="21"/>
                      <w:szCs w:val="21"/>
                      <w:highlight w:val="none"/>
                      <w14:textFill>
                        <w14:solidFill>
                          <w14:schemeClr w14:val="tx1"/>
                        </w14:solidFill>
                      </w14:textFill>
                    </w:rPr>
                    <w:t>3号</w:t>
                  </w:r>
                  <w:r>
                    <w:rPr>
                      <w:rFonts w:hint="eastAsia"/>
                      <w:b w:val="0"/>
                      <w:bCs w:val="0"/>
                      <w:color w:val="000000" w:themeColor="text1"/>
                      <w:sz w:val="21"/>
                      <w:szCs w:val="21"/>
                      <w:highlight w:val="none"/>
                      <w:lang w:eastAsia="zh-CN"/>
                      <w14:textFill>
                        <w14:solidFill>
                          <w14:schemeClr w14:val="tx1"/>
                        </w14:solidFill>
                      </w14:textFill>
                    </w:rPr>
                    <w:t>）</w:t>
                  </w:r>
                </w:p>
              </w:tc>
            </w:tr>
            <w:tr w14:paraId="7B52840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80" w:hRule="atLeast"/>
                <w:jc w:val="center"/>
              </w:trPr>
              <w:tc>
                <w:tcPr>
                  <w:tcW w:w="760" w:type="dxa"/>
                  <w:tcBorders>
                    <w:tl2br w:val="nil"/>
                    <w:tr2bl w:val="nil"/>
                  </w:tcBorders>
                  <w:noWrap w:val="0"/>
                  <w:vAlign w:val="center"/>
                </w:tcPr>
                <w:p w14:paraId="3672CE35">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hint="eastAsia" w:ascii="Times New Roman" w:hAnsi="Times New Roman" w:cs="Times New Roman"/>
                      <w:b w:val="0"/>
                      <w:bCs w:val="0"/>
                      <w:color w:val="000000" w:themeColor="text1"/>
                      <w:sz w:val="21"/>
                      <w:szCs w:val="21"/>
                      <w:highlight w:val="none"/>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c>
                <w:tcPr>
                  <w:tcW w:w="2689" w:type="dxa"/>
                  <w:tcBorders>
                    <w:tl2br w:val="nil"/>
                    <w:tr2bl w:val="nil"/>
                  </w:tcBorders>
                  <w:noWrap w:val="0"/>
                  <w:vAlign w:val="center"/>
                </w:tcPr>
                <w:p w14:paraId="2BF6F61A">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eastAsia" w:eastAsia="宋体"/>
                      <w:b w:val="0"/>
                      <w:bCs w:val="0"/>
                      <w:snapToGrid w:val="0"/>
                      <w:color w:val="000000" w:themeColor="text1"/>
                      <w:sz w:val="21"/>
                      <w:szCs w:val="21"/>
                      <w:highlight w:val="none"/>
                      <w:lang w:eastAsia="zh-CN"/>
                      <w14:textFill>
                        <w14:solidFill>
                          <w14:schemeClr w14:val="tx1"/>
                        </w14:solidFill>
                      </w14:textFill>
                    </w:rPr>
                  </w:pPr>
                  <w:r>
                    <w:rPr>
                      <w:b w:val="0"/>
                      <w:bCs w:val="0"/>
                      <w:snapToGrid w:val="0"/>
                      <w:color w:val="000000" w:themeColor="text1"/>
                      <w:sz w:val="21"/>
                      <w:szCs w:val="21"/>
                      <w:highlight w:val="none"/>
                      <w14:textFill>
                        <w14:solidFill>
                          <w14:schemeClr w14:val="tx1"/>
                        </w14:solidFill>
                      </w14:textFill>
                    </w:rPr>
                    <w:t>颗粒物</w:t>
                  </w:r>
                  <w:r>
                    <w:rPr>
                      <w:rFonts w:hint="default"/>
                      <w:b w:val="0"/>
                      <w:bCs w:val="0"/>
                      <w:snapToGrid w:val="0"/>
                      <w:color w:val="000000" w:themeColor="text1"/>
                      <w:sz w:val="21"/>
                      <w:szCs w:val="21"/>
                      <w:highlight w:val="none"/>
                      <w:lang w:eastAsia="zh-CN"/>
                      <w14:textFill>
                        <w14:solidFill>
                          <w14:schemeClr w14:val="tx1"/>
                        </w14:solidFill>
                      </w14:textFill>
                    </w:rPr>
                    <w:t>（</w:t>
                  </w:r>
                  <w:r>
                    <w:rPr>
                      <w:rFonts w:ascii="Times New Roman" w:hAnsi="Times New Roman" w:eastAsia="宋体" w:cs="Times New Roman"/>
                      <w:b w:val="0"/>
                      <w:bCs w:val="0"/>
                      <w:i w:val="0"/>
                      <w:iCs w:val="0"/>
                      <w:snapToGrid w:val="0"/>
                      <w:color w:val="000000" w:themeColor="text1"/>
                      <w:sz w:val="21"/>
                      <w:szCs w:val="21"/>
                      <w:highlight w:val="none"/>
                      <w14:textFill>
                        <w14:solidFill>
                          <w14:schemeClr w14:val="tx1"/>
                        </w14:solidFill>
                      </w14:textFill>
                    </w:rPr>
                    <w:t>企业厂区内大气污染物无组织排放限值</w:t>
                  </w:r>
                  <w:r>
                    <w:rPr>
                      <w:rFonts w:hint="default"/>
                      <w:b w:val="0"/>
                      <w:bCs w:val="0"/>
                      <w:snapToGrid w:val="0"/>
                      <w:color w:val="000000" w:themeColor="text1"/>
                      <w:sz w:val="21"/>
                      <w:szCs w:val="21"/>
                      <w:highlight w:val="none"/>
                      <w:lang w:eastAsia="zh-CN"/>
                      <w14:textFill>
                        <w14:solidFill>
                          <w14:schemeClr w14:val="tx1"/>
                        </w14:solidFill>
                      </w14:textFill>
                    </w:rPr>
                    <w:t>）</w:t>
                  </w:r>
                </w:p>
              </w:tc>
              <w:tc>
                <w:tcPr>
                  <w:tcW w:w="1683" w:type="dxa"/>
                  <w:tcBorders>
                    <w:tl2br w:val="nil"/>
                    <w:tr2bl w:val="nil"/>
                  </w:tcBorders>
                  <w:noWrap w:val="0"/>
                  <w:vAlign w:val="center"/>
                </w:tcPr>
                <w:p w14:paraId="5F0EA465">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default"/>
                      <w:b w:val="0"/>
                      <w:bCs w:val="0"/>
                      <w:snapToGrid w:val="0"/>
                      <w:color w:val="000000" w:themeColor="text1"/>
                      <w:sz w:val="21"/>
                      <w:szCs w:val="21"/>
                      <w:highlight w:val="none"/>
                      <w:lang w:val="en-US" w:eastAsia="zh-CN"/>
                      <w14:textFill>
                        <w14:solidFill>
                          <w14:schemeClr w14:val="tx1"/>
                        </w14:solidFill>
                      </w14:textFill>
                    </w:rPr>
                  </w:pPr>
                  <w:r>
                    <w:rPr>
                      <w:rFonts w:hint="eastAsia"/>
                      <w:b w:val="0"/>
                      <w:bCs w:val="0"/>
                      <w:snapToGrid w:val="0"/>
                      <w:color w:val="000000" w:themeColor="text1"/>
                      <w:sz w:val="21"/>
                      <w:szCs w:val="21"/>
                      <w:highlight w:val="none"/>
                      <w:lang w:val="en-US" w:eastAsia="zh-CN"/>
                      <w14:textFill>
                        <w14:solidFill>
                          <w14:schemeClr w14:val="tx1"/>
                        </w14:solidFill>
                      </w14:textFill>
                    </w:rPr>
                    <w:t>5.0</w:t>
                  </w:r>
                </w:p>
              </w:tc>
              <w:tc>
                <w:tcPr>
                  <w:tcW w:w="2842" w:type="dxa"/>
                  <w:vMerge w:val="continue"/>
                  <w:tcBorders>
                    <w:tl2br w:val="nil"/>
                    <w:tr2bl w:val="nil"/>
                  </w:tcBorders>
                  <w:noWrap w:val="0"/>
                  <w:vAlign w:val="center"/>
                </w:tcPr>
                <w:p w14:paraId="638D80B6">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eastAsia"/>
                      <w:b w:val="0"/>
                      <w:bCs w:val="0"/>
                      <w:color w:val="000000" w:themeColor="text1"/>
                      <w:sz w:val="21"/>
                      <w:szCs w:val="21"/>
                      <w:highlight w:val="none"/>
                      <w14:textFill>
                        <w14:solidFill>
                          <w14:schemeClr w14:val="tx1"/>
                        </w14:solidFill>
                      </w14:textFill>
                    </w:rPr>
                  </w:pPr>
                </w:p>
              </w:tc>
            </w:tr>
            <w:tr w14:paraId="32D48DD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80" w:hRule="atLeast"/>
                <w:jc w:val="center"/>
              </w:trPr>
              <w:tc>
                <w:tcPr>
                  <w:tcW w:w="760" w:type="dxa"/>
                  <w:tcBorders>
                    <w:tl2br w:val="nil"/>
                    <w:tr2bl w:val="nil"/>
                  </w:tcBorders>
                  <w:noWrap w:val="0"/>
                  <w:vAlign w:val="center"/>
                </w:tcPr>
                <w:p w14:paraId="6AEBF58D">
                  <w:pPr>
                    <w:pStyle w:val="44"/>
                    <w:keepNext w:val="0"/>
                    <w:keepLines w:val="0"/>
                    <w:pageBreakBefore w:val="0"/>
                    <w:widowControl w:val="0"/>
                    <w:shd w:val="clear"/>
                    <w:kinsoku/>
                    <w:wordWrap/>
                    <w:overflowPunct/>
                    <w:topLinePunct w:val="0"/>
                    <w:autoSpaceDE/>
                    <w:autoSpaceDN/>
                    <w:bidi w:val="0"/>
                    <w:adjustRightInd/>
                    <w:snapToGrid w:val="0"/>
                    <w:spacing w:before="0" w:after="0" w:afterLines="0" w:line="0" w:lineRule="atLeast"/>
                    <w:ind w:left="0" w:firstLine="0" w:firstLineChars="0"/>
                    <w:jc w:val="center"/>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w:t>
                  </w:r>
                </w:p>
              </w:tc>
              <w:tc>
                <w:tcPr>
                  <w:tcW w:w="2689" w:type="dxa"/>
                  <w:tcBorders>
                    <w:tl2br w:val="nil"/>
                    <w:tr2bl w:val="nil"/>
                  </w:tcBorders>
                  <w:noWrap w:val="0"/>
                  <w:vAlign w:val="center"/>
                </w:tcPr>
                <w:p w14:paraId="5CA12CF7">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eastAsia" w:eastAsia="宋体"/>
                      <w:b w:val="0"/>
                      <w:bCs w:val="0"/>
                      <w:snapToGrid w:val="0"/>
                      <w:color w:val="000000" w:themeColor="text1"/>
                      <w:sz w:val="21"/>
                      <w:szCs w:val="21"/>
                      <w:highlight w:val="none"/>
                      <w:lang w:eastAsia="zh-CN"/>
                      <w14:textFill>
                        <w14:solidFill>
                          <w14:schemeClr w14:val="tx1"/>
                        </w14:solidFill>
                      </w14:textFill>
                    </w:rPr>
                  </w:pPr>
                  <w:r>
                    <w:rPr>
                      <w:rFonts w:hint="eastAsia"/>
                      <w:b w:val="0"/>
                      <w:bCs w:val="0"/>
                      <w:snapToGrid w:val="0"/>
                      <w:color w:val="000000" w:themeColor="text1"/>
                      <w:sz w:val="21"/>
                      <w:szCs w:val="21"/>
                      <w:highlight w:val="none"/>
                      <w:lang w:eastAsia="zh-CN"/>
                      <w14:textFill>
                        <w14:solidFill>
                          <w14:schemeClr w14:val="tx1"/>
                        </w14:solidFill>
                      </w14:textFill>
                    </w:rPr>
                    <w:t>颗粒物（有组织）</w:t>
                  </w:r>
                </w:p>
              </w:tc>
              <w:tc>
                <w:tcPr>
                  <w:tcW w:w="1683" w:type="dxa"/>
                  <w:tcBorders>
                    <w:tl2br w:val="nil"/>
                    <w:tr2bl w:val="nil"/>
                  </w:tcBorders>
                  <w:noWrap w:val="0"/>
                  <w:vAlign w:val="center"/>
                </w:tcPr>
                <w:p w14:paraId="092F094F">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rFonts w:hint="default" w:eastAsia="宋体"/>
                      <w:b w:val="0"/>
                      <w:bCs w:val="0"/>
                      <w:snapToGrid w:val="0"/>
                      <w:color w:val="000000" w:themeColor="text1"/>
                      <w:sz w:val="21"/>
                      <w:szCs w:val="21"/>
                      <w:highlight w:val="none"/>
                      <w:lang w:val="en-US" w:eastAsia="zh-CN"/>
                      <w14:textFill>
                        <w14:solidFill>
                          <w14:schemeClr w14:val="tx1"/>
                        </w14:solidFill>
                      </w14:textFill>
                    </w:rPr>
                  </w:pPr>
                  <w:r>
                    <w:rPr>
                      <w:rFonts w:hint="eastAsia"/>
                      <w:b w:val="0"/>
                      <w:bCs w:val="0"/>
                      <w:snapToGrid w:val="0"/>
                      <w:color w:val="000000" w:themeColor="text1"/>
                      <w:sz w:val="21"/>
                      <w:szCs w:val="21"/>
                      <w:highlight w:val="none"/>
                      <w:lang w:val="en-US" w:eastAsia="zh-CN"/>
                      <w14:textFill>
                        <w14:solidFill>
                          <w14:schemeClr w14:val="tx1"/>
                        </w14:solidFill>
                      </w14:textFill>
                    </w:rPr>
                    <w:t>10</w:t>
                  </w:r>
                </w:p>
              </w:tc>
              <w:tc>
                <w:tcPr>
                  <w:tcW w:w="2842" w:type="dxa"/>
                  <w:vMerge w:val="continue"/>
                  <w:tcBorders>
                    <w:tl2br w:val="nil"/>
                    <w:tr2bl w:val="nil"/>
                  </w:tcBorders>
                  <w:noWrap w:val="0"/>
                  <w:vAlign w:val="center"/>
                </w:tcPr>
                <w:p w14:paraId="47DAFE55">
                  <w:pPr>
                    <w:pStyle w:val="119"/>
                    <w:keepNext w:val="0"/>
                    <w:keepLines w:val="0"/>
                    <w:pageBreakBefore w:val="0"/>
                    <w:widowControl w:val="0"/>
                    <w:shd w:val="clear"/>
                    <w:kinsoku/>
                    <w:wordWrap/>
                    <w:overflowPunct/>
                    <w:topLinePunct w:val="0"/>
                    <w:autoSpaceDE/>
                    <w:autoSpaceDN/>
                    <w:bidi w:val="0"/>
                    <w:adjustRightInd/>
                    <w:spacing w:line="0" w:lineRule="atLeast"/>
                    <w:ind w:firstLine="0" w:firstLineChars="0"/>
                    <w:textAlignment w:val="auto"/>
                    <w:rPr>
                      <w:b w:val="0"/>
                      <w:bCs w:val="0"/>
                      <w:color w:val="000000" w:themeColor="text1"/>
                      <w:sz w:val="21"/>
                      <w:szCs w:val="21"/>
                      <w:highlight w:val="none"/>
                      <w14:textFill>
                        <w14:solidFill>
                          <w14:schemeClr w14:val="tx1"/>
                        </w14:solidFill>
                      </w14:textFill>
                    </w:rPr>
                  </w:pPr>
                </w:p>
              </w:tc>
            </w:tr>
          </w:tbl>
          <w:p w14:paraId="6CA4F8C7">
            <w:pPr>
              <w:keepNext w:val="0"/>
              <w:keepLines w:val="0"/>
              <w:pageBreakBefore w:val="0"/>
              <w:widowControl w:val="0"/>
              <w:shd w:val="clear"/>
              <w:kinsoku/>
              <w:wordWrap/>
              <w:overflowPunct/>
              <w:topLinePunct w:val="0"/>
              <w:bidi w:val="0"/>
              <w:spacing w:line="480" w:lineRule="exact"/>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⑵</w:t>
            </w:r>
            <w:r>
              <w:rPr>
                <w:rFonts w:hint="eastAsia" w:cs="Times New Roman"/>
                <w:color w:val="000000" w:themeColor="text1"/>
                <w:highlight w:val="none"/>
                <w:lang w:val="en-US" w:eastAsia="zh-CN"/>
                <w14:textFill>
                  <w14:solidFill>
                    <w14:schemeClr w14:val="tx1"/>
                  </w14:solidFill>
                </w14:textFill>
              </w:rPr>
              <w:t>噪声</w:t>
            </w:r>
          </w:p>
          <w:p w14:paraId="00D6F1DF">
            <w:pPr>
              <w:keepNext w:val="0"/>
              <w:keepLines w:val="0"/>
              <w:pageBreakBefore w:val="0"/>
              <w:widowControl w:val="0"/>
              <w:shd w:val="clear"/>
              <w:kinsoku/>
              <w:wordWrap/>
              <w:overflowPunct/>
              <w:topLinePunct w:val="0"/>
              <w:bidi w:val="0"/>
              <w:spacing w:line="480" w:lineRule="exact"/>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厂界噪声执行《</w:t>
            </w:r>
            <w:r>
              <w:rPr>
                <w:rFonts w:hint="eastAsia" w:cs="Times New Roman"/>
                <w:color w:val="000000" w:themeColor="text1"/>
                <w:highlight w:val="none"/>
                <w:lang w:val="en-US" w:eastAsia="zh-CN"/>
                <w14:textFill>
                  <w14:solidFill>
                    <w14:schemeClr w14:val="tx1"/>
                  </w14:solidFill>
                </w14:textFill>
              </w:rPr>
              <w:t>工业企业厂界环境噪声排放标准</w:t>
            </w:r>
            <w:r>
              <w:rPr>
                <w:rFonts w:hint="default" w:ascii="Times New Roman" w:hAnsi="Times New Roman" w:eastAsia="宋体" w:cs="Times New Roman"/>
                <w:color w:val="000000" w:themeColor="text1"/>
                <w:highlight w:val="none"/>
                <w:lang w:val="en-US" w:eastAsia="zh-CN"/>
                <w14:textFill>
                  <w14:solidFill>
                    <w14:schemeClr w14:val="tx1"/>
                  </w14:solidFill>
                </w14:textFill>
              </w:rPr>
              <w:t>》（GB</w:t>
            </w:r>
            <w:r>
              <w:rPr>
                <w:rFonts w:hint="eastAsia" w:cs="Times New Roman"/>
                <w:color w:val="000000" w:themeColor="text1"/>
                <w:highlight w:val="none"/>
                <w:lang w:val="en-US" w:eastAsia="zh-CN"/>
                <w14:textFill>
                  <w14:solidFill>
                    <w14:schemeClr w14:val="tx1"/>
                  </w14:solidFill>
                </w14:textFill>
              </w:rPr>
              <w:t>12348</w:t>
            </w:r>
            <w:r>
              <w:rPr>
                <w:rFonts w:hint="default" w:ascii="Times New Roman" w:hAnsi="Times New Roman" w:eastAsia="宋体" w:cs="Times New Roman"/>
                <w:color w:val="000000" w:themeColor="text1"/>
                <w:highlight w:val="none"/>
                <w:lang w:val="en-US" w:eastAsia="zh-CN"/>
                <w14:textFill>
                  <w14:solidFill>
                    <w14:schemeClr w14:val="tx1"/>
                  </w14:solidFill>
                </w14:textFill>
              </w:rPr>
              <w:t>-2008）中</w:t>
            </w:r>
            <w:r>
              <w:rPr>
                <w:rFonts w:hint="eastAsia" w:cs="Times New Roman"/>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highlight w:val="none"/>
                <w:lang w:val="en-US" w:eastAsia="zh-CN"/>
                <w14:textFill>
                  <w14:solidFill>
                    <w14:schemeClr w14:val="tx1"/>
                  </w14:solidFill>
                </w14:textFill>
              </w:rPr>
              <w:t>类标准，昼间6</w:t>
            </w:r>
            <w:r>
              <w:rPr>
                <w:rFonts w:hint="eastAsia" w:cs="Times New Roman"/>
                <w:color w:val="000000" w:themeColor="text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highlight w:val="none"/>
                <w:lang w:val="en-US" w:eastAsia="zh-CN"/>
                <w14:textFill>
                  <w14:solidFill>
                    <w14:schemeClr w14:val="tx1"/>
                  </w14:solidFill>
                </w14:textFill>
              </w:rPr>
              <w:t>dB（A），</w:t>
            </w:r>
            <w:r>
              <w:rPr>
                <w:rFonts w:hint="eastAsia" w:cs="Times New Roman"/>
                <w:color w:val="000000" w:themeColor="text1"/>
                <w:highlight w:val="none"/>
                <w:lang w:val="en-US" w:eastAsia="zh-CN"/>
                <w14:textFill>
                  <w14:solidFill>
                    <w14:schemeClr w14:val="tx1"/>
                  </w14:solidFill>
                </w14:textFill>
              </w:rPr>
              <w:t>夜间50</w:t>
            </w:r>
            <w:r>
              <w:rPr>
                <w:rFonts w:hint="default" w:ascii="Times New Roman" w:hAnsi="Times New Roman" w:eastAsia="宋体" w:cs="Times New Roman"/>
                <w:color w:val="000000" w:themeColor="text1"/>
                <w:highlight w:val="none"/>
                <w:lang w:val="en-US" w:eastAsia="zh-CN"/>
                <w14:textFill>
                  <w14:solidFill>
                    <w14:schemeClr w14:val="tx1"/>
                  </w14:solidFill>
                </w14:textFill>
              </w:rPr>
              <w:t>dB（A）</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p w14:paraId="66BDF655">
            <w:pPr>
              <w:keepNext w:val="0"/>
              <w:keepLines w:val="0"/>
              <w:pageBreakBefore w:val="0"/>
              <w:widowControl w:val="0"/>
              <w:shd w:val="clear"/>
              <w:kinsoku/>
              <w:wordWrap/>
              <w:overflowPunct/>
              <w:topLinePunct w:val="0"/>
              <w:bidi w:val="0"/>
              <w:spacing w:line="480" w:lineRule="exact"/>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⑶</w:t>
            </w:r>
            <w:r>
              <w:rPr>
                <w:rFonts w:hint="eastAsia" w:ascii="Times New Roman" w:hAnsi="Times New Roman" w:cs="Times New Roman"/>
                <w:color w:val="000000" w:themeColor="text1"/>
                <w:highlight w:val="none"/>
                <w:lang w:val="en-US" w:eastAsia="zh-CN"/>
                <w14:textFill>
                  <w14:solidFill>
                    <w14:schemeClr w14:val="tx1"/>
                  </w14:solidFill>
                </w14:textFill>
              </w:rPr>
              <w:t>固体废物</w:t>
            </w:r>
          </w:p>
          <w:p w14:paraId="499E66E9">
            <w:pPr>
              <w:keepNext w:val="0"/>
              <w:keepLines w:val="0"/>
              <w:widowControl/>
              <w:suppressLineNumbers w:val="0"/>
              <w:jc w:val="left"/>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本项目工业固体废物管理及排污许可相关工作，严格执行《排污许可证申请与核发技术规范 工业固体废物（试行）》（HJ1200-2021）中的各项技术要求、申请流程及核发规范，确保工业固体废物的产生、贮存、转运、处置全流程符合排污许可管理规定。</w:t>
            </w:r>
            <w:r>
              <w:rPr>
                <w:snapToGrid w:val="0"/>
                <w:color w:val="000000" w:themeColor="text1"/>
                <w:sz w:val="24"/>
                <w:szCs w:val="24"/>
                <w:highlight w:val="none"/>
                <w14:textFill>
                  <w14:solidFill>
                    <w14:schemeClr w14:val="tx1"/>
                  </w14:solidFill>
                </w14:textFill>
              </w:rPr>
              <w:t>一般固体废弃物</w:t>
            </w:r>
            <w:r>
              <w:rPr>
                <w:rFonts w:hint="eastAsia"/>
                <w:snapToGrid w:val="0"/>
                <w:color w:val="000000" w:themeColor="text1"/>
                <w:sz w:val="24"/>
                <w:szCs w:val="24"/>
                <w:highlight w:val="none"/>
                <w:lang w:val="en-US" w:eastAsia="zh-CN"/>
                <w14:textFill>
                  <w14:solidFill>
                    <w14:schemeClr w14:val="tx1"/>
                  </w14:solidFill>
                </w14:textFill>
              </w:rPr>
              <w:t>贮存</w:t>
            </w:r>
            <w:r>
              <w:rPr>
                <w:rFonts w:hint="eastAsia"/>
                <w:snapToGrid w:val="0"/>
                <w:color w:val="000000" w:themeColor="text1"/>
                <w:sz w:val="24"/>
                <w:szCs w:val="24"/>
                <w:highlight w:val="none"/>
                <w14:textFill>
                  <w14:solidFill>
                    <w14:schemeClr w14:val="tx1"/>
                  </w14:solidFill>
                </w14:textFill>
              </w:rPr>
              <w:t>参照</w:t>
            </w:r>
            <w:r>
              <w:rPr>
                <w:snapToGrid w:val="0"/>
                <w:color w:val="000000" w:themeColor="text1"/>
                <w:sz w:val="24"/>
                <w:szCs w:val="24"/>
                <w:highlight w:val="none"/>
                <w14:textFill>
                  <w14:solidFill>
                    <w14:schemeClr w14:val="tx1"/>
                  </w14:solidFill>
                </w14:textFill>
              </w:rPr>
              <w:t>执行</w:t>
            </w:r>
            <w:r>
              <w:rPr>
                <w:rFonts w:hint="eastAsia"/>
                <w:snapToGrid w:val="0"/>
                <w:color w:val="000000" w:themeColor="text1"/>
                <w:sz w:val="24"/>
                <w:szCs w:val="24"/>
                <w:highlight w:val="none"/>
                <w14:textFill>
                  <w14:solidFill>
                    <w14:schemeClr w14:val="tx1"/>
                  </w14:solidFill>
                </w14:textFill>
              </w:rPr>
              <w:t>《</w:t>
            </w:r>
            <w:r>
              <w:rPr>
                <w:snapToGrid w:val="0"/>
                <w:color w:val="000000" w:themeColor="text1"/>
                <w:sz w:val="24"/>
                <w:szCs w:val="24"/>
                <w:highlight w:val="none"/>
                <w14:textFill>
                  <w14:solidFill>
                    <w14:schemeClr w14:val="tx1"/>
                  </w14:solidFill>
                </w14:textFill>
              </w:rPr>
              <w:fldChar w:fldCharType="begin"/>
            </w:r>
            <w:r>
              <w:rPr>
                <w:snapToGrid w:val="0"/>
                <w:color w:val="000000" w:themeColor="text1"/>
                <w:sz w:val="24"/>
                <w:szCs w:val="24"/>
                <w:highlight w:val="none"/>
                <w14:textFill>
                  <w14:solidFill>
                    <w14:schemeClr w14:val="tx1"/>
                  </w14:solidFill>
                </w14:textFill>
              </w:rPr>
              <w:instrText xml:space="preserve"> HYPERLINK "https://www.eiacloud.com/hpyzs/lawsRegulations/searchDetail?id=aa2796ebd34247bfb15db7bdfa5bf721&amp;modelName=%E9%A6%96%E9%A1%B5" \t "https://www.eiacloud.com/hpyzs/lawsRegulations/_blank" </w:instrText>
            </w:r>
            <w:r>
              <w:rPr>
                <w:snapToGrid w:val="0"/>
                <w:color w:val="000000" w:themeColor="text1"/>
                <w:sz w:val="24"/>
                <w:szCs w:val="24"/>
                <w:highlight w:val="none"/>
                <w14:textFill>
                  <w14:solidFill>
                    <w14:schemeClr w14:val="tx1"/>
                  </w14:solidFill>
                </w14:textFill>
              </w:rPr>
              <w:fldChar w:fldCharType="separate"/>
            </w:r>
            <w:r>
              <w:rPr>
                <w:snapToGrid w:val="0"/>
                <w:color w:val="000000" w:themeColor="text1"/>
                <w:sz w:val="24"/>
                <w:szCs w:val="24"/>
                <w:highlight w:val="none"/>
                <w14:textFill>
                  <w14:solidFill>
                    <w14:schemeClr w14:val="tx1"/>
                  </w14:solidFill>
                </w14:textFill>
              </w:rPr>
              <w:t>一般工业固体废物贮存和填埋污染控制标准</w:t>
            </w:r>
            <w:r>
              <w:rPr>
                <w:snapToGrid w:val="0"/>
                <w:color w:val="000000" w:themeColor="text1"/>
                <w:sz w:val="24"/>
                <w:szCs w:val="24"/>
                <w:highlight w:val="none"/>
                <w14:textFill>
                  <w14:solidFill>
                    <w14:schemeClr w14:val="tx1"/>
                  </w14:solidFill>
                </w14:textFill>
              </w:rPr>
              <w:fldChar w:fldCharType="end"/>
            </w:r>
            <w:r>
              <w:rPr>
                <w:rFonts w:hint="eastAsia"/>
                <w:snapToGrid w:val="0"/>
                <w:color w:val="000000" w:themeColor="text1"/>
                <w:sz w:val="24"/>
                <w:szCs w:val="24"/>
                <w:highlight w:val="none"/>
                <w14:textFill>
                  <w14:solidFill>
                    <w14:schemeClr w14:val="tx1"/>
                  </w14:solidFill>
                </w14:textFill>
              </w:rPr>
              <w:t>》（</w:t>
            </w:r>
            <w:r>
              <w:rPr>
                <w:rFonts w:hint="eastAsia" w:ascii="Times New Roman" w:hAnsi="Times New Roman" w:eastAsia="宋体" w:cs="Times New Roman"/>
                <w:snapToGrid w:val="0"/>
                <w:color w:val="000000" w:themeColor="text1"/>
                <w:sz w:val="24"/>
                <w:szCs w:val="24"/>
                <w:highlight w:val="none"/>
                <w14:textFill>
                  <w14:solidFill>
                    <w14:schemeClr w14:val="tx1"/>
                  </w14:solidFill>
                </w14:textFill>
              </w:rPr>
              <w:t>GB18599-2020）</w:t>
            </w:r>
            <w:r>
              <w:rPr>
                <w:rFonts w:hint="eastAsia" w:ascii="Times New Roman" w:hAnsi="Times New Roman" w:eastAsia="宋体" w:cs="Times New Roman"/>
                <w:snapToGrid w:val="0"/>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snapToGrid w:val="0"/>
                <w:color w:val="000000" w:themeColor="text1"/>
                <w:sz w:val="24"/>
                <w:szCs w:val="24"/>
                <w:highlight w:val="none"/>
                <w14:textFill>
                  <w14:solidFill>
                    <w14:schemeClr w14:val="tx1"/>
                  </w14:solidFill>
                </w14:textFill>
              </w:rPr>
              <w:t>危险废物</w:t>
            </w:r>
            <w:r>
              <w:rPr>
                <w:rFonts w:hint="eastAsia" w:ascii="Times New Roman" w:hAnsi="Times New Roman" w:eastAsia="宋体" w:cs="Times New Roman"/>
                <w:snapToGrid w:val="0"/>
                <w:color w:val="000000" w:themeColor="text1"/>
                <w:sz w:val="24"/>
                <w:szCs w:val="24"/>
                <w:highlight w:val="none"/>
                <w:lang w:val="en-US" w:eastAsia="zh-CN"/>
                <w14:textFill>
                  <w14:solidFill>
                    <w14:schemeClr w14:val="tx1"/>
                  </w14:solidFill>
                </w14:textFill>
              </w:rPr>
              <w:t>贮存</w:t>
            </w:r>
            <w:r>
              <w:rPr>
                <w:rFonts w:hint="eastAsia" w:ascii="Times New Roman" w:hAnsi="Times New Roman" w:eastAsia="宋体" w:cs="Times New Roman"/>
                <w:snapToGrid w:val="0"/>
                <w:color w:val="000000" w:themeColor="text1"/>
                <w:sz w:val="24"/>
                <w:szCs w:val="24"/>
                <w:highlight w:val="none"/>
                <w14:textFill>
                  <w14:solidFill>
                    <w14:schemeClr w14:val="tx1"/>
                  </w14:solidFill>
                </w14:textFill>
              </w:rPr>
              <w:t>执行《危险废物贮存污染控制标准》（GB18597-20</w:t>
            </w:r>
            <w:r>
              <w:rPr>
                <w:rFonts w:hint="eastAsia" w:ascii="Times New Roman" w:hAnsi="Times New Roman" w:eastAsia="宋体" w:cs="Times New Roman"/>
                <w:snapToGrid w:val="0"/>
                <w:color w:val="000000" w:themeColor="text1"/>
                <w:sz w:val="24"/>
                <w:szCs w:val="24"/>
                <w:highlight w:val="none"/>
                <w:lang w:val="en-US" w:eastAsia="zh-CN"/>
                <w14:textFill>
                  <w14:solidFill>
                    <w14:schemeClr w14:val="tx1"/>
                  </w14:solidFill>
                </w14:textFill>
              </w:rPr>
              <w:t>23</w:t>
            </w:r>
            <w:r>
              <w:rPr>
                <w:rFonts w:hint="eastAsia" w:ascii="Times New Roman" w:hAnsi="Times New Roman" w:eastAsia="宋体" w:cs="Times New Roman"/>
                <w:snapToGrid w:val="0"/>
                <w:color w:val="000000" w:themeColor="text1"/>
                <w:sz w:val="24"/>
                <w:szCs w:val="24"/>
                <w:highlight w:val="none"/>
                <w14:textFill>
                  <w14:solidFill>
                    <w14:schemeClr w14:val="tx1"/>
                  </w14:solidFill>
                </w14:textFill>
              </w:rPr>
              <w:t>）</w:t>
            </w:r>
            <w:r>
              <w:rPr>
                <w:rFonts w:hint="eastAsia" w:ascii="Times New Roman" w:hAnsi="Times New Roman" w:eastAsia="宋体" w:cs="Times New Roman"/>
                <w:snapToGrid w:val="0"/>
                <w:color w:val="000000" w:themeColor="text1"/>
                <w:sz w:val="24"/>
                <w:szCs w:val="24"/>
                <w:highlight w:val="none"/>
                <w:lang w:val="en-US" w:eastAsia="zh-CN"/>
                <w14:textFill>
                  <w14:solidFill>
                    <w14:schemeClr w14:val="tx1"/>
                  </w14:solidFill>
                </w14:textFill>
              </w:rPr>
              <w:t>中</w:t>
            </w:r>
            <w:r>
              <w:rPr>
                <w:rFonts w:hint="eastAsia" w:ascii="Times New Roman" w:hAnsi="Times New Roman" w:eastAsia="宋体" w:cs="Times New Roman"/>
                <w:snapToGrid w:val="0"/>
                <w:color w:val="000000" w:themeColor="text1"/>
                <w:sz w:val="24"/>
                <w:szCs w:val="24"/>
                <w:highlight w:val="none"/>
                <w14:textFill>
                  <w14:solidFill>
                    <w14:schemeClr w14:val="tx1"/>
                  </w14:solidFill>
                </w14:textFill>
              </w:rPr>
              <w:t>的标准</w:t>
            </w:r>
            <w:r>
              <w:rPr>
                <w:rFonts w:hint="eastAsia" w:ascii="Times New Roman" w:hAnsi="Times New Roman" w:eastAsia="宋体" w:cs="Times New Roman"/>
                <w:snapToGrid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生活垃圾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贮存</w:t>
            </w:r>
            <w:r>
              <w:rPr>
                <w:rFonts w:hint="default" w:ascii="Times New Roman" w:hAnsi="Times New Roman" w:eastAsia="宋体" w:cs="Times New Roman"/>
                <w:color w:val="000000" w:themeColor="text1"/>
                <w:sz w:val="24"/>
                <w:szCs w:val="24"/>
                <w:highlight w:val="none"/>
                <w14:textFill>
                  <w14:solidFill>
                    <w14:schemeClr w14:val="tx1"/>
                  </w14:solidFill>
                </w14:textFill>
              </w:rPr>
              <w:t>参照执行《中华人民共和国固体废物污染环境防治法》（2020年9月1日）</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第四章生活垃圾</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的相关规定</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5F0F4E58">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3B773028">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18F49258">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22F96C57">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26E832CA">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4D215E83">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7827505A">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3ACF9599">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29E9C18E">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0E5FE45A">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49F41C00">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21ED984D">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5FB512F9">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3F187111">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02601351">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4D443A4A">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759D0D92">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795D6D85">
            <w:pPr>
              <w:pStyle w:val="31"/>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3DEAEEDE">
            <w:pPr>
              <w:pStyle w:val="31"/>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r>
      <w:tr w14:paraId="4C25128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3578" w:hRule="atLeast"/>
          <w:jc w:val="center"/>
        </w:trPr>
        <w:tc>
          <w:tcPr>
            <w:tcW w:w="800" w:type="dxa"/>
            <w:tcBorders>
              <w:tl2br w:val="nil"/>
              <w:tr2bl w:val="nil"/>
            </w:tcBorders>
            <w:noWrap w:val="0"/>
            <w:vAlign w:val="center"/>
          </w:tcPr>
          <w:p w14:paraId="4302FF18">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总量</w:t>
            </w:r>
          </w:p>
          <w:p w14:paraId="64DC77A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控制</w:t>
            </w:r>
          </w:p>
          <w:p w14:paraId="7CD31D36">
            <w:pPr>
              <w:pStyle w:val="43"/>
              <w:keepNext w:val="0"/>
              <w:keepLines w:val="0"/>
              <w:pageBreakBefore w:val="0"/>
              <w:widowControl w:val="0"/>
              <w:shd w:val="clear"/>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指标</w:t>
            </w:r>
          </w:p>
        </w:tc>
        <w:tc>
          <w:tcPr>
            <w:tcW w:w="8346" w:type="dxa"/>
            <w:tcBorders>
              <w:tl2br w:val="nil"/>
              <w:tr2bl w:val="nil"/>
            </w:tcBorders>
            <w:noWrap w:val="0"/>
            <w:vAlign w:val="center"/>
          </w:tcPr>
          <w:p w14:paraId="41E14689">
            <w:pPr>
              <w:keepNext w:val="0"/>
              <w:keepLines w:val="0"/>
              <w:pageBreakBefore w:val="0"/>
              <w:widowControl w:val="0"/>
              <w:shd w:val="clear"/>
              <w:kinsoku/>
              <w:wordWrap/>
              <w:overflowPunct/>
              <w:topLinePunct w:val="0"/>
              <w:bidi w:val="0"/>
              <w:snapToGrid/>
              <w:spacing w:line="45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根据国家相关</w:t>
            </w:r>
            <w:r>
              <w:rPr>
                <w:rFonts w:hint="default" w:ascii="Times New Roman" w:hAnsi="Times New Roman" w:cs="Times New Roman"/>
                <w:color w:val="000000" w:themeColor="text1"/>
                <w:sz w:val="24"/>
                <w:szCs w:val="24"/>
                <w:highlight w:val="none"/>
                <w14:textFill>
                  <w14:solidFill>
                    <w14:schemeClr w14:val="tx1"/>
                  </w14:solidFill>
                </w14:textFill>
              </w:rPr>
              <w:t>总量控制</w:t>
            </w:r>
            <w:r>
              <w:rPr>
                <w:rFonts w:hint="eastAsia"/>
                <w:color w:val="000000" w:themeColor="text1"/>
                <w:highlight w:val="none"/>
                <w:lang w:val="en-US" w:eastAsia="zh-CN"/>
                <w14:textFill>
                  <w14:solidFill>
                    <w14:schemeClr w14:val="tx1"/>
                  </w14:solidFill>
                </w14:textFill>
              </w:rPr>
              <w:t>要求</w:t>
            </w:r>
            <w:r>
              <w:rPr>
                <w:rFonts w:hint="default" w:ascii="Times New Roman" w:hAnsi="Times New Roman" w:eastAsia="宋体" w:cs="Times New Roman"/>
                <w:color w:val="000000" w:themeColor="text1"/>
                <w:sz w:val="24"/>
                <w:szCs w:val="24"/>
                <w:highlight w:val="none"/>
                <w14:textFill>
                  <w14:solidFill>
                    <w14:schemeClr w14:val="tx1"/>
                  </w14:solidFill>
                </w14:textFill>
              </w:rPr>
              <w:t>，总量控制因子为COD、氨氮、SO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、NOx，同时根据河北省水污染防治工作领导小组办公室发布《河北省碧水保卫战三年行动计划（2018-2020年）》（冀水领办[2018]123号），确定实施总氮排放总量控制。</w:t>
            </w:r>
          </w:p>
          <w:p w14:paraId="48B8B3BD">
            <w:pPr>
              <w:keepNext w:val="0"/>
              <w:keepLines w:val="0"/>
              <w:pageBreakBefore w:val="0"/>
              <w:widowControl w:val="0"/>
              <w:shd w:val="clear"/>
              <w:kinsoku/>
              <w:wordWrap/>
              <w:overflowPunct/>
              <w:topLinePunct w:val="0"/>
              <w:bidi w:val="0"/>
              <w:snapToGrid/>
              <w:spacing w:line="450" w:lineRule="exac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根据《关于印发&lt;建设项目主要污染物排放总量指标审核及管理暂行办法&gt;的通知》（环发[2014]197号）中指标审核规定</w:t>
            </w:r>
            <w:r>
              <w:rPr>
                <w:rFonts w:hint="eastAsia" w:ascii="宋体" w:hAnsi="宋体" w:eastAsia="宋体" w:cs="宋体"/>
                <w:color w:val="000000" w:themeColor="text1"/>
                <w:highlight w:val="none"/>
                <w14:textFill>
                  <w14:solidFill>
                    <w14:schemeClr w14:val="tx1"/>
                  </w14:solidFill>
                </w14:textFill>
              </w:rPr>
              <w:t>“火电、钢铁、水泥、造纸、印染行业建设项目所需替代的主要污染物排放总量指标采用绩效方法核定，其他行业依照国家或地方污染物排放标准及单位产品基准排水量（行业最高允许排水量）、</w:t>
            </w:r>
            <w:r>
              <w:rPr>
                <w:rFonts w:hint="eastAsia" w:ascii="宋体" w:hAnsi="宋体" w:cs="宋体"/>
                <w:color w:val="000000" w:themeColor="text1"/>
                <w:highlight w:val="none"/>
                <w:lang w:val="en-US" w:eastAsia="zh-CN"/>
                <w14:textFill>
                  <w14:solidFill>
                    <w14:schemeClr w14:val="tx1"/>
                  </w14:solidFill>
                </w14:textFill>
              </w:rPr>
              <w:t>烟气</w:t>
            </w:r>
            <w:r>
              <w:rPr>
                <w:rFonts w:hint="eastAsia" w:ascii="宋体" w:hAnsi="宋体" w:eastAsia="宋体" w:cs="宋体"/>
                <w:color w:val="000000" w:themeColor="text1"/>
                <w:highlight w:val="none"/>
                <w14:textFill>
                  <w14:solidFill>
                    <w14:schemeClr w14:val="tx1"/>
                  </w14:solidFill>
                </w14:textFill>
              </w:rPr>
              <w:t>量等予以核定”。</w:t>
            </w:r>
            <w:r>
              <w:rPr>
                <w:rFonts w:hint="default" w:ascii="Times New Roman" w:hAnsi="Times New Roman" w:cs="Times New Roman"/>
                <w:color w:val="000000" w:themeColor="text1"/>
                <w:highlight w:val="none"/>
                <w14:textFill>
                  <w14:solidFill>
                    <w14:schemeClr w14:val="tx1"/>
                  </w14:solidFill>
                </w14:textFill>
              </w:rPr>
              <w:t>项目污染</w:t>
            </w:r>
            <w:r>
              <w:rPr>
                <w:rFonts w:hint="default" w:ascii="Times New Roman" w:hAnsi="Times New Roman" w:cs="Times New Roman"/>
                <w:color w:val="000000" w:themeColor="text1"/>
                <w:highlight w:val="none"/>
                <w:lang w:val="en-US" w:eastAsia="zh-CN"/>
                <w14:textFill>
                  <w14:solidFill>
                    <w14:schemeClr w14:val="tx1"/>
                  </w14:solidFill>
                </w14:textFill>
              </w:rPr>
              <w:t>物</w:t>
            </w:r>
            <w:r>
              <w:rPr>
                <w:rFonts w:hint="default" w:ascii="Times New Roman" w:hAnsi="Times New Roman" w:cs="Times New Roman"/>
                <w:color w:val="000000" w:themeColor="text1"/>
                <w:highlight w:val="none"/>
                <w14:textFill>
                  <w14:solidFill>
                    <w14:schemeClr w14:val="tx1"/>
                  </w14:solidFill>
                </w14:textFill>
              </w:rPr>
              <w:t>总量指标按照排放标准进行核定</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0952F18F">
            <w:pPr>
              <w:keepNext w:val="0"/>
              <w:keepLines w:val="0"/>
              <w:pageBreakBefore w:val="0"/>
              <w:widowControl w:val="0"/>
              <w:shd w:val="clear"/>
              <w:kinsoku/>
              <w:wordWrap/>
              <w:overflowPunct/>
              <w:topLinePunct w:val="0"/>
              <w:bidi w:val="0"/>
              <w:snapToGrid/>
              <w:spacing w:line="450" w:lineRule="exact"/>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废水</w:t>
            </w:r>
          </w:p>
          <w:p w14:paraId="76E19CEB">
            <w:pPr>
              <w:keepNext w:val="0"/>
              <w:keepLines w:val="0"/>
              <w:pageBreakBefore w:val="0"/>
              <w:widowControl w:val="0"/>
              <w:shd w:val="clear"/>
              <w:kinsoku/>
              <w:wordWrap/>
              <w:overflowPunct/>
              <w:topLinePunct w:val="0"/>
              <w:autoSpaceDE w:val="0"/>
              <w:autoSpaceDN w:val="0"/>
              <w:bidi w:val="0"/>
              <w:adjustRightInd w:val="0"/>
              <w:snapToGrid/>
              <w:spacing w:afterAutospacing="0" w:line="450" w:lineRule="exact"/>
              <w:ind w:firstLine="480" w:firstLineChars="200"/>
              <w:textAlignment w:val="auto"/>
              <w:rPr>
                <w:rFonts w:hint="default" w:cs="Times New Roman"/>
                <w:color w:val="000000" w:themeColor="text1"/>
                <w:kern w:val="0"/>
                <w:sz w:val="24"/>
                <w:highlight w:val="none"/>
                <w:lang w:val="en-US"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本项目产生废水主要为员工生活污水及车辆冲洗废水。其中，生活污水水质简单，洒水抑尘；车辆冲洗废水经收集处理后循环回用，不外排。项目生产、生活废水均实现内部综合回用，无废水外排。因此，本项目不设置COD、氨氮、总氮等水污染物排放总量，对应污染物总量控制指标均为0t/a</w:t>
            </w:r>
            <w:r>
              <w:rPr>
                <w:rFonts w:hint="default" w:cs="Times New Roman"/>
                <w:color w:val="000000" w:themeColor="text1"/>
                <w:kern w:val="0"/>
                <w:sz w:val="24"/>
                <w:highlight w:val="none"/>
                <w:lang w:val="en-US" w:eastAsia="zh-CN"/>
                <w14:textFill>
                  <w14:solidFill>
                    <w14:schemeClr w14:val="tx1"/>
                  </w14:solidFill>
                </w14:textFill>
              </w:rPr>
              <w:t>。</w:t>
            </w:r>
          </w:p>
          <w:p w14:paraId="1B8F55DD">
            <w:pPr>
              <w:keepNext w:val="0"/>
              <w:keepLines w:val="0"/>
              <w:pageBreakBefore w:val="0"/>
              <w:widowControl w:val="0"/>
              <w:shd w:val="clear"/>
              <w:tabs>
                <w:tab w:val="left" w:pos="3667"/>
              </w:tabs>
              <w:kinsoku/>
              <w:wordWrap/>
              <w:overflowPunct/>
              <w:topLinePunct w:val="0"/>
              <w:autoSpaceDE w:val="0"/>
              <w:autoSpaceDN w:val="0"/>
              <w:bidi w:val="0"/>
              <w:adjustRightInd w:val="0"/>
              <w:snapToGrid/>
              <w:spacing w:line="45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废气</w:t>
            </w:r>
          </w:p>
          <w:p w14:paraId="6421C47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本项目运营期废气主要为颗粒物，不涉及SO</w:t>
            </w:r>
            <w:r>
              <w:rPr>
                <w:rFonts w:hint="eastAsia" w:ascii="Times New Roman" w:hAnsi="Times New Roman" w:eastAsia="宋体" w:cs="Times New Roman"/>
                <w:color w:val="000000" w:themeColor="text1"/>
                <w:sz w:val="24"/>
                <w:highlight w:val="none"/>
                <w:vertAlign w:val="subscript"/>
                <w14:textFill>
                  <w14:solidFill>
                    <w14:schemeClr w14:val="tx1"/>
                  </w14:solidFill>
                </w14:textFill>
              </w:rPr>
              <w:t>2</w:t>
            </w:r>
            <w:r>
              <w:rPr>
                <w:rFonts w:hint="eastAsia" w:ascii="Times New Roman" w:hAnsi="Times New Roman" w:eastAsia="宋体" w:cs="Times New Roman"/>
                <w:color w:val="000000" w:themeColor="text1"/>
                <w:sz w:val="24"/>
                <w:highlight w:val="none"/>
                <w14:textFill>
                  <w14:solidFill>
                    <w14:schemeClr w14:val="tx1"/>
                  </w14:solidFill>
                </w14:textFill>
              </w:rPr>
              <w:t>、NOx。</w:t>
            </w:r>
          </w:p>
          <w:p w14:paraId="51C424C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本项目除尘器风量</w:t>
            </w:r>
            <w:r>
              <w:rPr>
                <w:rFonts w:hint="eastAsia" w:cs="Times New Roman"/>
                <w:color w:val="000000" w:themeColor="text1"/>
                <w:sz w:val="24"/>
                <w:highlight w:val="none"/>
                <w:lang w:val="en-US" w:eastAsia="zh-CN"/>
                <w14:textFill>
                  <w14:solidFill>
                    <w14:schemeClr w14:val="tx1"/>
                  </w14:solidFill>
                </w14:textFill>
              </w:rPr>
              <w:t>45000</w:t>
            </w:r>
            <w:r>
              <w:rPr>
                <w:rFonts w:hint="eastAsia" w:ascii="Times New Roman" w:hAnsi="Times New Roman" w:eastAsia="宋体" w:cs="Times New Roman"/>
                <w:color w:val="000000" w:themeColor="text1"/>
                <w:sz w:val="24"/>
                <w:szCs w:val="22"/>
                <w:highlight w:val="none"/>
                <w14:textFill>
                  <w14:solidFill>
                    <w14:schemeClr w14:val="tx1"/>
                  </w14:solidFill>
                </w14:textFill>
              </w:rPr>
              <w:t>m</w:t>
            </w:r>
            <w:r>
              <w:rPr>
                <w:rFonts w:hint="eastAsia" w:ascii="Times New Roman" w:hAnsi="Times New Roman" w:eastAsia="宋体" w:cs="Times New Roman"/>
                <w:color w:val="000000" w:themeColor="text1"/>
                <w:sz w:val="24"/>
                <w:szCs w:val="22"/>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4"/>
                <w:szCs w:val="22"/>
                <w:highlight w:val="none"/>
                <w14:textFill>
                  <w14:solidFill>
                    <w14:schemeClr w14:val="tx1"/>
                  </w14:solidFill>
                </w14:textFill>
              </w:rPr>
              <w:t>/h。最大工作时间</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2250</w:t>
            </w:r>
            <w:r>
              <w:rPr>
                <w:rFonts w:hint="eastAsia" w:ascii="Times New Roman" w:hAnsi="Times New Roman" w:eastAsia="宋体" w:cs="Times New Roman"/>
                <w:color w:val="000000" w:themeColor="text1"/>
                <w:sz w:val="24"/>
                <w:szCs w:val="22"/>
                <w:highlight w:val="none"/>
                <w14:textFill>
                  <w14:solidFill>
                    <w14:schemeClr w14:val="tx1"/>
                  </w14:solidFill>
                </w14:textFill>
              </w:rPr>
              <w:t>h，颗粒物有组织排放参照执行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石灰工业大气污染物排放标准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》（DB</w:t>
            </w:r>
            <w:r>
              <w:rPr>
                <w:rFonts w:hint="eastAsia" w:cs="Times New Roman"/>
                <w:color w:val="000000" w:themeColor="text1"/>
                <w:sz w:val="24"/>
                <w:szCs w:val="24"/>
                <w:highlight w:val="none"/>
                <w:lang w:val="en-US" w:eastAsia="zh-CN"/>
                <w14:textFill>
                  <w14:solidFill>
                    <w14:schemeClr w14:val="tx1"/>
                  </w14:solidFill>
                </w14:textFill>
              </w:rPr>
              <w:t>13/1641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-2025）及《2019年“十项重点工作”工作方案》（唐办发﹝2019﹞3号）颗粒物有组织排放限值要求：10mg/m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14:textFill>
                  <w14:solidFill>
                    <w14:schemeClr w14:val="tx1"/>
                  </w14:solidFill>
                </w14:textFill>
              </w:rPr>
              <w:t>则颗粒物总量控制指标计算如下：</w:t>
            </w:r>
          </w:p>
          <w:p w14:paraId="54CD782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highlight w:val="none"/>
                <w14:textFill>
                  <w14:solidFill>
                    <w14:schemeClr w14:val="tx1"/>
                  </w14:solidFill>
                </w14:textFill>
              </w:rPr>
            </w:pPr>
            <w:r>
              <w:rPr>
                <w:rFonts w:ascii="Times New Roman" w:hAnsi="Times New Roman" w:eastAsia="宋体" w:cs="Times New Roman"/>
                <w:color w:val="000000" w:themeColor="text1"/>
                <w:sz w:val="24"/>
                <w:highlight w:val="none"/>
                <w14:textFill>
                  <w14:solidFill>
                    <w14:schemeClr w14:val="tx1"/>
                  </w14:solidFill>
                </w14:textFill>
              </w:rPr>
              <w:t>颗粒物=</w:t>
            </w:r>
            <w:r>
              <w:rPr>
                <w:rFonts w:hint="eastAsia" w:cs="Times New Roman"/>
                <w:color w:val="000000" w:themeColor="text1"/>
                <w:sz w:val="24"/>
                <w:highlight w:val="none"/>
                <w:lang w:val="en-US" w:eastAsia="zh-CN"/>
                <w14:textFill>
                  <w14:solidFill>
                    <w14:schemeClr w14:val="tx1"/>
                  </w14:solidFill>
                </w14:textFill>
              </w:rPr>
              <w:t>45000</w:t>
            </w:r>
            <w:r>
              <w:rPr>
                <w:rFonts w:hint="eastAsia" w:ascii="Times New Roman" w:hAnsi="Times New Roman" w:eastAsia="宋体" w:cs="Times New Roman"/>
                <w:color w:val="000000" w:themeColor="text1"/>
                <w:sz w:val="24"/>
                <w:szCs w:val="22"/>
                <w:highlight w:val="none"/>
                <w14:textFill>
                  <w14:solidFill>
                    <w14:schemeClr w14:val="tx1"/>
                  </w14:solidFill>
                </w14:textFill>
              </w:rPr>
              <w:t>m</w:t>
            </w:r>
            <w:r>
              <w:rPr>
                <w:rFonts w:hint="eastAsia" w:ascii="Times New Roman" w:hAnsi="Times New Roman" w:eastAsia="宋体" w:cs="Times New Roman"/>
                <w:color w:val="000000" w:themeColor="text1"/>
                <w:sz w:val="24"/>
                <w:szCs w:val="22"/>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4"/>
                <w:szCs w:val="22"/>
                <w:highlight w:val="none"/>
                <w14:textFill>
                  <w14:solidFill>
                    <w14:schemeClr w14:val="tx1"/>
                  </w14:solidFill>
                </w14:textFill>
              </w:rPr>
              <w:t>/h</w:t>
            </w:r>
            <w:r>
              <w:rPr>
                <w:rFonts w:ascii="Times New Roman" w:hAnsi="Times New Roman" w:eastAsia="宋体" w:cs="Times New Roman"/>
                <w:color w:val="000000" w:themeColor="text1"/>
                <w:sz w:val="24"/>
                <w:highlight w:val="none"/>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2250</w:t>
            </w:r>
            <w:r>
              <w:rPr>
                <w:rFonts w:hint="eastAsia" w:cs="Times New Roman"/>
                <w:color w:val="000000" w:themeColor="text1"/>
                <w:sz w:val="24"/>
                <w:highlight w:val="none"/>
                <w:lang w:val="en-US" w:eastAsia="zh-CN"/>
                <w14:textFill>
                  <w14:solidFill>
                    <w14:schemeClr w14:val="tx1"/>
                  </w14:solidFill>
                </w14:textFill>
              </w:rPr>
              <w:t>h/a</w:t>
            </w:r>
            <w:r>
              <w:rPr>
                <w:rFonts w:ascii="Times New Roman" w:hAnsi="Times New Roman" w:eastAsia="宋体" w:cs="Times New Roman"/>
                <w:color w:val="000000" w:themeColor="text1"/>
                <w:sz w:val="24"/>
                <w:highlight w:val="none"/>
                <w14:textFill>
                  <w14:solidFill>
                    <w14:schemeClr w14:val="tx1"/>
                  </w14:solidFill>
                </w14:textFill>
              </w:rPr>
              <w:t>×1</w:t>
            </w:r>
            <w:r>
              <w:rPr>
                <w:rFonts w:hint="eastAsia" w:ascii="Times New Roman" w:hAnsi="Times New Roman" w:eastAsia="宋体" w:cs="Times New Roman"/>
                <w:color w:val="000000" w:themeColor="text1"/>
                <w:sz w:val="24"/>
                <w:highlight w:val="none"/>
                <w14:textFill>
                  <w14:solidFill>
                    <w14:schemeClr w14:val="tx1"/>
                  </w14:solidFill>
                </w14:textFill>
              </w:rPr>
              <w:t>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ascii="Times New Roman" w:hAnsi="Times New Roman" w:eastAsia="宋体" w:cs="Times New Roman"/>
                <w:color w:val="000000" w:themeColor="text1"/>
                <w:sz w:val="24"/>
                <w:highlight w:val="none"/>
                <w14:textFill>
                  <w14:solidFill>
                    <w14:schemeClr w14:val="tx1"/>
                  </w14:solidFill>
                </w14:textFill>
              </w:rPr>
              <w:t>×10</w:t>
            </w:r>
            <w:r>
              <w:rPr>
                <w:rFonts w:ascii="Times New Roman" w:hAnsi="Times New Roman" w:eastAsia="宋体" w:cs="Times New Roman"/>
                <w:color w:val="000000" w:themeColor="text1"/>
                <w:sz w:val="24"/>
                <w:highlight w:val="none"/>
                <w:vertAlign w:val="superscript"/>
                <w14:textFill>
                  <w14:solidFill>
                    <w14:schemeClr w14:val="tx1"/>
                  </w14:solidFill>
                </w14:textFill>
              </w:rPr>
              <w:t>-9</w:t>
            </w:r>
            <w:r>
              <w:rPr>
                <w:rFonts w:hint="eastAsia" w:ascii="Times New Roman" w:hAnsi="Times New Roman" w:eastAsia="宋体" w:cs="Times New Roman"/>
                <w:color w:val="000000" w:themeColor="text1"/>
                <w:sz w:val="24"/>
                <w:highlight w:val="none"/>
                <w:vertAlign w:val="baseli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1.013</w:t>
            </w:r>
            <w:r>
              <w:rPr>
                <w:rFonts w:ascii="Times New Roman" w:hAnsi="Times New Roman" w:eastAsia="宋体" w:cs="Times New Roman"/>
                <w:color w:val="000000" w:themeColor="text1"/>
                <w:sz w:val="24"/>
                <w:highlight w:val="none"/>
                <w14:textFill>
                  <w14:solidFill>
                    <w14:schemeClr w14:val="tx1"/>
                  </w14:solidFill>
                </w14:textFill>
              </w:rPr>
              <w:t>t/a。</w:t>
            </w:r>
          </w:p>
          <w:p w14:paraId="29B03913">
            <w:pPr>
              <w:keepNext w:val="0"/>
              <w:keepLines w:val="0"/>
              <w:pageBreakBefore w:val="0"/>
              <w:widowControl w:val="0"/>
              <w:shd w:val="clear"/>
              <w:kinsoku/>
              <w:wordWrap/>
              <w:overflowPunct/>
              <w:topLinePunct w:val="0"/>
              <w:autoSpaceDE w:val="0"/>
              <w:autoSpaceDN w:val="0"/>
              <w:bidi w:val="0"/>
              <w:adjustRightInd w:val="0"/>
              <w:snapToGrid/>
              <w:spacing w:afterAutospacing="0" w:line="450" w:lineRule="exact"/>
              <w:ind w:firstLine="480" w:firstLineChars="200"/>
              <w:textAlignment w:val="auto"/>
              <w:rPr>
                <w:rFonts w:hint="default"/>
                <w:color w:val="000000" w:themeColor="text1"/>
                <w:highlight w:val="none"/>
                <w:lang w:val="en-US" w:eastAsia="zh-CN"/>
                <w14:textFill>
                  <w14:solidFill>
                    <w14:schemeClr w14:val="tx1"/>
                  </w14:solidFill>
                </w14:textFill>
              </w:rPr>
            </w:pPr>
            <w:r>
              <w:rPr>
                <w:rFonts w:ascii="Times New Roman" w:hAnsi="Times New Roman" w:eastAsia="宋体" w:cs="Times New Roman"/>
                <w:color w:val="000000" w:themeColor="text1"/>
                <w:sz w:val="24"/>
                <w:highlight w:val="none"/>
                <w14:textFill>
                  <w14:solidFill>
                    <w14:schemeClr w14:val="tx1"/>
                  </w14:solidFill>
                </w14:textFill>
              </w:rPr>
              <w:t>因此，</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本项目</w:t>
            </w:r>
            <w:r>
              <w:rPr>
                <w:rFonts w:ascii="Times New Roman" w:hAnsi="Times New Roman" w:eastAsia="宋体" w:cs="Times New Roman"/>
                <w:color w:val="000000" w:themeColor="text1"/>
                <w:sz w:val="24"/>
                <w:highlight w:val="none"/>
                <w14:textFill>
                  <w14:solidFill>
                    <w14:schemeClr w14:val="tx1"/>
                  </w14:solidFill>
                </w14:textFill>
              </w:rPr>
              <w:t>总量控制指标为：颗粒物</w:t>
            </w:r>
            <w:r>
              <w:rPr>
                <w:rFonts w:hint="eastAsia" w:cs="Times New Roman"/>
                <w:color w:val="000000" w:themeColor="text1"/>
                <w:sz w:val="24"/>
                <w:highlight w:val="none"/>
                <w:lang w:val="en-US" w:eastAsia="zh-CN"/>
                <w14:textFill>
                  <w14:solidFill>
                    <w14:schemeClr w14:val="tx1"/>
                  </w14:solidFill>
                </w14:textFill>
              </w:rPr>
              <w:t>1.013</w:t>
            </w:r>
            <w:r>
              <w:rPr>
                <w:rFonts w:ascii="Times New Roman" w:hAnsi="Times New Roman" w:eastAsia="宋体" w:cs="Times New Roman"/>
                <w:color w:val="000000" w:themeColor="text1"/>
                <w:sz w:val="24"/>
                <w:highlight w:val="none"/>
                <w14:textFill>
                  <w14:solidFill>
                    <w14:schemeClr w14:val="tx1"/>
                  </w14:solidFill>
                </w14:textFill>
              </w:rPr>
              <w:t>t/a、</w:t>
            </w:r>
            <w:r>
              <w:rPr>
                <w:rFonts w:hint="eastAsia" w:ascii="Times New Roman" w:hAnsi="Times New Roman" w:eastAsia="宋体" w:cs="Times New Roman"/>
                <w:color w:val="000000" w:themeColor="text1"/>
                <w:sz w:val="24"/>
                <w:highlight w:val="none"/>
                <w14:textFill>
                  <w14:solidFill>
                    <w14:schemeClr w14:val="tx1"/>
                  </w14:solidFill>
                </w14:textFill>
              </w:rPr>
              <w:t>SO</w:t>
            </w:r>
            <w:r>
              <w:rPr>
                <w:rFonts w:hint="eastAsia" w:ascii="Times New Roman" w:hAnsi="Times New Roman" w:eastAsia="宋体" w:cs="Times New Roman"/>
                <w:color w:val="000000" w:themeColor="text1"/>
                <w:sz w:val="24"/>
                <w:highlight w:val="none"/>
                <w:vertAlign w:val="subscript"/>
                <w14:textFill>
                  <w14:solidFill>
                    <w14:schemeClr w14:val="tx1"/>
                  </w14:solidFill>
                </w14:textFill>
              </w:rPr>
              <w:t>2</w:t>
            </w:r>
            <w:r>
              <w:rPr>
                <w:rFonts w:ascii="Times New Roman" w:hAnsi="Times New Roman" w:eastAsia="宋体" w:cs="Times New Roman"/>
                <w:color w:val="000000" w:themeColor="text1"/>
                <w:sz w:val="24"/>
                <w:highlight w:val="none"/>
                <w14:textFill>
                  <w14:solidFill>
                    <w14:schemeClr w14:val="tx1"/>
                  </w14:solidFill>
                </w14:textFill>
              </w:rPr>
              <w:t>：0t/a、NOx：0t/a；COD：0t/a、NH</w:t>
            </w:r>
            <w:r>
              <w:rPr>
                <w:rFonts w:ascii="Times New Roman" w:hAnsi="Times New Roman" w:eastAsia="宋体" w:cs="Times New Roman"/>
                <w:color w:val="000000" w:themeColor="text1"/>
                <w:sz w:val="24"/>
                <w:highlight w:val="none"/>
                <w:vertAlign w:val="subscript"/>
                <w14:textFill>
                  <w14:solidFill>
                    <w14:schemeClr w14:val="tx1"/>
                  </w14:solidFill>
                </w14:textFill>
              </w:rPr>
              <w:t>3</w:t>
            </w:r>
            <w:r>
              <w:rPr>
                <w:rFonts w:ascii="Times New Roman" w:hAnsi="Times New Roman" w:eastAsia="宋体" w:cs="Times New Roman"/>
                <w:color w:val="000000" w:themeColor="text1"/>
                <w:sz w:val="24"/>
                <w:highlight w:val="none"/>
                <w14:textFill>
                  <w14:solidFill>
                    <w14:schemeClr w14:val="tx1"/>
                  </w14:solidFill>
                </w14:textFill>
              </w:rPr>
              <w:t>-N：0t/a。</w:t>
            </w:r>
          </w:p>
        </w:tc>
      </w:tr>
    </w:tbl>
    <w:p w14:paraId="7E17DC9F">
      <w:pPr>
        <w:shd w:val="clea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br w:type="page"/>
      </w:r>
    </w:p>
    <w:p w14:paraId="51A03E32">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四、主要环境影响和保护措施</w:t>
      </w:r>
    </w:p>
    <w:tbl>
      <w:tblPr>
        <w:tblStyle w:val="32"/>
        <w:tblW w:w="9347"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746"/>
        <w:gridCol w:w="8601"/>
      </w:tblGrid>
      <w:tr w14:paraId="2EC7293F">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5175" w:hRule="atLeast"/>
          <w:jc w:val="center"/>
        </w:trPr>
        <w:tc>
          <w:tcPr>
            <w:tcW w:w="746" w:type="dxa"/>
            <w:tcBorders>
              <w:tl2br w:val="nil"/>
              <w:tr2bl w:val="nil"/>
            </w:tcBorders>
            <w:shd w:val="clear" w:color="auto" w:fill="FFFFFF"/>
            <w:noWrap w:val="0"/>
            <w:tcMar>
              <w:left w:w="28" w:type="dxa"/>
              <w:right w:w="28" w:type="dxa"/>
            </w:tcMar>
            <w:vAlign w:val="center"/>
          </w:tcPr>
          <w:p w14:paraId="2B021FFA">
            <w:pPr>
              <w:pStyle w:val="43"/>
              <w:keepNext w:val="0"/>
              <w:keepLines w:val="0"/>
              <w:pageBreakBefore w:val="0"/>
              <w:widowControl w:val="0"/>
              <w:shd w:val="clear"/>
              <w:kinsoku/>
              <w:wordWrap/>
              <w:overflowPunct/>
              <w:topLinePunct w:val="0"/>
              <w:autoSpaceDE/>
              <w:autoSpaceDN/>
              <w:bidi w:val="0"/>
              <w:adjustRightInd/>
              <w:snapToGrid/>
              <w:spacing w:before="0" w:after="0" w:line="240" w:lineRule="atLeast"/>
              <w:ind w:right="0"/>
              <w:jc w:val="center"/>
              <w:textAlignment w:val="auto"/>
              <w:rPr>
                <w:rFonts w:hint="default" w:ascii="Times New Roman" w:hAnsi="Times New Roman" w:cs="Times New Roman"/>
                <w:bCs/>
                <w:color w:val="000000" w:themeColor="text1"/>
                <w:kern w:val="2"/>
                <w:szCs w:val="21"/>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施工期环境保护措施</w:t>
            </w:r>
          </w:p>
        </w:tc>
        <w:tc>
          <w:tcPr>
            <w:tcW w:w="8601" w:type="dxa"/>
            <w:tcBorders>
              <w:tl2br w:val="nil"/>
              <w:tr2bl w:val="nil"/>
            </w:tcBorders>
            <w:shd w:val="clear" w:color="auto" w:fill="FFFFFF"/>
            <w:noWrap w:val="0"/>
            <w:vAlign w:val="top"/>
          </w:tcPr>
          <w:p w14:paraId="0D303E67">
            <w:pPr>
              <w:keepNext/>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1"/>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施工期不设施工营地，施工期对周围环境产生的影响主要为：施工设备运行噪声影响，施工扬尘、废气影响，废水影响，固体废物影响。</w:t>
            </w:r>
          </w:p>
          <w:p w14:paraId="327D07C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一</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废气</w:t>
            </w:r>
          </w:p>
          <w:p w14:paraId="7C2379C8">
            <w:pPr>
              <w:keepNext w:val="0"/>
              <w:keepLines w:val="0"/>
              <w:pageBreakBefore w:val="0"/>
              <w:widowControl w:val="0"/>
              <w:shd w:val="clear"/>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施工期大气污染源主要为</w:t>
            </w:r>
            <w:r>
              <w:rPr>
                <w:rFonts w:hint="eastAsia" w:cs="Times New Roman"/>
                <w:color w:val="000000" w:themeColor="text1"/>
                <w:kern w:val="0"/>
                <w:sz w:val="24"/>
                <w:szCs w:val="24"/>
                <w:highlight w:val="none"/>
                <w:lang w:val="en-US" w:eastAsia="zh-CN" w:bidi="ar-SA"/>
                <w14:textFill>
                  <w14:solidFill>
                    <w14:schemeClr w14:val="tx1"/>
                  </w14:solidFill>
                </w14:textFill>
              </w:rPr>
              <w:t>场地</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平整和施工</w:t>
            </w:r>
            <w:r>
              <w:rPr>
                <w:rFonts w:hint="eastAsia"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rPr>
              <w:t>、建筑材料的装卸、运输、堆放等施工过程中产生的</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施工扬尘</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以及</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施工机械尾气。</w:t>
            </w:r>
          </w:p>
          <w:p w14:paraId="7D7D88BC">
            <w:pPr>
              <w:keepNext w:val="0"/>
              <w:keepLines w:val="0"/>
              <w:pageBreakBefore w:val="0"/>
              <w:widowControl w:val="0"/>
              <w:shd w:val="clear"/>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⑴施工扬尘</w:t>
            </w:r>
          </w:p>
          <w:p w14:paraId="01935DEB">
            <w:pPr>
              <w:keepLines w:val="0"/>
              <w:pageBreakBefore w:val="0"/>
              <w:widowControl w:val="0"/>
              <w:shd w:val="clear"/>
              <w:tabs>
                <w:tab w:val="left" w:pos="36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施工扬尘的主要来源有：场地平整、土方挖掘、建筑垃圾和建筑材料的运输。</w:t>
            </w:r>
            <w:r>
              <w:rPr>
                <w:rFonts w:hint="default" w:ascii="Times New Roman" w:hAnsi="Times New Roman" w:eastAsia="宋体" w:cs="Times New Roman"/>
                <w:color w:val="000000" w:themeColor="text1"/>
                <w:sz w:val="24"/>
                <w:szCs w:val="24"/>
                <w:highlight w:val="none"/>
                <w14:textFill>
                  <w14:solidFill>
                    <w14:schemeClr w14:val="tx1"/>
                  </w14:solidFill>
                </w14:textFill>
              </w:rPr>
              <w:t>本评价提出在施工中必须采取如下措施，来减轻对施工期周围大气环境的影响：</w:t>
            </w:r>
          </w:p>
          <w:p w14:paraId="167B2EBF">
            <w:pPr>
              <w:keepNext w:val="0"/>
              <w:keepLines w:val="0"/>
              <w:pageBreakBefore w:val="0"/>
              <w:widowControl w:val="0"/>
              <w:numPr>
                <w:ilvl w:val="0"/>
                <w:numId w:val="14"/>
              </w:numPr>
              <w:shd w:val="clear"/>
              <w:kinsoku/>
              <w:wordWrap/>
              <w:overflowPunct/>
              <w:topLinePunct w:val="0"/>
              <w:autoSpaceDE/>
              <w:autoSpaceDN/>
              <w:bidi w:val="0"/>
              <w:adjustRightInd/>
              <w:snapToGrid/>
              <w:spacing w:before="0" w:after="0" w:line="360" w:lineRule="auto"/>
              <w:ind w:left="0" w:leftChars="0" w:right="0" w:firstLine="403" w:firstLineChars="0"/>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严格执行《河北省扬尘污染防治办法》（河北省人民政府令[2020]第1号）、《河北省大气污染防治条例》（河北省第十三届人民代表大会常务委员会第二十五次会议修正，2021年11月1日发布并实施）、《关于印发</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&lt;</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河北省2023年建筑施工扬尘污染防治工作方案</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&gt;</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的通知》（冀建质安函〔2023〕105号）、《唐山市重污染天气应急预案的通知》（唐政办字[2021]37号）等文件要求</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。施工期应</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满足《施工场地扬尘排放标准》（DB13/2934-2019）排放浓度限值要求</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w:t>
            </w:r>
          </w:p>
          <w:p w14:paraId="086D90E8">
            <w:pPr>
              <w:keepLines w:val="0"/>
              <w:pageBreakBefore w:val="0"/>
              <w:widowControl w:val="0"/>
              <w:numPr>
                <w:ilvl w:val="0"/>
                <w:numId w:val="14"/>
              </w:numPr>
              <w:shd w:val="clear"/>
              <w:tabs>
                <w:tab w:val="left" w:pos="360"/>
              </w:tabs>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施工现场的建筑垃圾必须设置垃圾存放点，集中堆放并严密覆盖，及时清运。生活垃圾应用封闭式容器存放，日产日清，严禁随意丢弃。</w:t>
            </w:r>
          </w:p>
          <w:p w14:paraId="77509F1E">
            <w:pPr>
              <w:keepLines w:val="0"/>
              <w:pageBreakBefore w:val="0"/>
              <w:widowControl w:val="0"/>
              <w:numPr>
                <w:ilvl w:val="0"/>
                <w:numId w:val="14"/>
              </w:numPr>
              <w:shd w:val="clear"/>
              <w:tabs>
                <w:tab w:val="left" w:pos="360"/>
              </w:tabs>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施工现场必须建立洒水清扫抑尘制度，配备洒水设备。每天洒水不少于2次，并有专人负责。重污染天气时相应增加洒水频次。</w:t>
            </w:r>
          </w:p>
          <w:p w14:paraId="4D757D3F">
            <w:pPr>
              <w:keepLines w:val="0"/>
              <w:pageBreakBefore w:val="0"/>
              <w:widowControl w:val="0"/>
              <w:numPr>
                <w:ilvl w:val="0"/>
                <w:numId w:val="14"/>
              </w:numPr>
              <w:shd w:val="clear"/>
              <w:tabs>
                <w:tab w:val="left" w:pos="360"/>
              </w:tabs>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施工现场必须使用商品混凝土、预拌砂浆，严禁现场搅拌。</w:t>
            </w:r>
          </w:p>
          <w:p w14:paraId="0EEDF04F">
            <w:pPr>
              <w:keepLines w:val="0"/>
              <w:pageBreakBefore w:val="0"/>
              <w:widowControl w:val="0"/>
              <w:numPr>
                <w:ilvl w:val="0"/>
                <w:numId w:val="14"/>
              </w:numPr>
              <w:shd w:val="clear"/>
              <w:tabs>
                <w:tab w:val="left" w:pos="360"/>
              </w:tabs>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必须在施工现场出入口明显位置设置扬尘防治公示牌，内容包括建设、施工、监理及监管等单位名称、扬尘防治负责人的名称、联系电话</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举报电话等。</w:t>
            </w:r>
          </w:p>
          <w:p w14:paraId="472C73DC">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施工现场连续设置硬质围挡，围挡应坚固、美观，严禁围挡不严或敞开式施工。城区主干道两侧的围挡高度不低于2.5米，一般路段高度不低于1.8米。</w:t>
            </w:r>
          </w:p>
          <w:p w14:paraId="73EDD3FB">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施工现场出入口和场内施工道路、材料加工堆放区、办公区、生活区必须采用混凝土硬化或用硬质砌块铺设，硬化后的地面应清扫整洁无浮土、积土，严禁使用其他软质材料铺设。</w:t>
            </w:r>
          </w:p>
          <w:p w14:paraId="1CBF8862">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施工现场出入口配备车辆冲洗设施，设置排水、泥浆沉淀池等设施，建立冲洗制度并设专人管理，严禁车辆带泥上路。</w:t>
            </w:r>
          </w:p>
          <w:p w14:paraId="1A289BF0">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施工现场出入口、加工区和主作业区等处必须安装视频监控系统，对施工扬尘实时监控。</w:t>
            </w:r>
          </w:p>
          <w:p w14:paraId="400AA36B">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施工现场集中堆放的土方和裸露场地必须采取覆盖、固化或绿化等防尘措施，严禁裸露。</w:t>
            </w:r>
          </w:p>
          <w:p w14:paraId="47023309">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施工现场在道路、围墙、脚手架等部位安装喷淋或喷淋等降尘装置。</w:t>
            </w:r>
          </w:p>
          <w:p w14:paraId="7F727F22">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基坑开挖作业过程中，四周应采取洒水、喷淋等降尘措施。</w:t>
            </w:r>
          </w:p>
          <w:p w14:paraId="7B596BFD">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施工现场易飞扬的细颗粒建筑材料必须密闭存放或严密覆盖，严禁露天放置；搬运时应有降尘措施，余料及时回收。</w:t>
            </w:r>
          </w:p>
          <w:p w14:paraId="4EA8816F">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施工现场运送土方、渣土的车辆必须封闭或遮盖严密，严禁使用未办理相关手续的渣土等运输车辆，严禁沿路遗撒和随意倾倒。</w:t>
            </w:r>
          </w:p>
          <w:p w14:paraId="5F4196F1">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建筑物内应保持干净整洁，清扫垃圾时要洒水抑尘，施工层建筑垃圾必须采用封闭式管道或装袋用垂直升降机械清运，严禁凌空抛掷和焚烧垃圾。</w:t>
            </w:r>
          </w:p>
          <w:p w14:paraId="1B4064A8">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建筑工程主体外侧脚手架及临边防护栏杆必须使用符合标准的密目式安全网封闭施工，并保持整洁、牢固、无破损。</w:t>
            </w:r>
          </w:p>
          <w:p w14:paraId="601A95A9">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遇有4级以上大风或重污染天气预警时，必须采取扬尘防治应急措施，严禁土方开挖、土方回填、房屋拆除、材料切割、金属焊接、喷涂或其他有可能产生扬尘的作业。</w:t>
            </w:r>
          </w:p>
          <w:p w14:paraId="305CDCF8">
            <w:pPr>
              <w:keepNext w:val="0"/>
              <w:keepLines w:val="0"/>
              <w:pageBreakBefore w:val="0"/>
              <w:widowControl w:val="0"/>
              <w:numPr>
                <w:ilvl w:val="0"/>
                <w:numId w:val="14"/>
              </w:numPr>
              <w:shd w:val="clear"/>
              <w:kinsoku/>
              <w:wordWrap/>
              <w:overflowPunct/>
              <w:topLinePunct w:val="0"/>
              <w:autoSpaceDE/>
              <w:autoSpaceDN/>
              <w:bidi w:val="0"/>
              <w:adjustRightInd/>
              <w:snapToGrid/>
              <w:spacing w:line="360" w:lineRule="auto"/>
              <w:ind w:left="0" w:leftChars="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组织相关单位做好工程外管网及绿化施工阶段的扬尘防治工作。</w:t>
            </w:r>
          </w:p>
          <w:p w14:paraId="0F9B3887">
            <w:pPr>
              <w:keepNext w:val="0"/>
              <w:keepLines w:val="0"/>
              <w:pageBreakBefore w:val="0"/>
              <w:widowControl w:val="0"/>
              <w:numPr>
                <w:ilvl w:val="0"/>
                <w:numId w:val="14"/>
              </w:numPr>
              <w:shd w:val="clear"/>
              <w:tabs>
                <w:tab w:val="left" w:pos="0"/>
                <w:tab w:val="left" w:pos="1020"/>
              </w:tabs>
              <w:kinsoku/>
              <w:wordWrap/>
              <w:overflowPunct/>
              <w:topLinePunct w:val="0"/>
              <w:autoSpaceDE/>
              <w:autoSpaceDN/>
              <w:bidi w:val="0"/>
              <w:adjustRightInd/>
              <w:snapToGrid/>
              <w:spacing w:line="360" w:lineRule="auto"/>
              <w:ind w:left="0" w:leftChars="0" w:right="0" w:firstLine="403"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现场按规定连续设置硬质围挡（围墙），实施全封闭管理。施工现场要安排人员定期冲洗、清洁，保持围挡（围墙）整洁、美观。建筑工地全面做到周边围挡、物料堆放覆盖、土方开挖湿法作业、路面硬化、出入车辆清洗、渣土车辆密闭运输</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六个百分之百</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，建筑工地实现视频监控和PM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在线监测联网全覆盖，并与当地有关主管部门联网。建立扬尘控制责任制度，扬尘治理费用列入工程造价。</w:t>
            </w:r>
          </w:p>
          <w:p w14:paraId="10DB3885">
            <w:pPr>
              <w:keepNext w:val="0"/>
              <w:keepLines w:val="0"/>
              <w:pageBreakBefore w:val="0"/>
              <w:widowControl w:val="0"/>
              <w:shd w:val="clear"/>
              <w:tabs>
                <w:tab w:val="left" w:pos="0"/>
                <w:tab w:val="left" w:pos="1020"/>
              </w:tabs>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根据河北省《扬尘在线监测系统建设及运行技术规范》（DB13/T2935</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2019）</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要求：</w:t>
            </w:r>
            <w:r>
              <w:rPr>
                <w:rFonts w:hint="default" w:ascii="Times New Roman" w:hAnsi="Times New Roman" w:eastAsia="宋体" w:cs="Times New Roman"/>
                <w:color w:val="000000" w:themeColor="text1"/>
                <w:sz w:val="24"/>
                <w:szCs w:val="24"/>
                <w:highlight w:val="none"/>
                <w14:textFill>
                  <w14:solidFill>
                    <w14:schemeClr w14:val="tx1"/>
                  </w14:solidFill>
                </w14:textFill>
              </w:rPr>
              <w:t>监测点位</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应</w:t>
            </w:r>
            <w:r>
              <w:rPr>
                <w:rFonts w:hint="default" w:ascii="Times New Roman" w:hAnsi="Times New Roman" w:eastAsia="宋体" w:cs="Times New Roman"/>
                <w:color w:val="000000" w:themeColor="text1"/>
                <w:sz w:val="24"/>
                <w:szCs w:val="24"/>
                <w:highlight w:val="none"/>
                <w14:textFill>
                  <w14:solidFill>
                    <w14:schemeClr w14:val="tx1"/>
                  </w14:solidFill>
                </w14:textFill>
              </w:rPr>
              <w:t>设置于施工区域围栏安全范围内，可直接监控施工场地主要施工活动。监测点位不宜轻易变动，以保证监测的连续性和数据的可比性；监测点位</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应</w:t>
            </w:r>
            <w:r>
              <w:rPr>
                <w:rFonts w:hint="default" w:ascii="Times New Roman" w:hAnsi="Times New Roman" w:eastAsia="宋体" w:cs="Times New Roman"/>
                <w:color w:val="000000" w:themeColor="text1"/>
                <w:sz w:val="24"/>
                <w:szCs w:val="24"/>
                <w:highlight w:val="none"/>
                <w14:textFill>
                  <w14:solidFill>
                    <w14:schemeClr w14:val="tx1"/>
                  </w14:solidFill>
                </w14:textFill>
              </w:rPr>
              <w:t>优先设置于车辆进出口处。监测点数量多于车辆进出口数量时，其它监测点位应结合常年主导风向，设置在工地所在区域主导风向下风向的施工场地边界，兼顾扬尘最大落地浓度；当与其他施工场地相邻或施工场地外侧是交通道路且受道路扬尘影响较大时，</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应</w:t>
            </w:r>
            <w:r>
              <w:rPr>
                <w:rFonts w:hint="default" w:ascii="Times New Roman" w:hAnsi="Times New Roman" w:eastAsia="宋体" w:cs="Times New Roman"/>
                <w:color w:val="000000" w:themeColor="text1"/>
                <w:sz w:val="24"/>
                <w:szCs w:val="24"/>
                <w:highlight w:val="none"/>
                <w14:textFill>
                  <w14:solidFill>
                    <w14:schemeClr w14:val="tx1"/>
                  </w14:solidFill>
                </w14:textFill>
              </w:rPr>
              <w:t>避开在相邻边界处设置监测点；采样口离地面的高度</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应</w:t>
            </w:r>
            <w:r>
              <w:rPr>
                <w:rFonts w:hint="default" w:ascii="Times New Roman" w:hAnsi="Times New Roman" w:eastAsia="宋体" w:cs="Times New Roman"/>
                <w:color w:val="000000" w:themeColor="text1"/>
                <w:sz w:val="24"/>
                <w:szCs w:val="24"/>
                <w:highlight w:val="none"/>
                <w14:textFill>
                  <w14:solidFill>
                    <w14:schemeClr w14:val="tx1"/>
                  </w14:solidFill>
                </w14:textFill>
              </w:rPr>
              <w:t>在3m～5m范围内。施工场地扬尘监测点数量宜符合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14:textFill>
                  <w14:solidFill>
                    <w14:schemeClr w14:val="tx1"/>
                  </w14:solidFill>
                </w14:textFill>
              </w:rPr>
              <w:t>表要求。</w:t>
            </w:r>
          </w:p>
          <w:p w14:paraId="0DC0A20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施工场地扬尘监测点数量设置</w:t>
            </w:r>
          </w:p>
          <w:tbl>
            <w:tblPr>
              <w:tblStyle w:val="33"/>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2826"/>
              <w:gridCol w:w="5081"/>
            </w:tblGrid>
            <w:tr w14:paraId="5CEAD3A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2826" w:type="dxa"/>
                  <w:tcBorders>
                    <w:tl2br w:val="nil"/>
                    <w:tr2bl w:val="nil"/>
                  </w:tcBorders>
                  <w:noWrap w:val="0"/>
                  <w:vAlign w:val="center"/>
                </w:tcPr>
                <w:p w14:paraId="71D302F0">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占地面积S（m</w:t>
                  </w:r>
                  <w:r>
                    <w:rPr>
                      <w:rFonts w:hint="default" w:ascii="Times New Roman" w:hAnsi="Times New Roman" w:eastAsia="宋体" w:cs="Times New Roman"/>
                      <w:b w:val="0"/>
                      <w:bCs w:val="0"/>
                      <w:color w:val="000000" w:themeColor="text1"/>
                      <w:kern w:val="2"/>
                      <w:sz w:val="21"/>
                      <w:szCs w:val="21"/>
                      <w:highlight w:val="none"/>
                      <w:vertAlign w:val="superscript"/>
                      <w:lang w:val="en-US" w:eastAsia="zh-CN" w:bidi="ar-SA"/>
                      <w14:textFill>
                        <w14:solidFill>
                          <w14:schemeClr w14:val="tx1"/>
                        </w14:solidFill>
                      </w14:textFill>
                    </w:rPr>
                    <w:t>2</w:t>
                  </w: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w:t>
                  </w:r>
                </w:p>
              </w:tc>
              <w:tc>
                <w:tcPr>
                  <w:tcW w:w="5081" w:type="dxa"/>
                  <w:tcBorders>
                    <w:tl2br w:val="nil"/>
                    <w:tr2bl w:val="nil"/>
                  </w:tcBorders>
                  <w:noWrap w:val="0"/>
                  <w:vAlign w:val="center"/>
                </w:tcPr>
                <w:p w14:paraId="531E1BD4">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监测点数量</w:t>
                  </w:r>
                  <w: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个</w:t>
                  </w:r>
                  <w: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w:t>
                  </w:r>
                </w:p>
              </w:tc>
            </w:tr>
            <w:tr w14:paraId="0288407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0" w:hRule="atLeast"/>
                <w:jc w:val="center"/>
              </w:trPr>
              <w:tc>
                <w:tcPr>
                  <w:tcW w:w="2826" w:type="dxa"/>
                  <w:tcBorders>
                    <w:tl2br w:val="nil"/>
                    <w:tr2bl w:val="nil"/>
                  </w:tcBorders>
                  <w:noWrap w:val="0"/>
                  <w:vAlign w:val="center"/>
                </w:tcPr>
                <w:p w14:paraId="5DC9882C">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S≤5000</w:t>
                  </w:r>
                </w:p>
              </w:tc>
              <w:tc>
                <w:tcPr>
                  <w:tcW w:w="5081" w:type="dxa"/>
                  <w:tcBorders>
                    <w:tl2br w:val="nil"/>
                    <w:tr2bl w:val="nil"/>
                  </w:tcBorders>
                  <w:noWrap w:val="0"/>
                  <w:vAlign w:val="center"/>
                </w:tcPr>
                <w:p w14:paraId="72A07D63">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≥1</w:t>
                  </w:r>
                </w:p>
              </w:tc>
            </w:tr>
            <w:tr w14:paraId="3A5F4D6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0" w:hRule="atLeast"/>
                <w:jc w:val="center"/>
              </w:trPr>
              <w:tc>
                <w:tcPr>
                  <w:tcW w:w="2826" w:type="dxa"/>
                  <w:tcBorders>
                    <w:tl2br w:val="nil"/>
                    <w:tr2bl w:val="nil"/>
                  </w:tcBorders>
                  <w:noWrap w:val="0"/>
                  <w:vAlign w:val="center"/>
                </w:tcPr>
                <w:p w14:paraId="66F31B2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5000＜S≤10000</w:t>
                  </w:r>
                </w:p>
              </w:tc>
              <w:tc>
                <w:tcPr>
                  <w:tcW w:w="5081" w:type="dxa"/>
                  <w:tcBorders>
                    <w:tl2br w:val="nil"/>
                    <w:tr2bl w:val="nil"/>
                  </w:tcBorders>
                  <w:noWrap w:val="0"/>
                  <w:vAlign w:val="center"/>
                </w:tcPr>
                <w:p w14:paraId="0FF1BAFA">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≥2</w:t>
                  </w:r>
                </w:p>
              </w:tc>
            </w:tr>
            <w:tr w14:paraId="56208BB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0" w:hRule="atLeast"/>
                <w:jc w:val="center"/>
              </w:trPr>
              <w:tc>
                <w:tcPr>
                  <w:tcW w:w="2826" w:type="dxa"/>
                  <w:tcBorders>
                    <w:tl2br w:val="nil"/>
                    <w:tr2bl w:val="nil"/>
                  </w:tcBorders>
                  <w:noWrap w:val="0"/>
                  <w:vAlign w:val="center"/>
                </w:tcPr>
                <w:p w14:paraId="3A30174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10000＜S≤100000</w:t>
                  </w:r>
                </w:p>
              </w:tc>
              <w:tc>
                <w:tcPr>
                  <w:tcW w:w="5081" w:type="dxa"/>
                  <w:tcBorders>
                    <w:tl2br w:val="nil"/>
                    <w:tr2bl w:val="nil"/>
                  </w:tcBorders>
                  <w:noWrap w:val="0"/>
                  <w:vAlign w:val="center"/>
                </w:tcPr>
                <w:p w14:paraId="55031523">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≥4</w:t>
                  </w:r>
                </w:p>
              </w:tc>
            </w:tr>
            <w:tr w14:paraId="0432445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40" w:hRule="atLeast"/>
                <w:jc w:val="center"/>
              </w:trPr>
              <w:tc>
                <w:tcPr>
                  <w:tcW w:w="2826" w:type="dxa"/>
                  <w:tcBorders>
                    <w:tl2br w:val="nil"/>
                    <w:tr2bl w:val="nil"/>
                  </w:tcBorders>
                  <w:noWrap w:val="0"/>
                  <w:vAlign w:val="center"/>
                </w:tcPr>
                <w:p w14:paraId="0956AA5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S＞100000</w:t>
                  </w:r>
                </w:p>
              </w:tc>
              <w:tc>
                <w:tcPr>
                  <w:tcW w:w="5081" w:type="dxa"/>
                  <w:tcBorders>
                    <w:tl2br w:val="nil"/>
                    <w:tr2bl w:val="nil"/>
                  </w:tcBorders>
                  <w:noWrap w:val="0"/>
                  <w:vAlign w:val="center"/>
                </w:tcPr>
                <w:p w14:paraId="3C541996">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both"/>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在10万平方米最少设置4个监测点的基础上，每增加10万平方米最少增设1个监测点（不足10万平方米的部分按10万平方米计）。</w:t>
                  </w:r>
                </w:p>
              </w:tc>
            </w:tr>
          </w:tbl>
          <w:p w14:paraId="6FFE3D31">
            <w:pPr>
              <w:keepNext w:val="0"/>
              <w:keepLines w:val="0"/>
              <w:pageBreakBefore w:val="0"/>
              <w:widowControl/>
              <w:shd w:val="clea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本项目</w:t>
            </w:r>
            <w:r>
              <w:rPr>
                <w:rFonts w:hint="eastAsia" w:ascii="Times New Roman" w:hAnsi="Times New Roman" w:cs="Times New Roman"/>
                <w:color w:val="000000" w:themeColor="text1"/>
                <w:sz w:val="24"/>
                <w:szCs w:val="24"/>
                <w:highlight w:val="none"/>
                <w:lang w:eastAsia="zh-CN"/>
                <w14:textFill>
                  <w14:solidFill>
                    <w14:schemeClr w14:val="tx1"/>
                  </w14:solidFill>
                </w14:textFill>
              </w:rPr>
              <w:t>建筑面积</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5000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施工场地面积约6000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根据河北省《扬尘在线监测系统建设及运行技术规范》（DB13/T2935</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2019）</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要求</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项目施工期场区设置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个废气监测点位监测施工扬尘，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个废气监测点位分别设置于</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施工区出入口处、</w:t>
            </w:r>
            <w:r>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rPr>
              <w:t>区域内下风向位置</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D4E207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采取以上措施后，可有效的控制施工扬尘，</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施工期废气满足</w:t>
            </w:r>
            <w:r>
              <w:rPr>
                <w:rFonts w:hint="default" w:ascii="Times New Roman" w:hAnsi="Times New Roman" w:eastAsia="宋体" w:cs="Times New Roman"/>
                <w:color w:val="000000" w:themeColor="text1"/>
                <w:sz w:val="24"/>
                <w:szCs w:val="24"/>
                <w:highlight w:val="none"/>
                <w14:textFill>
                  <w14:solidFill>
                    <w14:schemeClr w14:val="tx1"/>
                  </w14:solidFill>
                </w14:textFill>
              </w:rPr>
              <w:t>《施工场地扬尘排放标准》（DB13/2934</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2019）表1中的</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要求。</w:t>
            </w:r>
            <w:r>
              <w:rPr>
                <w:rFonts w:hint="default" w:ascii="Times New Roman" w:hAnsi="Times New Roman" w:eastAsia="宋体" w:cs="Times New Roman"/>
                <w:color w:val="000000" w:themeColor="text1"/>
                <w:sz w:val="24"/>
                <w:szCs w:val="24"/>
                <w:highlight w:val="none"/>
                <w14:textFill>
                  <w14:solidFill>
                    <w14:schemeClr w14:val="tx1"/>
                  </w14:solidFill>
                </w14:textFill>
              </w:rPr>
              <w:t>80μg/m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（指监测点PM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小时平均浓度实测值与同时段所属县（市、区）PM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小时平均浓度的差值）；当县（市、区）PM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小时平均浓度值大于150µg/m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时，以150µg/m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07C48D7">
            <w:pPr>
              <w:keepNext w:val="0"/>
              <w:keepLines w:val="0"/>
              <w:pageBreakBefore w:val="0"/>
              <w:widowControl w:val="0"/>
              <w:shd w:val="clear"/>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⑵</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施工机械废气</w:t>
            </w:r>
          </w:p>
          <w:p w14:paraId="6073C703">
            <w:pPr>
              <w:keepNext w:val="0"/>
              <w:keepLines w:val="0"/>
              <w:pageBreakBefore w:val="0"/>
              <w:widowControl w:val="0"/>
              <w:shd w:val="clear"/>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各类燃油动力机械在场地开挖、建筑施工、物料运输等施工作业时，会排出燃油废气，主要污染物为CO、NO</w:t>
            </w:r>
            <w:r>
              <w:rPr>
                <w:rFonts w:hint="default"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X</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、NMHC。此类污染物为无组织排放，排放量小，对环境影响不大。建议施工期间加强机械维护，能够提高各类燃油机械的使用效率，降低燃油废气排放量。</w:t>
            </w:r>
          </w:p>
          <w:p w14:paraId="1C0579C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72" w:firstLineChars="196"/>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二、</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废水影响分析</w:t>
            </w:r>
          </w:p>
          <w:p w14:paraId="6D4E77E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⑴</w:t>
            </w:r>
            <w:r>
              <w:rPr>
                <w:rFonts w:hint="default" w:ascii="Times New Roman" w:hAnsi="Times New Roman" w:eastAsia="宋体" w:cs="Times New Roman"/>
                <w:color w:val="000000" w:themeColor="text1"/>
                <w:sz w:val="24"/>
                <w:szCs w:val="24"/>
                <w:highlight w:val="none"/>
                <w14:textFill>
                  <w14:solidFill>
                    <w14:schemeClr w14:val="tx1"/>
                  </w14:solidFill>
                </w14:textFill>
              </w:rPr>
              <w:t>施工期废水类别</w:t>
            </w:r>
          </w:p>
          <w:p w14:paraId="09DF703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项目施工废水主要有混凝土养护废水</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运输车辆冲洗废水、</w:t>
            </w:r>
            <w:r>
              <w:rPr>
                <w:rFonts w:hint="default" w:ascii="Times New Roman" w:hAnsi="Times New Roman" w:eastAsia="宋体" w:cs="Times New Roman"/>
                <w:color w:val="000000" w:themeColor="text1"/>
                <w:sz w:val="24"/>
                <w:szCs w:val="24"/>
                <w:highlight w:val="none"/>
                <w14:textFill>
                  <w14:solidFill>
                    <w14:schemeClr w14:val="tx1"/>
                  </w14:solidFill>
                </w14:textFill>
              </w:rPr>
              <w:t>施工人员生活污水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20036CA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⑵</w:t>
            </w:r>
            <w:r>
              <w:rPr>
                <w:rFonts w:hint="default" w:ascii="Times New Roman" w:hAnsi="Times New Roman" w:eastAsia="宋体" w:cs="Times New Roman"/>
                <w:color w:val="000000" w:themeColor="text1"/>
                <w:sz w:val="24"/>
                <w:szCs w:val="24"/>
                <w:highlight w:val="none"/>
                <w14:textFill>
                  <w14:solidFill>
                    <w14:schemeClr w14:val="tx1"/>
                  </w14:solidFill>
                </w14:textFill>
              </w:rPr>
              <w:t>影响分析</w:t>
            </w:r>
          </w:p>
          <w:p w14:paraId="6BE957D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①混凝土养护废水：封闭混凝土中水分不蒸发外逸，水泥依靠混凝土中水分完成水化作用，水量较小</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无外排废水</w:t>
            </w:r>
            <w:r>
              <w:rPr>
                <w:rFonts w:hint="default" w:ascii="Times New Roman" w:hAnsi="Times New Roman" w:eastAsia="宋体" w:cs="Times New Roman"/>
                <w:color w:val="000000" w:themeColor="text1"/>
                <w:sz w:val="24"/>
                <w:szCs w:val="24"/>
                <w:highlight w:val="none"/>
                <w14:textFill>
                  <w14:solidFill>
                    <w14:schemeClr w14:val="tx1"/>
                  </w14:solidFill>
                </w14:textFill>
              </w:rPr>
              <w:t>。②</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运输车辆</w:t>
            </w:r>
            <w:r>
              <w:rPr>
                <w:rFonts w:hint="default" w:ascii="Times New Roman" w:hAnsi="Times New Roman" w:eastAsia="宋体" w:cs="Times New Roman"/>
                <w:color w:val="000000" w:themeColor="text1"/>
                <w:sz w:val="24"/>
                <w:szCs w:val="24"/>
                <w:highlight w:val="none"/>
                <w14:textFill>
                  <w14:solidFill>
                    <w14:schemeClr w14:val="tx1"/>
                  </w14:solidFill>
                </w14:textFill>
              </w:rPr>
              <w:t>冲洗废水：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施工场地出入口设立洗车平台</w:t>
            </w:r>
            <w:r>
              <w:rPr>
                <w:rFonts w:hint="default" w:ascii="Times New Roman" w:hAnsi="Times New Roman" w:eastAsia="宋体" w:cs="Times New Roman"/>
                <w:color w:val="000000" w:themeColor="text1"/>
                <w:sz w:val="24"/>
                <w:szCs w:val="24"/>
                <w:highlight w:val="none"/>
                <w14:textFill>
                  <w14:solidFill>
                    <w14:schemeClr w14:val="tx1"/>
                  </w14:solidFill>
                </w14:textFill>
              </w:rPr>
              <w:t>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运输</w:t>
            </w:r>
            <w:r>
              <w:rPr>
                <w:rFonts w:hint="default" w:ascii="Times New Roman" w:hAnsi="Times New Roman" w:eastAsia="宋体" w:cs="Times New Roman"/>
                <w:color w:val="000000" w:themeColor="text1"/>
                <w:sz w:val="24"/>
                <w:szCs w:val="24"/>
                <w:highlight w:val="none"/>
                <w14:textFill>
                  <w14:solidFill>
                    <w14:schemeClr w14:val="tx1"/>
                  </w14:solidFill>
                </w14:textFill>
              </w:rPr>
              <w:t>车辆进行清</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洗</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废水通过排水沟排入沉淀池</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沉淀后</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上层清</w:t>
            </w:r>
            <w:r>
              <w:rPr>
                <w:rFonts w:hint="default" w:ascii="Times New Roman" w:hAnsi="Times New Roman" w:eastAsia="宋体" w:cs="Times New Roman"/>
                <w:color w:val="000000" w:themeColor="text1"/>
                <w:sz w:val="24"/>
                <w:szCs w:val="24"/>
                <w:highlight w:val="none"/>
                <w14:textFill>
                  <w14:solidFill>
                    <w14:schemeClr w14:val="tx1"/>
                  </w14:solidFill>
                </w14:textFill>
              </w:rPr>
              <w:t>水循环使用，不</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外排</w:t>
            </w:r>
            <w:r>
              <w:rPr>
                <w:rFonts w:hint="default" w:ascii="Times New Roman" w:hAnsi="Times New Roman" w:eastAsia="宋体" w:cs="Times New Roman"/>
                <w:color w:val="000000" w:themeColor="text1"/>
                <w:sz w:val="24"/>
                <w:szCs w:val="24"/>
                <w:highlight w:val="none"/>
                <w14:textFill>
                  <w14:solidFill>
                    <w14:schemeClr w14:val="tx1"/>
                  </w14:solidFill>
                </w14:textFill>
              </w:rPr>
              <w:t>。③施工人员生活污水，排入化粪池，定期清掏。</w:t>
            </w:r>
          </w:p>
          <w:p w14:paraId="2E846EC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三、</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噪声影响分析</w:t>
            </w:r>
          </w:p>
          <w:p w14:paraId="628D7BC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施工噪声主要为建筑基础挖掘、建筑材料运输、设备吊装等施工机械产生的噪声。</w:t>
            </w:r>
            <w:r>
              <w:rPr>
                <w:rFonts w:ascii="Times New Roman" w:hAnsi="Times New Roman" w:eastAsia="宋体" w:cs="Times New Roman"/>
                <w:color w:val="000000" w:themeColor="text1"/>
                <w:sz w:val="24"/>
                <w:szCs w:val="24"/>
                <w:highlight w:val="none"/>
                <w14:textFill>
                  <w14:solidFill>
                    <w14:schemeClr w14:val="tx1"/>
                  </w14:solidFill>
                </w14:textFill>
              </w:rPr>
              <w:t>建筑施工期的噪声源特点是间歇或阵发性的，并具备流动性、噪声较高（5m处噪声值81dB</w:t>
            </w:r>
            <w:r>
              <w:rPr>
                <w:rFonts w:hint="eastAsia" w:cs="Times New Roman"/>
                <w:color w:val="000000" w:themeColor="text1"/>
                <w:sz w:val="24"/>
                <w:szCs w:val="24"/>
                <w:highlight w:val="none"/>
                <w:lang w:eastAsia="zh-CN"/>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A</w:t>
            </w:r>
            <w:r>
              <w:rPr>
                <w:rFonts w:hint="eastAsia" w:cs="Times New Roman"/>
                <w:color w:val="000000" w:themeColor="text1"/>
                <w:sz w:val="24"/>
                <w:szCs w:val="24"/>
                <w:highlight w:val="none"/>
                <w:lang w:eastAsia="zh-CN"/>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-92dB</w:t>
            </w:r>
            <w:r>
              <w:rPr>
                <w:rFonts w:hint="eastAsia" w:cs="Times New Roman"/>
                <w:color w:val="000000" w:themeColor="text1"/>
                <w:sz w:val="24"/>
                <w:szCs w:val="24"/>
                <w:highlight w:val="none"/>
                <w:lang w:eastAsia="zh-CN"/>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A</w:t>
            </w:r>
            <w:r>
              <w:rPr>
                <w:rFonts w:hint="eastAsia" w:cs="Times New Roman"/>
                <w:color w:val="000000" w:themeColor="text1"/>
                <w:sz w:val="24"/>
                <w:szCs w:val="24"/>
                <w:highlight w:val="none"/>
                <w:lang w:eastAsia="zh-CN"/>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）的特征。为最大限度避免和减轻施工和交通噪声对施工场地周围环境的影响，本评价对施工噪声的控制提出以下要求和建议：</w:t>
            </w:r>
          </w:p>
          <w:p w14:paraId="50BE715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⑴</w:t>
            </w:r>
            <w:r>
              <w:rPr>
                <w:rFonts w:ascii="Times New Roman" w:hAnsi="Times New Roman" w:eastAsia="宋体" w:cs="Times New Roman"/>
                <w:color w:val="000000" w:themeColor="text1"/>
                <w:sz w:val="24"/>
                <w:szCs w:val="24"/>
                <w:highlight w:val="none"/>
                <w14:textFill>
                  <w14:solidFill>
                    <w14:schemeClr w14:val="tx1"/>
                  </w14:solidFill>
                </w14:textFill>
              </w:rPr>
              <w:t>施工期建设单位合理安排施工计划和施工机械设备组合以及施工时间，避免同一时间集中使用大量的动力机械设备。施工单位严格执行《</w:t>
            </w:r>
            <w:r>
              <w:rPr>
                <w:rFonts w:hint="eastAsia" w:cs="Times New Roman"/>
                <w:color w:val="000000" w:themeColor="text1"/>
                <w:sz w:val="24"/>
                <w:szCs w:val="24"/>
                <w:highlight w:val="none"/>
                <w:lang w:eastAsia="zh-CN"/>
                <w14:textFill>
                  <w14:solidFill>
                    <w14:schemeClr w14:val="tx1"/>
                  </w14:solidFill>
                </w14:textFill>
              </w:rPr>
              <w:t>建筑施工噪声排放标准</w:t>
            </w:r>
            <w:r>
              <w:rPr>
                <w:rFonts w:ascii="Times New Roman" w:hAnsi="Times New Roman" w:eastAsia="宋体" w:cs="Times New Roman"/>
                <w:color w:val="000000" w:themeColor="text1"/>
                <w:sz w:val="24"/>
                <w:szCs w:val="24"/>
                <w:highlight w:val="none"/>
                <w14:textFill>
                  <w14:solidFill>
                    <w14:schemeClr w14:val="tx1"/>
                  </w14:solidFill>
                </w14:textFill>
              </w:rPr>
              <w:t>》（GB</w:t>
            </w:r>
            <w:r>
              <w:rPr>
                <w:rFonts w:hint="eastAsia" w:cs="Times New Roman"/>
                <w:color w:val="000000" w:themeColor="text1"/>
                <w:sz w:val="24"/>
                <w:szCs w:val="24"/>
                <w:highlight w:val="none"/>
                <w:lang w:eastAsia="zh-CN"/>
                <w14:textFill>
                  <w14:solidFill>
                    <w14:schemeClr w14:val="tx1"/>
                  </w14:solidFill>
                </w14:textFill>
              </w:rPr>
              <w:t>12523</w:t>
            </w:r>
            <w:r>
              <w:rPr>
                <w:rFonts w:ascii="Times New Roman" w:hAnsi="Times New Roman" w:eastAsia="宋体" w:cs="Times New Roman"/>
                <w:color w:val="000000" w:themeColor="text1"/>
                <w:sz w:val="24"/>
                <w:szCs w:val="24"/>
                <w:highlight w:val="none"/>
                <w14:textFill>
                  <w14:solidFill>
                    <w14:schemeClr w14:val="tx1"/>
                  </w14:solidFill>
                </w14:textFill>
              </w:rPr>
              <w:t>-20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25</w:t>
            </w:r>
            <w:r>
              <w:rPr>
                <w:rFonts w:ascii="Times New Roman" w:hAnsi="Times New Roman" w:eastAsia="宋体" w:cs="Times New Roman"/>
                <w:color w:val="000000" w:themeColor="text1"/>
                <w:sz w:val="24"/>
                <w:szCs w:val="24"/>
                <w:highlight w:val="none"/>
                <w14:textFill>
                  <w14:solidFill>
                    <w14:schemeClr w14:val="tx1"/>
                  </w14:solidFill>
                </w14:textFill>
              </w:rPr>
              <w:t>）的要求，在施工过程中，尽量减少运行动力机械设备的数量，尽可能使动力机械设备比较均匀地使用</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p>
          <w:p w14:paraId="6871C20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⑵</w:t>
            </w:r>
            <w:r>
              <w:rPr>
                <w:rFonts w:ascii="Times New Roman" w:hAnsi="Times New Roman" w:eastAsia="宋体" w:cs="Times New Roman"/>
                <w:color w:val="000000" w:themeColor="text1"/>
                <w:sz w:val="24"/>
                <w:szCs w:val="24"/>
                <w:highlight w:val="none"/>
                <w14:textFill>
                  <w14:solidFill>
                    <w14:schemeClr w14:val="tx1"/>
                  </w14:solidFill>
                </w14:textFill>
              </w:rPr>
              <w:t>建设招标单位将投标方的低噪声、低振动施工设备和相应技术作为中标的重要内容考虑，将施工过程所用各类机械及其噪声值列入招标文件中；</w:t>
            </w:r>
          </w:p>
          <w:p w14:paraId="055B25E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⑶施工过程中应合理安排施工时间，禁止在夜间进行施工，尽量避免在午休等休息时段施工，同时做好施工期公示，提前安排施工计划，缩短施工期及加强施工过程管理，避免偶发和频发噪声产生；</w:t>
            </w:r>
          </w:p>
          <w:p w14:paraId="06D6AC3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⑷</w:t>
            </w:r>
            <w:r>
              <w:rPr>
                <w:rFonts w:ascii="Times New Roman" w:hAnsi="Times New Roman" w:eastAsia="宋体" w:cs="Times New Roman"/>
                <w:color w:val="000000" w:themeColor="text1"/>
                <w:sz w:val="24"/>
                <w:szCs w:val="24"/>
                <w:highlight w:val="none"/>
                <w14:textFill>
                  <w14:solidFill>
                    <w14:schemeClr w14:val="tx1"/>
                  </w14:solidFill>
                </w14:textFill>
              </w:rPr>
              <w:t>使用商品混凝土及商品砂浆，避免混凝土及砂浆生产时噪声的影响；</w:t>
            </w:r>
          </w:p>
          <w:p w14:paraId="55C6114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⑸</w:t>
            </w:r>
            <w:r>
              <w:rPr>
                <w:rFonts w:ascii="Times New Roman" w:hAnsi="Times New Roman" w:eastAsia="宋体" w:cs="Times New Roman"/>
                <w:color w:val="000000" w:themeColor="text1"/>
                <w:sz w:val="24"/>
                <w:szCs w:val="24"/>
                <w:highlight w:val="none"/>
                <w14:textFill>
                  <w14:solidFill>
                    <w14:schemeClr w14:val="tx1"/>
                  </w14:solidFill>
                </w14:textFill>
              </w:rPr>
              <w:t>运载建筑材料及建筑垃圾的车辆要选择合适的时间路线进行运输，运输车辆行驶路线应尽量避开沿途可能的居民点和环境敏感点。</w:t>
            </w:r>
          </w:p>
          <w:p w14:paraId="2D2B04A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采取以上措施后，施工噪声对周围环境影响较小，且将随着施工期的结束而消失。</w:t>
            </w:r>
          </w:p>
          <w:p w14:paraId="7E73B1D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四、</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固废影响分析</w:t>
            </w:r>
          </w:p>
          <w:p w14:paraId="2A7D1FB2">
            <w:pPr>
              <w:keepNext w:val="0"/>
              <w:keepLines w:val="0"/>
              <w:pageBreakBefore w:val="0"/>
              <w:widowControl w:val="0"/>
              <w:shd w:val="clear"/>
              <w:tabs>
                <w:tab w:val="left" w:pos="0"/>
                <w:tab w:val="left" w:pos="6720"/>
              </w:tabs>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施工期固体废物主要为</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场地整理产生的表土、植被、建筑垃圾及</w:t>
            </w:r>
            <w:r>
              <w:rPr>
                <w:rFonts w:ascii="Times New Roman" w:hAnsi="Times New Roman" w:eastAsia="宋体" w:cs="Times New Roman"/>
                <w:color w:val="000000" w:themeColor="text1"/>
                <w:sz w:val="24"/>
                <w:szCs w:val="24"/>
                <w:highlight w:val="none"/>
                <w14:textFill>
                  <w14:solidFill>
                    <w14:schemeClr w14:val="tx1"/>
                  </w14:solidFill>
                </w14:textFill>
              </w:rPr>
              <w:t>施工垃圾</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施工人员的生活垃圾</w:t>
            </w:r>
            <w:r>
              <w:rPr>
                <w:rFonts w:ascii="Times New Roman" w:hAnsi="Times New Roman" w:eastAsia="宋体" w:cs="Times New Roman"/>
                <w:color w:val="000000" w:themeColor="text1"/>
                <w:sz w:val="24"/>
                <w:szCs w:val="24"/>
                <w:highlight w:val="none"/>
                <w14:textFill>
                  <w14:solidFill>
                    <w14:schemeClr w14:val="tx1"/>
                  </w14:solidFill>
                </w14:textFill>
              </w:rPr>
              <w:t>。</w:t>
            </w:r>
          </w:p>
          <w:p w14:paraId="3FD9D984">
            <w:pPr>
              <w:keepNext w:val="0"/>
              <w:keepLines w:val="0"/>
              <w:pageBreakBefore w:val="0"/>
              <w:widowControl w:val="0"/>
              <w:shd w:val="clear"/>
              <w:tabs>
                <w:tab w:val="left" w:pos="360"/>
                <w:tab w:val="left" w:pos="6720"/>
              </w:tabs>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场地整理产生的表土应集中苫盖存放，后期作为厂区绿化种植土进行重新使用。</w:t>
            </w:r>
          </w:p>
          <w:p w14:paraId="377DE503">
            <w:pPr>
              <w:keepNext w:val="0"/>
              <w:keepLines w:val="0"/>
              <w:pageBreakBefore w:val="0"/>
              <w:widowControl w:val="0"/>
              <w:shd w:val="clear"/>
              <w:tabs>
                <w:tab w:val="left" w:pos="360"/>
                <w:tab w:val="left" w:pos="6720"/>
              </w:tabs>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施工期建筑垃圾主要包括施工中的下脚料，如废弃的堆土、砖瓦、混凝土块等，对于这些废物，应集中处理，分类收集并尽可能的回收再利用，不能回收再利用</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满足本项目建筑垃圾堆砌要求的可进入本项目堆砌场进行堆砌</w:t>
            </w:r>
            <w:r>
              <w:rPr>
                <w:rFonts w:ascii="Times New Roman" w:hAnsi="Times New Roman" w:eastAsia="宋体" w:cs="Times New Roman"/>
                <w:color w:val="000000" w:themeColor="text1"/>
                <w:sz w:val="24"/>
                <w:szCs w:val="24"/>
                <w:highlight w:val="none"/>
                <w14:textFill>
                  <w14:solidFill>
                    <w14:schemeClr w14:val="tx1"/>
                  </w14:solidFill>
                </w14:textFill>
              </w:rPr>
              <w:t>。本次评价提出措施如下：</w:t>
            </w:r>
          </w:p>
          <w:p w14:paraId="35C52D0D">
            <w:pPr>
              <w:keepNext w:val="0"/>
              <w:keepLines w:val="0"/>
              <w:pageBreakBefore w:val="0"/>
              <w:widowControl w:val="0"/>
              <w:shd w:val="clear"/>
              <w:tabs>
                <w:tab w:val="left" w:pos="360"/>
                <w:tab w:val="left" w:pos="6720"/>
              </w:tabs>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①对钢筋、钢板、木材等可分类回收利用</w:t>
            </w:r>
            <w:r>
              <w:rPr>
                <w:rFonts w:hint="eastAsia" w:cs="Times New Roman"/>
                <w:color w:val="000000" w:themeColor="text1"/>
                <w:sz w:val="24"/>
                <w:szCs w:val="24"/>
                <w:highlight w:val="none"/>
                <w:lang w:eastAsia="zh-CN"/>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对于其它不能回收利用的要集中收集，定时清运。②对混凝土废料、含砖、石、砂的杂土应集中堆放，</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进入本项目堆砌场地进行堆砌</w:t>
            </w:r>
            <w:r>
              <w:rPr>
                <w:rFonts w:ascii="Times New Roman" w:hAnsi="Times New Roman" w:eastAsia="宋体" w:cs="Times New Roman"/>
                <w:color w:val="000000" w:themeColor="text1"/>
                <w:sz w:val="24"/>
                <w:szCs w:val="24"/>
                <w:highlight w:val="none"/>
                <w14:textFill>
                  <w14:solidFill>
                    <w14:schemeClr w14:val="tx1"/>
                  </w14:solidFill>
                </w14:textFill>
              </w:rPr>
              <w:t>。③清场废物处置：应及时清运。表层土可集中堆存，用作绿化用土，不适于土地利用的表土可供附近填筑低凹地，或作其他用土。废土全部作为弃方做统一规划处置，将多余弃土及时清运。</w:t>
            </w:r>
            <w:r>
              <w:rPr>
                <w:rFonts w:hint="eastAsia" w:ascii="宋体" w:hAnsi="宋体" w:eastAsia="宋体" w:cs="宋体"/>
                <w:color w:val="000000" w:themeColor="text1"/>
                <w:sz w:val="24"/>
                <w:szCs w:val="24"/>
                <w:highlight w:val="none"/>
                <w14:textFill>
                  <w14:solidFill>
                    <w14:schemeClr w14:val="tx1"/>
                  </w14:solidFill>
                </w14:textFill>
              </w:rPr>
              <w:t>④</w:t>
            </w:r>
            <w:r>
              <w:rPr>
                <w:rFonts w:hint="default" w:ascii="Times New Roman" w:hAnsi="Times New Roman" w:eastAsia="宋体" w:cs="Times New Roman"/>
                <w:color w:val="000000" w:themeColor="text1"/>
                <w:sz w:val="24"/>
                <w:szCs w:val="24"/>
                <w:highlight w:val="none"/>
                <w14:textFill>
                  <w14:solidFill>
                    <w14:schemeClr w14:val="tx1"/>
                  </w14:solidFill>
                </w14:textFill>
              </w:rPr>
              <w:t>施工人员的生活垃圾由专门人员收集后送生活垃圾处理场统一处理。</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⑤可进行移栽的乔木植被，应进行移栽，无法移栽利用的可清理后集中收集外售资源化利用。</w:t>
            </w:r>
          </w:p>
          <w:p w14:paraId="1AC6B46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采取上述措施，施工期产生的固废都可得到合理处置，对外界环境影响较小</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p>
          <w:p w14:paraId="697BB40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eastAsia="zh-CN"/>
                <w14:textFill>
                  <w14:solidFill>
                    <w14:schemeClr w14:val="tx1"/>
                  </w14:solidFill>
                </w14:textFill>
              </w:rPr>
              <w:t>五</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、生态影响防治措施</w:t>
            </w:r>
          </w:p>
          <w:p w14:paraId="03555BF6">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⑴项目建设对生态环境的影响</w:t>
            </w:r>
          </w:p>
          <w:p w14:paraId="307F9A7C">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项目的建设对生态环境的影响主要为场地清理平整、工程压占土地、施工扰动地貌、施工机械碾压、施工人员践踏等破坏施工区域内的地貌，并破坏和影响施工区周围环境。</w:t>
            </w:r>
          </w:p>
          <w:p w14:paraId="1704FB3C">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⑵生态环境保护与恢复措施</w:t>
            </w:r>
          </w:p>
          <w:p w14:paraId="44F2E7F5">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施工过程应加强施工管理，尽量缩小施工范围，施工活动应严格控制在施工区域内，将临时占地面积控制在最低限度，尽可能的不破坏原有的地表植被，以免造成植被大面积破坏。</w:t>
            </w:r>
          </w:p>
          <w:p w14:paraId="03B0FC0F">
            <w:pPr>
              <w:keepNext w:val="0"/>
              <w:keepLines w:val="0"/>
              <w:pageBreakBefore w:val="0"/>
              <w:shd w:val="clear"/>
              <w:kinsoku/>
              <w:wordWrap/>
              <w:overflowPunct/>
              <w:topLinePunct w:val="0"/>
              <w:autoSpaceDE/>
              <w:autoSpaceDN/>
              <w:bidi w:val="0"/>
              <w:spacing w:afterAutospacing="0" w:line="360" w:lineRule="auto"/>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单位在施工过程中应严格控制施工作业区面积，以减少土壤扰动，减少裸地和土方暴露面积；现场施工作业机械应严格管理，划定活动范围，不得在道路、施工场地以外的地方行驶和作业；表土单独堆放，用于施工期结束后植被恢复；施工结束后，临时占地应进行植被恢复工作，凡受到施工车辆、施工机械破坏的地方均需要进行土地平整，生态恢复</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6D3E4EA4">
            <w:pPr>
              <w:widowControl w:val="0"/>
              <w:shd w:val="clear"/>
              <w:autoSpaceDE w:val="0"/>
              <w:autoSpaceDN w:val="0"/>
              <w:adjustRightInd w:val="0"/>
              <w:spacing w:beforeLines="10" w:afterLines="10" w:line="360" w:lineRule="auto"/>
              <w:ind w:firstLine="480" w:firstLineChars="200"/>
              <w:jc w:val="left"/>
              <w:rPr>
                <w:rFonts w:hint="eastAsia" w:ascii="宋体" w:hAnsi="宋体"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施工过程采取上述措施后，不会对区域生态环境产生影响，不会对区域土地沙化产生影响。项目建成后，通过采取厂区硬化、绿化，可一定程度上防止区域水土流失。</w:t>
            </w:r>
          </w:p>
          <w:p w14:paraId="0973B8C9">
            <w:pPr>
              <w:keepNext w:val="0"/>
              <w:keepLines w:val="0"/>
              <w:pageBreakBefore w:val="0"/>
              <w:shd w:val="clear"/>
              <w:kinsoku/>
              <w:wordWrap/>
              <w:overflowPunct/>
              <w:topLinePunct w:val="0"/>
              <w:autoSpaceDE/>
              <w:autoSpaceDN/>
              <w:bidi w:val="0"/>
              <w:adjustRightInd/>
              <w:snapToGrid/>
              <w:spacing w:line="480" w:lineRule="exact"/>
              <w:ind w:left="0" w:leftChars="0" w:right="0" w:rightChars="0"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综上所述，以上施工影响均为短期影响，将会随施工期的结束而消除，落实上述防治措施后对周围环境的影响可接受</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5DDC210D">
            <w:pPr>
              <w:keepNext w:val="0"/>
              <w:keepLines w:val="0"/>
              <w:pageBreakBefore w:val="0"/>
              <w:shd w:val="clear"/>
              <w:kinsoku/>
              <w:wordWrap/>
              <w:overflowPunct/>
              <w:topLinePunct w:val="0"/>
              <w:autoSpaceDE/>
              <w:autoSpaceDN/>
              <w:bidi w:val="0"/>
              <w:adjustRightInd/>
              <w:snapToGrid/>
              <w:spacing w:line="480" w:lineRule="exact"/>
              <w:ind w:left="0" w:leftChars="0" w:right="0" w:rightChars="0"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p>
        </w:tc>
      </w:tr>
    </w:tbl>
    <w:p w14:paraId="76A2376E">
      <w:pPr>
        <w:shd w:val="clear"/>
        <w:rPr>
          <w:rFonts w:hint="default" w:ascii="Times New Roman" w:hAnsi="Times New Roman" w:cs="Times New Roman"/>
          <w:color w:val="000000" w:themeColor="text1"/>
          <w:highlight w:val="none"/>
          <w14:textFill>
            <w14:solidFill>
              <w14:schemeClr w14:val="tx1"/>
            </w14:solidFill>
          </w14:textFill>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13923" w:type="dxa"/>
        <w:jc w:val="center"/>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739"/>
        <w:gridCol w:w="13184"/>
      </w:tblGrid>
      <w:tr w14:paraId="53903B95">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PrEx>
        <w:trPr>
          <w:trHeight w:val="9114" w:hRule="atLeast"/>
          <w:jc w:val="center"/>
        </w:trPr>
        <w:tc>
          <w:tcPr>
            <w:tcW w:w="739" w:type="dxa"/>
            <w:tcBorders>
              <w:tl2br w:val="nil"/>
              <w:tr2bl w:val="nil"/>
            </w:tcBorders>
            <w:noWrap w:val="0"/>
            <w:vAlign w:val="center"/>
          </w:tcPr>
          <w:p w14:paraId="7A2777DF">
            <w:pPr>
              <w:keepNext w:val="0"/>
              <w:keepLines w:val="0"/>
              <w:pageBreakBefore w:val="0"/>
              <w:widowControl w:val="0"/>
              <w:shd w:val="clear"/>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outlineLvl w:val="9"/>
              <w:rPr>
                <w:rFonts w:hint="default" w:ascii="Times New Roman" w:hAnsi="Times New Roman" w:cs="Times New Roman"/>
                <w:color w:val="000000" w:themeColor="text1"/>
                <w:highlight w:val="none"/>
                <w:vertAlign w:val="baseline"/>
                <w14:textFill>
                  <w14:solidFill>
                    <w14:schemeClr w14:val="tx1"/>
                  </w14:solidFill>
                </w14:textFill>
              </w:rPr>
            </w:pPr>
            <w:r>
              <w:rPr>
                <w:rFonts w:hint="default" w:ascii="Times New Roman" w:hAnsi="Times New Roman" w:eastAsia="宋体" w:cs="Times New Roman"/>
                <w:bCs/>
                <w:color w:val="000000" w:themeColor="text1"/>
                <w:sz w:val="24"/>
                <w:szCs w:val="24"/>
                <w:highlight w:val="none"/>
                <w14:textFill>
                  <w14:solidFill>
                    <w14:schemeClr w14:val="tx1"/>
                  </w14:solidFill>
                </w14:textFill>
              </w:rPr>
              <w:t>运营期环境影响和保护措施</w:t>
            </w:r>
          </w:p>
        </w:tc>
        <w:tc>
          <w:tcPr>
            <w:tcW w:w="13184" w:type="dxa"/>
            <w:tcBorders>
              <w:tl2br w:val="nil"/>
              <w:tr2bl w:val="nil"/>
            </w:tcBorders>
            <w:noWrap w:val="0"/>
            <w:vAlign w:val="top"/>
          </w:tcPr>
          <w:p w14:paraId="599668B5">
            <w:pPr>
              <w:keepNext w:val="0"/>
              <w:keepLines w:val="0"/>
              <w:pageBreakBefore w:val="0"/>
              <w:widowControl w:val="0"/>
              <w:shd w:val="clear"/>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b/>
                <w:bCs w:val="0"/>
                <w:smallCaps w:val="0"/>
                <w:color w:val="000000" w:themeColor="text1"/>
                <w:spacing w:val="0"/>
                <w:position w:val="0"/>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smallCaps w:val="0"/>
                <w:color w:val="000000" w:themeColor="text1"/>
                <w:spacing w:val="0"/>
                <w:position w:val="0"/>
                <w:sz w:val="24"/>
                <w:szCs w:val="24"/>
                <w:highlight w:val="none"/>
                <w:lang w:val="en-US" w:eastAsia="zh-CN"/>
                <w14:textFill>
                  <w14:solidFill>
                    <w14:schemeClr w14:val="tx1"/>
                  </w14:solidFill>
                </w14:textFill>
              </w:rPr>
              <w:t>1</w:t>
            </w:r>
            <w:r>
              <w:rPr>
                <w:rFonts w:hint="eastAsia" w:cs="Times New Roman"/>
                <w:b/>
                <w:bCs w:val="0"/>
                <w:smallCaps w:val="0"/>
                <w:color w:val="000000" w:themeColor="text1"/>
                <w:spacing w:val="0"/>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b/>
                <w:bCs w:val="0"/>
                <w:smallCaps w:val="0"/>
                <w:color w:val="000000" w:themeColor="text1"/>
                <w:spacing w:val="0"/>
                <w:position w:val="0"/>
                <w:sz w:val="24"/>
                <w:szCs w:val="24"/>
                <w:highlight w:val="none"/>
                <w:lang w:val="en-US" w:eastAsia="zh-CN"/>
                <w14:textFill>
                  <w14:solidFill>
                    <w14:schemeClr w14:val="tx1"/>
                  </w14:solidFill>
                </w14:textFill>
              </w:rPr>
              <w:t>废气</w:t>
            </w:r>
          </w:p>
          <w:p w14:paraId="3826C65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本项目废气污染源主要为不合格矿石原料装卸、堆存过程产生的废气；上料过程产生的废气；颚式破碎机上料、破碎、落料过程产生的废气；圆锥破碎机上料、破碎、落料过程产生的废气；</w:t>
            </w:r>
            <w:r>
              <w:rPr>
                <w:rFonts w:hint="eastAsia" w:ascii="Times New Roman" w:hAnsi="Times New Roman" w:eastAsia="宋体" w:cs="Times New Roman"/>
                <w:i w:val="0"/>
                <w:iCs w:val="0"/>
                <w:caps w:val="0"/>
                <w:color w:val="000000" w:themeColor="text1"/>
                <w:spacing w:val="0"/>
                <w:sz w:val="24"/>
                <w:szCs w:val="24"/>
                <w:highlight w:val="none"/>
                <w:lang w:eastAsia="zh-CN"/>
                <w14:textFill>
                  <w14:solidFill>
                    <w14:schemeClr w14:val="tx1"/>
                  </w14:solidFill>
                </w14:textFill>
              </w:rPr>
              <w:t>往复式摇筛</w:t>
            </w:r>
            <w:r>
              <w:rPr>
                <w:rFonts w:hint="eastAsia" w:ascii="Times New Roman" w:hAnsi="Times New Roman" w:cs="Times New Roman"/>
                <w:color w:val="000000" w:themeColor="text1"/>
                <w:highlight w:val="none"/>
                <w:lang w:val="en-US" w:eastAsia="zh-CN"/>
                <w14:textFill>
                  <w14:solidFill>
                    <w14:schemeClr w14:val="tx1"/>
                  </w14:solidFill>
                </w14:textFill>
              </w:rPr>
              <w:t>上料、筛分、落料过程产生的废气；合格矿石原料装卸、堆存过程产生的废气；土渣装卸、堆存过程产生的废气。</w:t>
            </w:r>
          </w:p>
          <w:p w14:paraId="6C6F063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smallCaps w:val="0"/>
                <w:color w:val="000000" w:themeColor="text1"/>
                <w:spacing w:val="0"/>
                <w:position w:val="0"/>
                <w:sz w:val="24"/>
                <w:szCs w:val="24"/>
                <w:highlight w:val="none"/>
                <w:lang w:val="en-US" w:eastAsia="zh-CN"/>
                <w14:textFill>
                  <w14:solidFill>
                    <w14:schemeClr w14:val="tx1"/>
                  </w14:solidFill>
                </w14:textFill>
              </w:rPr>
            </w:pPr>
            <w:r>
              <w:rPr>
                <w:rFonts w:hint="default" w:ascii="Times New Roman" w:hAnsi="Times New Roman" w:cs="Times New Roman"/>
                <w:smallCaps w:val="0"/>
                <w:color w:val="000000" w:themeColor="text1"/>
                <w:spacing w:val="0"/>
                <w:position w:val="0"/>
                <w:sz w:val="24"/>
                <w:szCs w:val="24"/>
                <w:highlight w:val="none"/>
                <w:lang w:val="en-US" w:eastAsia="zh-CN"/>
                <w14:textFill>
                  <w14:solidFill>
                    <w14:schemeClr w14:val="tx1"/>
                  </w14:solidFill>
                </w14:textFill>
              </w:rPr>
              <w:t>废气源强及治理措施情况见下表。</w:t>
            </w:r>
          </w:p>
          <w:p w14:paraId="018B98B1">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废气源强、治理措施及排放情况一览表</w:t>
            </w:r>
          </w:p>
          <w:tbl>
            <w:tblPr>
              <w:tblStyle w:val="32"/>
              <w:tblW w:w="12614"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Layout w:type="fixed"/>
              <w:tblCellMar>
                <w:top w:w="0" w:type="dxa"/>
                <w:left w:w="108" w:type="dxa"/>
                <w:bottom w:w="0" w:type="dxa"/>
                <w:right w:w="108" w:type="dxa"/>
              </w:tblCellMar>
            </w:tblPr>
            <w:tblGrid>
              <w:gridCol w:w="466"/>
              <w:gridCol w:w="462"/>
              <w:gridCol w:w="593"/>
              <w:gridCol w:w="690"/>
              <w:gridCol w:w="555"/>
              <w:gridCol w:w="690"/>
              <w:gridCol w:w="975"/>
              <w:gridCol w:w="480"/>
              <w:gridCol w:w="2788"/>
              <w:gridCol w:w="572"/>
              <w:gridCol w:w="660"/>
              <w:gridCol w:w="615"/>
              <w:gridCol w:w="975"/>
              <w:gridCol w:w="870"/>
              <w:gridCol w:w="705"/>
              <w:gridCol w:w="518"/>
            </w:tblGrid>
            <w:tr w14:paraId="27F137D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388" w:hRule="atLeast"/>
                <w:jc w:val="center"/>
              </w:trPr>
              <w:tc>
                <w:tcPr>
                  <w:tcW w:w="466" w:type="dxa"/>
                  <w:vMerge w:val="restart"/>
                  <w:tcBorders>
                    <w:tl2br w:val="nil"/>
                    <w:tr2bl w:val="nil"/>
                  </w:tcBorders>
                  <w:shd w:val="clear" w:color="auto" w:fill="auto"/>
                  <w:vAlign w:val="center"/>
                </w:tcPr>
                <w:p w14:paraId="082FC0D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项目</w:t>
                  </w:r>
                </w:p>
              </w:tc>
              <w:tc>
                <w:tcPr>
                  <w:tcW w:w="462" w:type="dxa"/>
                  <w:vMerge w:val="restart"/>
                  <w:tcBorders>
                    <w:tl2br w:val="nil"/>
                    <w:tr2bl w:val="nil"/>
                  </w:tcBorders>
                  <w:shd w:val="clear" w:color="auto" w:fill="auto"/>
                  <w:vAlign w:val="center"/>
                </w:tcPr>
                <w:p w14:paraId="1D751F4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排放形式</w:t>
                  </w:r>
                </w:p>
              </w:tc>
              <w:tc>
                <w:tcPr>
                  <w:tcW w:w="1283" w:type="dxa"/>
                  <w:gridSpan w:val="2"/>
                  <w:vMerge w:val="restart"/>
                  <w:tcBorders>
                    <w:tl2br w:val="nil"/>
                    <w:tr2bl w:val="nil"/>
                  </w:tcBorders>
                  <w:shd w:val="clear" w:color="auto" w:fill="auto"/>
                  <w:vAlign w:val="center"/>
                </w:tcPr>
                <w:p w14:paraId="7E8F8B6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产污</w:t>
                  </w:r>
                </w:p>
                <w:p w14:paraId="13C9B6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环节</w:t>
                  </w:r>
                </w:p>
              </w:tc>
              <w:tc>
                <w:tcPr>
                  <w:tcW w:w="555" w:type="dxa"/>
                  <w:vMerge w:val="restart"/>
                  <w:tcBorders>
                    <w:tl2br w:val="nil"/>
                    <w:tr2bl w:val="nil"/>
                  </w:tcBorders>
                  <w:shd w:val="clear" w:color="auto" w:fill="auto"/>
                  <w:vAlign w:val="center"/>
                </w:tcPr>
                <w:p w14:paraId="3B025D3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污染物种类</w:t>
                  </w:r>
                </w:p>
              </w:tc>
              <w:tc>
                <w:tcPr>
                  <w:tcW w:w="1665" w:type="dxa"/>
                  <w:gridSpan w:val="2"/>
                  <w:tcBorders>
                    <w:tl2br w:val="nil"/>
                    <w:tr2bl w:val="nil"/>
                  </w:tcBorders>
                  <w:shd w:val="clear" w:color="auto" w:fill="auto"/>
                  <w:vAlign w:val="center"/>
                </w:tcPr>
                <w:p w14:paraId="694D695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污染物产生情况</w:t>
                  </w:r>
                </w:p>
              </w:tc>
              <w:tc>
                <w:tcPr>
                  <w:tcW w:w="480" w:type="dxa"/>
                  <w:vMerge w:val="restart"/>
                  <w:tcBorders>
                    <w:tl2br w:val="nil"/>
                    <w:tr2bl w:val="nil"/>
                  </w:tcBorders>
                  <w:shd w:val="clear" w:color="auto" w:fill="auto"/>
                  <w:vAlign w:val="center"/>
                </w:tcPr>
                <w:p w14:paraId="3A5239C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收集效率</w:t>
                  </w:r>
                </w:p>
              </w:tc>
              <w:tc>
                <w:tcPr>
                  <w:tcW w:w="3360" w:type="dxa"/>
                  <w:gridSpan w:val="2"/>
                  <w:vMerge w:val="restart"/>
                  <w:tcBorders>
                    <w:tl2br w:val="nil"/>
                    <w:tr2bl w:val="nil"/>
                  </w:tcBorders>
                  <w:shd w:val="clear" w:color="auto" w:fill="auto"/>
                  <w:vAlign w:val="center"/>
                </w:tcPr>
                <w:p w14:paraId="1126541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治理设施</w:t>
                  </w:r>
                </w:p>
              </w:tc>
              <w:tc>
                <w:tcPr>
                  <w:tcW w:w="660" w:type="dxa"/>
                  <w:vMerge w:val="restart"/>
                  <w:tcBorders>
                    <w:tl2br w:val="nil"/>
                    <w:tr2bl w:val="nil"/>
                  </w:tcBorders>
                  <w:shd w:val="clear" w:color="auto" w:fill="auto"/>
                  <w:vAlign w:val="center"/>
                </w:tcPr>
                <w:p w14:paraId="63BAE4A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治理工艺去除率</w:t>
                  </w:r>
                </w:p>
              </w:tc>
              <w:tc>
                <w:tcPr>
                  <w:tcW w:w="615" w:type="dxa"/>
                  <w:vMerge w:val="restart"/>
                  <w:tcBorders>
                    <w:tl2br w:val="nil"/>
                    <w:tr2bl w:val="nil"/>
                  </w:tcBorders>
                  <w:shd w:val="clear" w:color="auto" w:fill="auto"/>
                  <w:vAlign w:val="center"/>
                </w:tcPr>
                <w:p w14:paraId="4E7F4A1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是否为可行性技术</w:t>
                  </w:r>
                </w:p>
              </w:tc>
              <w:tc>
                <w:tcPr>
                  <w:tcW w:w="2550" w:type="dxa"/>
                  <w:gridSpan w:val="3"/>
                  <w:tcBorders>
                    <w:tl2br w:val="nil"/>
                    <w:tr2bl w:val="nil"/>
                  </w:tcBorders>
                  <w:shd w:val="clear" w:color="auto" w:fill="auto"/>
                  <w:vAlign w:val="center"/>
                </w:tcPr>
                <w:p w14:paraId="2F21D19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污染物排放情况</w:t>
                  </w:r>
                </w:p>
              </w:tc>
              <w:tc>
                <w:tcPr>
                  <w:tcW w:w="518" w:type="dxa"/>
                  <w:vMerge w:val="restart"/>
                  <w:tcBorders>
                    <w:tl2br w:val="nil"/>
                    <w:tr2bl w:val="nil"/>
                  </w:tcBorders>
                  <w:shd w:val="clear" w:color="auto" w:fill="auto"/>
                  <w:vAlign w:val="center"/>
                </w:tcPr>
                <w:p w14:paraId="7D5BE75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排放口编号</w:t>
                  </w:r>
                </w:p>
              </w:tc>
            </w:tr>
            <w:tr w14:paraId="718AE14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95" w:hRule="atLeast"/>
                <w:jc w:val="center"/>
              </w:trPr>
              <w:tc>
                <w:tcPr>
                  <w:tcW w:w="466" w:type="dxa"/>
                  <w:vMerge w:val="continue"/>
                  <w:tcBorders>
                    <w:tl2br w:val="nil"/>
                    <w:tr2bl w:val="nil"/>
                  </w:tcBorders>
                  <w:shd w:val="clear" w:color="auto" w:fill="auto"/>
                  <w:vAlign w:val="center"/>
                </w:tcPr>
                <w:p w14:paraId="4EF6DEC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vMerge w:val="continue"/>
                  <w:tcBorders>
                    <w:tl2br w:val="nil"/>
                    <w:tr2bl w:val="nil"/>
                  </w:tcBorders>
                  <w:shd w:val="clear" w:color="auto" w:fill="auto"/>
                  <w:vAlign w:val="center"/>
                </w:tcPr>
                <w:p w14:paraId="40FE3D9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1283" w:type="dxa"/>
                  <w:gridSpan w:val="2"/>
                  <w:vMerge w:val="continue"/>
                  <w:tcBorders>
                    <w:tl2br w:val="nil"/>
                    <w:tr2bl w:val="nil"/>
                  </w:tcBorders>
                  <w:shd w:val="clear" w:color="auto" w:fill="auto"/>
                  <w:vAlign w:val="center"/>
                </w:tcPr>
                <w:p w14:paraId="724D822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55" w:type="dxa"/>
                  <w:vMerge w:val="continue"/>
                  <w:tcBorders>
                    <w:tl2br w:val="nil"/>
                    <w:tr2bl w:val="nil"/>
                  </w:tcBorders>
                  <w:shd w:val="clear" w:color="auto" w:fill="auto"/>
                  <w:vAlign w:val="center"/>
                </w:tcPr>
                <w:p w14:paraId="55B8555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tcBorders>
                    <w:tl2br w:val="nil"/>
                    <w:tr2bl w:val="nil"/>
                  </w:tcBorders>
                  <w:shd w:val="clear" w:color="auto" w:fill="auto"/>
                  <w:vAlign w:val="center"/>
                </w:tcPr>
                <w:p w14:paraId="2DA5AA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产生量（t/a）</w:t>
                  </w:r>
                </w:p>
              </w:tc>
              <w:tc>
                <w:tcPr>
                  <w:tcW w:w="975" w:type="dxa"/>
                  <w:tcBorders>
                    <w:tl2br w:val="nil"/>
                    <w:tr2bl w:val="nil"/>
                  </w:tcBorders>
                  <w:shd w:val="clear" w:color="auto" w:fill="auto"/>
                  <w:vAlign w:val="center"/>
                </w:tcPr>
                <w:p w14:paraId="6CC3F4C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产生浓度（mg/m</w:t>
                  </w:r>
                  <w:r>
                    <w:rPr>
                      <w:rFonts w:hint="default" w:ascii="Times New Roman" w:hAnsi="Times New Roman" w:eastAsia="宋体" w:cs="Times New Roman"/>
                      <w:i w:val="0"/>
                      <w:iCs w:val="0"/>
                      <w:color w:val="000000" w:themeColor="text1"/>
                      <w:kern w:val="0"/>
                      <w:sz w:val="18"/>
                      <w:szCs w:val="18"/>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w:t>
                  </w:r>
                </w:p>
              </w:tc>
              <w:tc>
                <w:tcPr>
                  <w:tcW w:w="480" w:type="dxa"/>
                  <w:vMerge w:val="continue"/>
                  <w:tcBorders>
                    <w:tl2br w:val="nil"/>
                    <w:tr2bl w:val="nil"/>
                  </w:tcBorders>
                  <w:shd w:val="clear" w:color="auto" w:fill="auto"/>
                  <w:vAlign w:val="center"/>
                </w:tcPr>
                <w:p w14:paraId="6F62464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3360" w:type="dxa"/>
                  <w:gridSpan w:val="2"/>
                  <w:vMerge w:val="continue"/>
                  <w:tcBorders>
                    <w:tl2br w:val="nil"/>
                    <w:tr2bl w:val="nil"/>
                  </w:tcBorders>
                  <w:shd w:val="clear" w:color="auto" w:fill="auto"/>
                  <w:vAlign w:val="center"/>
                </w:tcPr>
                <w:p w14:paraId="1622D7E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60" w:type="dxa"/>
                  <w:vMerge w:val="continue"/>
                  <w:tcBorders>
                    <w:tl2br w:val="nil"/>
                    <w:tr2bl w:val="nil"/>
                  </w:tcBorders>
                  <w:shd w:val="clear" w:color="auto" w:fill="auto"/>
                  <w:vAlign w:val="center"/>
                </w:tcPr>
                <w:p w14:paraId="2ADB87E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15" w:type="dxa"/>
                  <w:vMerge w:val="continue"/>
                  <w:tcBorders>
                    <w:tl2br w:val="nil"/>
                    <w:tr2bl w:val="nil"/>
                  </w:tcBorders>
                  <w:shd w:val="clear" w:color="auto" w:fill="auto"/>
                  <w:vAlign w:val="center"/>
                </w:tcPr>
                <w:p w14:paraId="54B4A38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tcBorders>
                    <w:tl2br w:val="nil"/>
                    <w:tr2bl w:val="nil"/>
                  </w:tcBorders>
                  <w:shd w:val="clear" w:color="auto" w:fill="auto"/>
                  <w:vAlign w:val="center"/>
                </w:tcPr>
                <w:p w14:paraId="68F86D8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排放浓度（mg/m</w:t>
                  </w:r>
                  <w:r>
                    <w:rPr>
                      <w:rFonts w:hint="default" w:ascii="Times New Roman" w:hAnsi="Times New Roman" w:eastAsia="宋体" w:cs="Times New Roman"/>
                      <w:i w:val="0"/>
                      <w:iCs w:val="0"/>
                      <w:color w:val="000000" w:themeColor="text1"/>
                      <w:kern w:val="0"/>
                      <w:sz w:val="18"/>
                      <w:szCs w:val="18"/>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w:t>
                  </w:r>
                </w:p>
              </w:tc>
              <w:tc>
                <w:tcPr>
                  <w:tcW w:w="870" w:type="dxa"/>
                  <w:tcBorders>
                    <w:tl2br w:val="nil"/>
                    <w:tr2bl w:val="nil"/>
                  </w:tcBorders>
                  <w:shd w:val="clear" w:color="auto" w:fill="auto"/>
                  <w:vAlign w:val="center"/>
                </w:tcPr>
                <w:p w14:paraId="5298D26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排放速率（kg/h）</w:t>
                  </w:r>
                </w:p>
              </w:tc>
              <w:tc>
                <w:tcPr>
                  <w:tcW w:w="705" w:type="dxa"/>
                  <w:tcBorders>
                    <w:tl2br w:val="nil"/>
                    <w:tr2bl w:val="nil"/>
                  </w:tcBorders>
                  <w:shd w:val="clear" w:color="auto" w:fill="auto"/>
                  <w:vAlign w:val="center"/>
                </w:tcPr>
                <w:p w14:paraId="5F0FC21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排放量（t/a）</w:t>
                  </w:r>
                </w:p>
              </w:tc>
              <w:tc>
                <w:tcPr>
                  <w:tcW w:w="518" w:type="dxa"/>
                  <w:vMerge w:val="continue"/>
                  <w:tcBorders>
                    <w:tl2br w:val="nil"/>
                    <w:tr2bl w:val="nil"/>
                  </w:tcBorders>
                  <w:shd w:val="clear" w:color="auto" w:fill="auto"/>
                  <w:vAlign w:val="center"/>
                </w:tcPr>
                <w:p w14:paraId="22C845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r>
            <w:tr w14:paraId="35C8E543">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95" w:hRule="atLeast"/>
                <w:jc w:val="center"/>
              </w:trPr>
              <w:tc>
                <w:tcPr>
                  <w:tcW w:w="466" w:type="dxa"/>
                  <w:vMerge w:val="restart"/>
                  <w:tcBorders>
                    <w:tl2br w:val="nil"/>
                    <w:tr2bl w:val="nil"/>
                  </w:tcBorders>
                  <w:shd w:val="clear" w:color="auto" w:fill="auto"/>
                  <w:vAlign w:val="center"/>
                </w:tcPr>
                <w:p w14:paraId="7555FE3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废气</w:t>
                  </w:r>
                </w:p>
              </w:tc>
              <w:tc>
                <w:tcPr>
                  <w:tcW w:w="462" w:type="dxa"/>
                  <w:vMerge w:val="restart"/>
                  <w:tcBorders>
                    <w:tl2br w:val="nil"/>
                    <w:tr2bl w:val="nil"/>
                  </w:tcBorders>
                  <w:shd w:val="clear" w:color="auto" w:fill="auto"/>
                  <w:vAlign w:val="center"/>
                </w:tcPr>
                <w:p w14:paraId="1E0A669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有组织</w:t>
                  </w:r>
                </w:p>
              </w:tc>
              <w:tc>
                <w:tcPr>
                  <w:tcW w:w="1283" w:type="dxa"/>
                  <w:gridSpan w:val="2"/>
                  <w:tcBorders>
                    <w:tl2br w:val="nil"/>
                    <w:tr2bl w:val="nil"/>
                  </w:tcBorders>
                  <w:shd w:val="clear" w:color="auto" w:fill="auto"/>
                  <w:vAlign w:val="center"/>
                </w:tcPr>
                <w:p w14:paraId="096EC46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不合格矿石原料上料过程</w:t>
                  </w:r>
                </w:p>
              </w:tc>
              <w:tc>
                <w:tcPr>
                  <w:tcW w:w="555" w:type="dxa"/>
                  <w:vMerge w:val="restart"/>
                  <w:tcBorders>
                    <w:tl2br w:val="nil"/>
                    <w:tr2bl w:val="nil"/>
                  </w:tcBorders>
                  <w:shd w:val="clear" w:color="auto" w:fill="auto"/>
                  <w:vAlign w:val="center"/>
                </w:tcPr>
                <w:p w14:paraId="7A376A6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颗粒物</w:t>
                  </w:r>
                </w:p>
              </w:tc>
              <w:tc>
                <w:tcPr>
                  <w:tcW w:w="690" w:type="dxa"/>
                  <w:vMerge w:val="restart"/>
                  <w:tcBorders>
                    <w:tl2br w:val="nil"/>
                    <w:tr2bl w:val="nil"/>
                  </w:tcBorders>
                  <w:shd w:val="clear" w:color="auto" w:fill="auto"/>
                  <w:vAlign w:val="center"/>
                </w:tcPr>
                <w:p w14:paraId="37F6E4A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170.1</w:t>
                  </w:r>
                </w:p>
              </w:tc>
              <w:tc>
                <w:tcPr>
                  <w:tcW w:w="975" w:type="dxa"/>
                  <w:vMerge w:val="restart"/>
                  <w:tcBorders>
                    <w:tl2br w:val="nil"/>
                    <w:tr2bl w:val="nil"/>
                  </w:tcBorders>
                  <w:shd w:val="clear" w:color="auto" w:fill="auto"/>
                  <w:vAlign w:val="center"/>
                </w:tcPr>
                <w:p w14:paraId="0C61DD3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1596.00</w:t>
                  </w:r>
                </w:p>
              </w:tc>
              <w:tc>
                <w:tcPr>
                  <w:tcW w:w="480" w:type="dxa"/>
                  <w:vMerge w:val="restart"/>
                  <w:tcBorders>
                    <w:tl2br w:val="nil"/>
                    <w:tr2bl w:val="nil"/>
                  </w:tcBorders>
                  <w:shd w:val="clear" w:color="auto" w:fill="auto"/>
                  <w:vAlign w:val="center"/>
                </w:tcPr>
                <w:p w14:paraId="1609C11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95%</w:t>
                  </w:r>
                </w:p>
              </w:tc>
              <w:tc>
                <w:tcPr>
                  <w:tcW w:w="2788" w:type="dxa"/>
                  <w:tcBorders>
                    <w:tl2br w:val="nil"/>
                    <w:tr2bl w:val="nil"/>
                  </w:tcBorders>
                  <w:shd w:val="clear" w:color="auto" w:fill="auto"/>
                  <w:vAlign w:val="center"/>
                </w:tcPr>
                <w:p w14:paraId="3BFFB9B6">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上料</w:t>
                  </w: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仓</w:t>
                  </w:r>
                  <w:r>
                    <w:rPr>
                      <w:rFonts w:hint="default"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三面及顶部围挡，</w:t>
                  </w: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入料口上</w:t>
                  </w:r>
                  <w:r>
                    <w:rPr>
                      <w:rFonts w:hint="default"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面设置软帘</w:t>
                  </w: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（软帘下高度1.5m）</w:t>
                  </w:r>
                  <w:r>
                    <w:rPr>
                      <w:rFonts w:hint="default"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w:t>
                  </w: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入料口下方用彩钢板封闭，顶部设置集气管</w:t>
                  </w:r>
                  <w:r>
                    <w:rPr>
                      <w:rFonts w:hint="eastAsia" w:cs="Times New Roman"/>
                      <w:b w:val="0"/>
                      <w:bCs w:val="0"/>
                      <w:strike/>
                      <w:dstrike w:val="0"/>
                      <w:snapToGrid w:val="0"/>
                      <w:color w:val="000000" w:themeColor="text1"/>
                      <w:kern w:val="0"/>
                      <w:sz w:val="18"/>
                      <w:szCs w:val="18"/>
                      <w:highlight w:val="none"/>
                      <w:vertAlign w:val="baseline"/>
                      <w:lang w:val="en-US" w:eastAsia="zh-CN" w:bidi="ar-SA"/>
                      <w14:textFill>
                        <w14:solidFill>
                          <w14:schemeClr w14:val="tx1"/>
                        </w14:solidFill>
                      </w14:textFill>
                    </w:rPr>
                    <w:t>罩</w:t>
                  </w: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；设置伞状喷雾抑尘装置，喷雾抑尘装置范围应覆盖整个落料点（电伴热）</w:t>
                  </w:r>
                </w:p>
              </w:tc>
              <w:tc>
                <w:tcPr>
                  <w:tcW w:w="572" w:type="dxa"/>
                  <w:vMerge w:val="restart"/>
                  <w:tcBorders>
                    <w:tl2br w:val="nil"/>
                    <w:tr2bl w:val="nil"/>
                  </w:tcBorders>
                  <w:shd w:val="clear" w:color="auto" w:fill="auto"/>
                  <w:vAlign w:val="center"/>
                </w:tcPr>
                <w:p w14:paraId="35FB592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imes New Roman" w:hAnsi="Times New Roman" w:cs="Times New Roman"/>
                      <w:bCs/>
                      <w:snapToGrid w:val="0"/>
                      <w:color w:val="000000" w:themeColor="text1"/>
                      <w:kern w:val="24"/>
                      <w:sz w:val="18"/>
                      <w:szCs w:val="18"/>
                      <w:highlight w:val="none"/>
                      <w:lang w:val="en-US" w:eastAsia="zh-CN"/>
                      <w14:textFill>
                        <w14:solidFill>
                          <w14:schemeClr w14:val="tx1"/>
                        </w14:solidFill>
                      </w14:textFill>
                    </w:rPr>
                    <w:t>1套</w:t>
                  </w:r>
                  <w:r>
                    <w:rPr>
                      <w:rFonts w:hint="default" w:ascii="Times New Roman" w:hAnsi="Times New Roman" w:cs="Times New Roman"/>
                      <w:bCs/>
                      <w:snapToGrid w:val="0"/>
                      <w:color w:val="000000" w:themeColor="text1"/>
                      <w:kern w:val="24"/>
                      <w:sz w:val="18"/>
                      <w:szCs w:val="18"/>
                      <w:highlight w:val="none"/>
                      <w:lang w:val="en-US" w:eastAsia="zh-CN"/>
                      <w14:textFill>
                        <w14:solidFill>
                          <w14:schemeClr w14:val="tx1"/>
                        </w14:solidFill>
                      </w14:textFill>
                    </w:rPr>
                    <w:t>脉冲布袋除尘器</w:t>
                  </w: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+15</w:t>
                  </w:r>
                  <w:r>
                    <w:rPr>
                      <w:rFonts w:hint="eastAsia" w:cs="宋体"/>
                      <w:color w:val="000000" w:themeColor="text1"/>
                      <w:sz w:val="18"/>
                      <w:szCs w:val="18"/>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排气筒（DA002），</w:t>
                  </w:r>
                  <w:r>
                    <w:rPr>
                      <w:rFonts w:hint="eastAsia" w:cs="宋体"/>
                      <w:color w:val="000000" w:themeColor="text1"/>
                      <w:sz w:val="18"/>
                      <w:szCs w:val="18"/>
                      <w:highlight w:val="none"/>
                      <w:lang w:eastAsia="zh-CN"/>
                      <w14:textFill>
                        <w14:solidFill>
                          <w14:schemeClr w14:val="tx1"/>
                        </w14:solidFill>
                      </w14:textFill>
                    </w:rPr>
                    <w:t>风机风量</w:t>
                  </w:r>
                  <w:r>
                    <w:rPr>
                      <w:rFonts w:hint="eastAsia" w:cs="宋体"/>
                      <w:color w:val="000000" w:themeColor="text1"/>
                      <w:sz w:val="18"/>
                      <w:szCs w:val="18"/>
                      <w:highlight w:val="none"/>
                      <w:lang w:val="en-US" w:eastAsia="zh-CN"/>
                      <w14:textFill>
                        <w14:solidFill>
                          <w14:schemeClr w14:val="tx1"/>
                        </w14:solidFill>
                      </w14:textFill>
                    </w:rPr>
                    <w:t>45000m</w:t>
                  </w:r>
                  <w:r>
                    <w:rPr>
                      <w:rFonts w:hint="eastAsia" w:cs="宋体"/>
                      <w:color w:val="000000" w:themeColor="text1"/>
                      <w:sz w:val="18"/>
                      <w:szCs w:val="18"/>
                      <w:highlight w:val="none"/>
                      <w:vertAlign w:val="superscript"/>
                      <w:lang w:val="en-US" w:eastAsia="zh-CN"/>
                      <w14:textFill>
                        <w14:solidFill>
                          <w14:schemeClr w14:val="tx1"/>
                        </w14:solidFill>
                      </w14:textFill>
                    </w:rPr>
                    <w:t>3</w:t>
                  </w:r>
                  <w:r>
                    <w:rPr>
                      <w:rFonts w:hint="eastAsia" w:cs="宋体"/>
                      <w:color w:val="000000" w:themeColor="text1"/>
                      <w:sz w:val="18"/>
                      <w:szCs w:val="18"/>
                      <w:highlight w:val="none"/>
                      <w:lang w:val="en-US" w:eastAsia="zh-CN"/>
                      <w14:textFill>
                        <w14:solidFill>
                          <w14:schemeClr w14:val="tx1"/>
                        </w14:solidFill>
                      </w14:textFill>
                    </w:rPr>
                    <w:t>/h</w:t>
                  </w:r>
                </w:p>
              </w:tc>
              <w:tc>
                <w:tcPr>
                  <w:tcW w:w="660" w:type="dxa"/>
                  <w:vMerge w:val="restart"/>
                  <w:tcBorders>
                    <w:tl2br w:val="nil"/>
                    <w:tr2bl w:val="nil"/>
                  </w:tcBorders>
                  <w:shd w:val="clear" w:color="auto" w:fill="auto"/>
                  <w:vAlign w:val="center"/>
                </w:tcPr>
                <w:p w14:paraId="50D7810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99.50%</w:t>
                  </w:r>
                </w:p>
              </w:tc>
              <w:tc>
                <w:tcPr>
                  <w:tcW w:w="615" w:type="dxa"/>
                  <w:vMerge w:val="restart"/>
                  <w:tcBorders>
                    <w:tl2br w:val="nil"/>
                    <w:tr2bl w:val="nil"/>
                  </w:tcBorders>
                  <w:shd w:val="clear" w:color="auto" w:fill="auto"/>
                  <w:vAlign w:val="center"/>
                </w:tcPr>
                <w:p w14:paraId="6A12EA1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是</w:t>
                  </w:r>
                </w:p>
              </w:tc>
              <w:tc>
                <w:tcPr>
                  <w:tcW w:w="975" w:type="dxa"/>
                  <w:vMerge w:val="restart"/>
                  <w:tcBorders>
                    <w:tl2br w:val="nil"/>
                    <w:tr2bl w:val="nil"/>
                  </w:tcBorders>
                  <w:shd w:val="clear" w:color="auto" w:fill="auto"/>
                  <w:vAlign w:val="center"/>
                </w:tcPr>
                <w:p w14:paraId="4DBEF33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7.98</w:t>
                  </w:r>
                </w:p>
              </w:tc>
              <w:tc>
                <w:tcPr>
                  <w:tcW w:w="870" w:type="dxa"/>
                  <w:vMerge w:val="restart"/>
                  <w:tcBorders>
                    <w:tl2br w:val="nil"/>
                    <w:tr2bl w:val="nil"/>
                  </w:tcBorders>
                  <w:shd w:val="clear" w:color="auto" w:fill="auto"/>
                  <w:vAlign w:val="center"/>
                </w:tcPr>
                <w:p w14:paraId="170FFEC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0.359</w:t>
                  </w:r>
                </w:p>
              </w:tc>
              <w:tc>
                <w:tcPr>
                  <w:tcW w:w="705" w:type="dxa"/>
                  <w:vMerge w:val="restart"/>
                  <w:tcBorders>
                    <w:tl2br w:val="nil"/>
                    <w:tr2bl w:val="nil"/>
                  </w:tcBorders>
                  <w:shd w:val="clear" w:color="auto" w:fill="auto"/>
                  <w:vAlign w:val="center"/>
                </w:tcPr>
                <w:p w14:paraId="47A9A76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0.808</w:t>
                  </w:r>
                </w:p>
              </w:tc>
              <w:tc>
                <w:tcPr>
                  <w:tcW w:w="518" w:type="dxa"/>
                  <w:vMerge w:val="restart"/>
                  <w:tcBorders>
                    <w:tl2br w:val="nil"/>
                    <w:tr2bl w:val="nil"/>
                  </w:tcBorders>
                  <w:shd w:val="clear" w:color="auto" w:fill="auto"/>
                  <w:vAlign w:val="center"/>
                </w:tcPr>
                <w:p w14:paraId="6E75B6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DA002</w:t>
                  </w:r>
                </w:p>
              </w:tc>
            </w:tr>
            <w:tr w14:paraId="30CF510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523" w:hRule="atLeast"/>
                <w:jc w:val="center"/>
              </w:trPr>
              <w:tc>
                <w:tcPr>
                  <w:tcW w:w="466" w:type="dxa"/>
                  <w:vMerge w:val="continue"/>
                  <w:tcBorders>
                    <w:tl2br w:val="nil"/>
                    <w:tr2bl w:val="nil"/>
                  </w:tcBorders>
                  <w:shd w:val="clear" w:color="auto" w:fill="auto"/>
                  <w:vAlign w:val="center"/>
                </w:tcPr>
                <w:p w14:paraId="70E3069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vMerge w:val="continue"/>
                  <w:tcBorders>
                    <w:tl2br w:val="nil"/>
                    <w:tr2bl w:val="nil"/>
                  </w:tcBorders>
                  <w:shd w:val="clear" w:color="auto" w:fill="auto"/>
                  <w:vAlign w:val="center"/>
                </w:tcPr>
                <w:p w14:paraId="1DB487D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93" w:type="dxa"/>
                  <w:vMerge w:val="restart"/>
                  <w:tcBorders>
                    <w:tl2br w:val="nil"/>
                    <w:tr2bl w:val="nil"/>
                  </w:tcBorders>
                  <w:shd w:val="clear" w:color="auto" w:fill="auto"/>
                  <w:vAlign w:val="center"/>
                </w:tcPr>
                <w:p w14:paraId="5FB89CF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颚式破碎机</w:t>
                  </w:r>
                </w:p>
              </w:tc>
              <w:tc>
                <w:tcPr>
                  <w:tcW w:w="690" w:type="dxa"/>
                  <w:tcBorders>
                    <w:tl2br w:val="nil"/>
                    <w:tr2bl w:val="nil"/>
                  </w:tcBorders>
                  <w:shd w:val="clear" w:color="auto" w:fill="auto"/>
                  <w:vAlign w:val="center"/>
                </w:tcPr>
                <w:p w14:paraId="71CAFF7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上料、破碎</w:t>
                  </w:r>
                </w:p>
              </w:tc>
              <w:tc>
                <w:tcPr>
                  <w:tcW w:w="555" w:type="dxa"/>
                  <w:vMerge w:val="continue"/>
                  <w:tcBorders>
                    <w:tl2br w:val="nil"/>
                    <w:tr2bl w:val="nil"/>
                  </w:tcBorders>
                  <w:shd w:val="clear" w:color="auto" w:fill="auto"/>
                  <w:vAlign w:val="center"/>
                </w:tcPr>
                <w:p w14:paraId="45D536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vMerge w:val="continue"/>
                  <w:tcBorders>
                    <w:tl2br w:val="nil"/>
                    <w:tr2bl w:val="nil"/>
                  </w:tcBorders>
                  <w:shd w:val="clear" w:color="auto" w:fill="auto"/>
                  <w:vAlign w:val="center"/>
                </w:tcPr>
                <w:p w14:paraId="7A40B6A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4C34CB7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80" w:type="dxa"/>
                  <w:vMerge w:val="continue"/>
                  <w:tcBorders>
                    <w:tl2br w:val="nil"/>
                    <w:tr2bl w:val="nil"/>
                  </w:tcBorders>
                  <w:shd w:val="clear" w:color="auto" w:fill="auto"/>
                  <w:vAlign w:val="center"/>
                </w:tcPr>
                <w:p w14:paraId="2936074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2788" w:type="dxa"/>
                  <w:tcBorders>
                    <w:tl2br w:val="nil"/>
                    <w:tr2bl w:val="nil"/>
                  </w:tcBorders>
                  <w:shd w:val="clear" w:color="auto" w:fill="auto"/>
                  <w:vAlign w:val="center"/>
                </w:tcPr>
                <w:p w14:paraId="28ABF37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上料仓</w:t>
                  </w: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落料点以及</w:t>
                  </w:r>
                  <w:r>
                    <w:rPr>
                      <w:rFonts w:hint="default"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颚式破碎机入料口</w:t>
                  </w: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上方设置集气罩</w:t>
                  </w:r>
                </w:p>
              </w:tc>
              <w:tc>
                <w:tcPr>
                  <w:tcW w:w="572" w:type="dxa"/>
                  <w:vMerge w:val="continue"/>
                  <w:tcBorders>
                    <w:tl2br w:val="nil"/>
                    <w:tr2bl w:val="nil"/>
                  </w:tcBorders>
                  <w:shd w:val="clear" w:color="auto" w:fill="auto"/>
                  <w:vAlign w:val="center"/>
                </w:tcPr>
                <w:p w14:paraId="7218709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60" w:type="dxa"/>
                  <w:vMerge w:val="continue"/>
                  <w:tcBorders>
                    <w:tl2br w:val="nil"/>
                    <w:tr2bl w:val="nil"/>
                  </w:tcBorders>
                  <w:shd w:val="clear" w:color="auto" w:fill="auto"/>
                  <w:vAlign w:val="center"/>
                </w:tcPr>
                <w:p w14:paraId="14AE934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15" w:type="dxa"/>
                  <w:vMerge w:val="continue"/>
                  <w:tcBorders>
                    <w:tl2br w:val="nil"/>
                    <w:tr2bl w:val="nil"/>
                  </w:tcBorders>
                  <w:shd w:val="clear" w:color="auto" w:fill="auto"/>
                  <w:vAlign w:val="center"/>
                </w:tcPr>
                <w:p w14:paraId="47E13B5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0CD5D2C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870" w:type="dxa"/>
                  <w:vMerge w:val="continue"/>
                  <w:tcBorders>
                    <w:tl2br w:val="nil"/>
                    <w:tr2bl w:val="nil"/>
                  </w:tcBorders>
                  <w:shd w:val="clear" w:color="auto" w:fill="auto"/>
                  <w:vAlign w:val="center"/>
                </w:tcPr>
                <w:p w14:paraId="466E089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705" w:type="dxa"/>
                  <w:vMerge w:val="continue"/>
                  <w:tcBorders>
                    <w:tl2br w:val="nil"/>
                    <w:tr2bl w:val="nil"/>
                  </w:tcBorders>
                  <w:shd w:val="clear" w:color="auto" w:fill="auto"/>
                  <w:vAlign w:val="center"/>
                </w:tcPr>
                <w:p w14:paraId="5900197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18" w:type="dxa"/>
                  <w:vMerge w:val="continue"/>
                  <w:tcBorders>
                    <w:tl2br w:val="nil"/>
                    <w:tr2bl w:val="nil"/>
                  </w:tcBorders>
                  <w:shd w:val="clear" w:color="auto" w:fill="auto"/>
                  <w:vAlign w:val="center"/>
                </w:tcPr>
                <w:p w14:paraId="4A03DEC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r>
            <w:tr w14:paraId="1DA78DA6">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33" w:hRule="atLeast"/>
                <w:jc w:val="center"/>
              </w:trPr>
              <w:tc>
                <w:tcPr>
                  <w:tcW w:w="466" w:type="dxa"/>
                  <w:vMerge w:val="continue"/>
                  <w:tcBorders>
                    <w:tl2br w:val="nil"/>
                    <w:tr2bl w:val="nil"/>
                  </w:tcBorders>
                  <w:shd w:val="clear" w:color="auto" w:fill="auto"/>
                  <w:vAlign w:val="center"/>
                </w:tcPr>
                <w:p w14:paraId="3132003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vMerge w:val="continue"/>
                  <w:tcBorders>
                    <w:tl2br w:val="nil"/>
                    <w:tr2bl w:val="nil"/>
                  </w:tcBorders>
                  <w:shd w:val="clear" w:color="auto" w:fill="auto"/>
                  <w:vAlign w:val="center"/>
                </w:tcPr>
                <w:p w14:paraId="23F7D2E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93" w:type="dxa"/>
                  <w:vMerge w:val="continue"/>
                  <w:tcBorders>
                    <w:tl2br w:val="nil"/>
                    <w:tr2bl w:val="nil"/>
                  </w:tcBorders>
                  <w:shd w:val="clear" w:color="auto" w:fill="auto"/>
                  <w:vAlign w:val="center"/>
                </w:tcPr>
                <w:p w14:paraId="67BBBC0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tcBorders>
                    <w:tl2br w:val="nil"/>
                    <w:tr2bl w:val="nil"/>
                  </w:tcBorders>
                  <w:shd w:val="clear" w:color="auto" w:fill="auto"/>
                  <w:vAlign w:val="center"/>
                </w:tcPr>
                <w:p w14:paraId="275F68D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落料</w:t>
                  </w:r>
                </w:p>
              </w:tc>
              <w:tc>
                <w:tcPr>
                  <w:tcW w:w="555" w:type="dxa"/>
                  <w:vMerge w:val="continue"/>
                  <w:tcBorders>
                    <w:tl2br w:val="nil"/>
                    <w:tr2bl w:val="nil"/>
                  </w:tcBorders>
                  <w:shd w:val="clear" w:color="auto" w:fill="auto"/>
                  <w:vAlign w:val="center"/>
                </w:tcPr>
                <w:p w14:paraId="720F5DD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vMerge w:val="continue"/>
                  <w:tcBorders>
                    <w:tl2br w:val="nil"/>
                    <w:tr2bl w:val="nil"/>
                  </w:tcBorders>
                  <w:shd w:val="clear" w:color="auto" w:fill="auto"/>
                  <w:vAlign w:val="center"/>
                </w:tcPr>
                <w:p w14:paraId="4F73894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503C9E2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80" w:type="dxa"/>
                  <w:vMerge w:val="continue"/>
                  <w:tcBorders>
                    <w:tl2br w:val="nil"/>
                    <w:tr2bl w:val="nil"/>
                  </w:tcBorders>
                  <w:shd w:val="clear" w:color="auto" w:fill="auto"/>
                  <w:vAlign w:val="center"/>
                </w:tcPr>
                <w:p w14:paraId="5E1F439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2788" w:type="dxa"/>
                  <w:tcBorders>
                    <w:tl2br w:val="nil"/>
                    <w:tr2bl w:val="nil"/>
                  </w:tcBorders>
                  <w:shd w:val="clear" w:color="auto" w:fill="auto"/>
                  <w:vAlign w:val="center"/>
                </w:tcPr>
                <w:p w14:paraId="60824DD2">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物料落料处全封闭，落料点上方设置集气引风口</w:t>
                  </w:r>
                </w:p>
              </w:tc>
              <w:tc>
                <w:tcPr>
                  <w:tcW w:w="572" w:type="dxa"/>
                  <w:vMerge w:val="continue"/>
                  <w:tcBorders>
                    <w:tl2br w:val="nil"/>
                    <w:tr2bl w:val="nil"/>
                  </w:tcBorders>
                  <w:shd w:val="clear" w:color="auto" w:fill="auto"/>
                  <w:vAlign w:val="center"/>
                </w:tcPr>
                <w:p w14:paraId="642344D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60" w:type="dxa"/>
                  <w:vMerge w:val="continue"/>
                  <w:tcBorders>
                    <w:tl2br w:val="nil"/>
                    <w:tr2bl w:val="nil"/>
                  </w:tcBorders>
                  <w:shd w:val="clear" w:color="auto" w:fill="auto"/>
                  <w:vAlign w:val="center"/>
                </w:tcPr>
                <w:p w14:paraId="2D4135F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15" w:type="dxa"/>
                  <w:vMerge w:val="continue"/>
                  <w:tcBorders>
                    <w:tl2br w:val="nil"/>
                    <w:tr2bl w:val="nil"/>
                  </w:tcBorders>
                  <w:shd w:val="clear" w:color="auto" w:fill="auto"/>
                  <w:vAlign w:val="center"/>
                </w:tcPr>
                <w:p w14:paraId="2BA6784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5EDB51A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870" w:type="dxa"/>
                  <w:vMerge w:val="continue"/>
                  <w:tcBorders>
                    <w:tl2br w:val="nil"/>
                    <w:tr2bl w:val="nil"/>
                  </w:tcBorders>
                  <w:shd w:val="clear" w:color="auto" w:fill="auto"/>
                  <w:vAlign w:val="center"/>
                </w:tcPr>
                <w:p w14:paraId="1383307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705" w:type="dxa"/>
                  <w:vMerge w:val="continue"/>
                  <w:tcBorders>
                    <w:tl2br w:val="nil"/>
                    <w:tr2bl w:val="nil"/>
                  </w:tcBorders>
                  <w:shd w:val="clear" w:color="auto" w:fill="auto"/>
                  <w:vAlign w:val="center"/>
                </w:tcPr>
                <w:p w14:paraId="1447072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18" w:type="dxa"/>
                  <w:vMerge w:val="continue"/>
                  <w:tcBorders>
                    <w:tl2br w:val="nil"/>
                    <w:tr2bl w:val="nil"/>
                  </w:tcBorders>
                  <w:shd w:val="clear" w:color="auto" w:fill="auto"/>
                  <w:vAlign w:val="center"/>
                </w:tcPr>
                <w:p w14:paraId="00C2DA5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000000" w:themeColor="text1"/>
                      <w:kern w:val="0"/>
                      <w:sz w:val="18"/>
                      <w:szCs w:val="18"/>
                      <w:highlight w:val="none"/>
                      <w:u w:val="none"/>
                      <w:lang w:val="en-US" w:eastAsia="zh-CN" w:bidi="ar"/>
                      <w14:textFill>
                        <w14:solidFill>
                          <w14:schemeClr w14:val="tx1"/>
                        </w14:solidFill>
                      </w14:textFill>
                    </w:rPr>
                  </w:pPr>
                </w:p>
              </w:tc>
            </w:tr>
            <w:tr w14:paraId="5C132A2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65" w:hRule="atLeast"/>
                <w:jc w:val="center"/>
              </w:trPr>
              <w:tc>
                <w:tcPr>
                  <w:tcW w:w="466" w:type="dxa"/>
                  <w:vMerge w:val="continue"/>
                  <w:tcBorders>
                    <w:tl2br w:val="nil"/>
                    <w:tr2bl w:val="nil"/>
                  </w:tcBorders>
                  <w:shd w:val="clear" w:color="auto" w:fill="auto"/>
                  <w:vAlign w:val="center"/>
                </w:tcPr>
                <w:p w14:paraId="6614CCC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vMerge w:val="continue"/>
                  <w:tcBorders>
                    <w:tl2br w:val="nil"/>
                    <w:tr2bl w:val="nil"/>
                  </w:tcBorders>
                  <w:shd w:val="clear" w:color="auto" w:fill="auto"/>
                  <w:vAlign w:val="center"/>
                </w:tcPr>
                <w:p w14:paraId="728900F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93" w:type="dxa"/>
                  <w:vMerge w:val="restart"/>
                  <w:tcBorders>
                    <w:tl2br w:val="nil"/>
                    <w:tr2bl w:val="nil"/>
                  </w:tcBorders>
                  <w:shd w:val="clear" w:color="auto" w:fill="auto"/>
                  <w:vAlign w:val="center"/>
                </w:tcPr>
                <w:p w14:paraId="2F58A4C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圆锥破碎机</w:t>
                  </w:r>
                </w:p>
              </w:tc>
              <w:tc>
                <w:tcPr>
                  <w:tcW w:w="690" w:type="dxa"/>
                  <w:tcBorders>
                    <w:tl2br w:val="nil"/>
                    <w:tr2bl w:val="nil"/>
                  </w:tcBorders>
                  <w:shd w:val="clear" w:color="auto" w:fill="auto"/>
                  <w:vAlign w:val="center"/>
                </w:tcPr>
                <w:p w14:paraId="478E6FC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上料、破碎</w:t>
                  </w:r>
                </w:p>
              </w:tc>
              <w:tc>
                <w:tcPr>
                  <w:tcW w:w="555" w:type="dxa"/>
                  <w:vMerge w:val="continue"/>
                  <w:tcBorders>
                    <w:tl2br w:val="nil"/>
                    <w:tr2bl w:val="nil"/>
                  </w:tcBorders>
                  <w:shd w:val="clear" w:color="auto" w:fill="auto"/>
                  <w:vAlign w:val="center"/>
                </w:tcPr>
                <w:p w14:paraId="634340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vMerge w:val="continue"/>
                  <w:tcBorders>
                    <w:tl2br w:val="nil"/>
                    <w:tr2bl w:val="nil"/>
                  </w:tcBorders>
                  <w:shd w:val="clear" w:color="auto" w:fill="auto"/>
                  <w:vAlign w:val="center"/>
                </w:tcPr>
                <w:p w14:paraId="276D30A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2C3E646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80" w:type="dxa"/>
                  <w:vMerge w:val="continue"/>
                  <w:tcBorders>
                    <w:tl2br w:val="nil"/>
                    <w:tr2bl w:val="nil"/>
                  </w:tcBorders>
                  <w:shd w:val="clear" w:color="auto" w:fill="auto"/>
                  <w:vAlign w:val="center"/>
                </w:tcPr>
                <w:p w14:paraId="5895A6F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2788" w:type="dxa"/>
                  <w:tcBorders>
                    <w:tl2br w:val="nil"/>
                    <w:tr2bl w:val="nil"/>
                  </w:tcBorders>
                  <w:shd w:val="clear" w:color="auto" w:fill="auto"/>
                  <w:vAlign w:val="center"/>
                </w:tcPr>
                <w:p w14:paraId="222DA3FE">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皮带输送机与圆锥破碎机封闭相连，圆锥破碎机入料口上方设置集气罩</w:t>
                  </w:r>
                </w:p>
              </w:tc>
              <w:tc>
                <w:tcPr>
                  <w:tcW w:w="572" w:type="dxa"/>
                  <w:vMerge w:val="continue"/>
                  <w:tcBorders>
                    <w:tl2br w:val="nil"/>
                    <w:tr2bl w:val="nil"/>
                  </w:tcBorders>
                  <w:shd w:val="clear" w:color="auto" w:fill="auto"/>
                  <w:vAlign w:val="center"/>
                </w:tcPr>
                <w:p w14:paraId="0462A12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60" w:type="dxa"/>
                  <w:vMerge w:val="continue"/>
                  <w:tcBorders>
                    <w:tl2br w:val="nil"/>
                    <w:tr2bl w:val="nil"/>
                  </w:tcBorders>
                  <w:shd w:val="clear" w:color="auto" w:fill="auto"/>
                  <w:vAlign w:val="center"/>
                </w:tcPr>
                <w:p w14:paraId="76ABDA0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15" w:type="dxa"/>
                  <w:vMerge w:val="continue"/>
                  <w:tcBorders>
                    <w:tl2br w:val="nil"/>
                    <w:tr2bl w:val="nil"/>
                  </w:tcBorders>
                  <w:shd w:val="clear" w:color="auto" w:fill="auto"/>
                  <w:vAlign w:val="center"/>
                </w:tcPr>
                <w:p w14:paraId="544CF93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290B6A9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870" w:type="dxa"/>
                  <w:vMerge w:val="continue"/>
                  <w:tcBorders>
                    <w:tl2br w:val="nil"/>
                    <w:tr2bl w:val="nil"/>
                  </w:tcBorders>
                  <w:shd w:val="clear" w:color="auto" w:fill="auto"/>
                  <w:vAlign w:val="center"/>
                </w:tcPr>
                <w:p w14:paraId="494416B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705" w:type="dxa"/>
                  <w:vMerge w:val="continue"/>
                  <w:tcBorders>
                    <w:tl2br w:val="nil"/>
                    <w:tr2bl w:val="nil"/>
                  </w:tcBorders>
                  <w:shd w:val="clear" w:color="auto" w:fill="auto"/>
                  <w:vAlign w:val="center"/>
                </w:tcPr>
                <w:p w14:paraId="2839C92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18" w:type="dxa"/>
                  <w:vMerge w:val="continue"/>
                  <w:tcBorders>
                    <w:tl2br w:val="nil"/>
                    <w:tr2bl w:val="nil"/>
                  </w:tcBorders>
                  <w:shd w:val="clear" w:color="auto" w:fill="auto"/>
                  <w:vAlign w:val="center"/>
                </w:tcPr>
                <w:p w14:paraId="0F66551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000000" w:themeColor="text1"/>
                      <w:kern w:val="0"/>
                      <w:sz w:val="18"/>
                      <w:szCs w:val="18"/>
                      <w:highlight w:val="none"/>
                      <w:u w:val="none"/>
                      <w:lang w:val="en-US" w:eastAsia="zh-CN" w:bidi="ar"/>
                      <w14:textFill>
                        <w14:solidFill>
                          <w14:schemeClr w14:val="tx1"/>
                        </w14:solidFill>
                      </w14:textFill>
                    </w:rPr>
                  </w:pPr>
                </w:p>
              </w:tc>
            </w:tr>
            <w:tr w14:paraId="505B16CB">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33" w:hRule="atLeast"/>
                <w:jc w:val="center"/>
              </w:trPr>
              <w:tc>
                <w:tcPr>
                  <w:tcW w:w="466" w:type="dxa"/>
                  <w:vMerge w:val="continue"/>
                  <w:tcBorders>
                    <w:tl2br w:val="nil"/>
                    <w:tr2bl w:val="nil"/>
                  </w:tcBorders>
                  <w:shd w:val="clear" w:color="auto" w:fill="auto"/>
                  <w:vAlign w:val="center"/>
                </w:tcPr>
                <w:p w14:paraId="5561873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vMerge w:val="continue"/>
                  <w:tcBorders>
                    <w:tl2br w:val="nil"/>
                    <w:tr2bl w:val="nil"/>
                  </w:tcBorders>
                  <w:shd w:val="clear" w:color="auto" w:fill="auto"/>
                  <w:vAlign w:val="center"/>
                </w:tcPr>
                <w:p w14:paraId="390AFAC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93" w:type="dxa"/>
                  <w:vMerge w:val="continue"/>
                  <w:tcBorders>
                    <w:tl2br w:val="nil"/>
                    <w:tr2bl w:val="nil"/>
                  </w:tcBorders>
                  <w:shd w:val="clear" w:color="auto" w:fill="auto"/>
                  <w:vAlign w:val="center"/>
                </w:tcPr>
                <w:p w14:paraId="19E4AA7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tcBorders>
                    <w:tl2br w:val="nil"/>
                    <w:tr2bl w:val="nil"/>
                  </w:tcBorders>
                  <w:shd w:val="clear" w:color="auto" w:fill="auto"/>
                  <w:vAlign w:val="center"/>
                </w:tcPr>
                <w:p w14:paraId="3378925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落料</w:t>
                  </w:r>
                </w:p>
              </w:tc>
              <w:tc>
                <w:tcPr>
                  <w:tcW w:w="555" w:type="dxa"/>
                  <w:vMerge w:val="continue"/>
                  <w:tcBorders>
                    <w:tl2br w:val="nil"/>
                    <w:tr2bl w:val="nil"/>
                  </w:tcBorders>
                  <w:shd w:val="clear" w:color="auto" w:fill="auto"/>
                  <w:vAlign w:val="center"/>
                </w:tcPr>
                <w:p w14:paraId="75E709F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vMerge w:val="continue"/>
                  <w:tcBorders>
                    <w:tl2br w:val="nil"/>
                    <w:tr2bl w:val="nil"/>
                  </w:tcBorders>
                  <w:shd w:val="clear" w:color="auto" w:fill="auto"/>
                  <w:vAlign w:val="center"/>
                </w:tcPr>
                <w:p w14:paraId="4A2DE47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7B9BFF8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80" w:type="dxa"/>
                  <w:vMerge w:val="continue"/>
                  <w:tcBorders>
                    <w:tl2br w:val="nil"/>
                    <w:tr2bl w:val="nil"/>
                  </w:tcBorders>
                  <w:shd w:val="clear" w:color="auto" w:fill="auto"/>
                  <w:vAlign w:val="center"/>
                </w:tcPr>
                <w:p w14:paraId="5DE36E5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2788" w:type="dxa"/>
                  <w:tcBorders>
                    <w:tl2br w:val="nil"/>
                    <w:tr2bl w:val="nil"/>
                  </w:tcBorders>
                  <w:shd w:val="clear" w:color="auto" w:fill="auto"/>
                  <w:vAlign w:val="center"/>
                </w:tcPr>
                <w:p w14:paraId="2D608391">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物料落料处全封闭，落料点上方设置集气引风口</w:t>
                  </w:r>
                </w:p>
              </w:tc>
              <w:tc>
                <w:tcPr>
                  <w:tcW w:w="572" w:type="dxa"/>
                  <w:vMerge w:val="continue"/>
                  <w:tcBorders>
                    <w:tl2br w:val="nil"/>
                    <w:tr2bl w:val="nil"/>
                  </w:tcBorders>
                  <w:shd w:val="clear" w:color="auto" w:fill="auto"/>
                  <w:vAlign w:val="center"/>
                </w:tcPr>
                <w:p w14:paraId="5434885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60" w:type="dxa"/>
                  <w:vMerge w:val="continue"/>
                  <w:tcBorders>
                    <w:tl2br w:val="nil"/>
                    <w:tr2bl w:val="nil"/>
                  </w:tcBorders>
                  <w:shd w:val="clear" w:color="auto" w:fill="auto"/>
                  <w:vAlign w:val="center"/>
                </w:tcPr>
                <w:p w14:paraId="0330FBF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15" w:type="dxa"/>
                  <w:vMerge w:val="continue"/>
                  <w:tcBorders>
                    <w:tl2br w:val="nil"/>
                    <w:tr2bl w:val="nil"/>
                  </w:tcBorders>
                  <w:shd w:val="clear" w:color="auto" w:fill="auto"/>
                  <w:vAlign w:val="center"/>
                </w:tcPr>
                <w:p w14:paraId="5A781B0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382B88F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870" w:type="dxa"/>
                  <w:vMerge w:val="continue"/>
                  <w:tcBorders>
                    <w:tl2br w:val="nil"/>
                    <w:tr2bl w:val="nil"/>
                  </w:tcBorders>
                  <w:shd w:val="clear" w:color="auto" w:fill="auto"/>
                  <w:vAlign w:val="center"/>
                </w:tcPr>
                <w:p w14:paraId="5DB2A91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705" w:type="dxa"/>
                  <w:vMerge w:val="continue"/>
                  <w:tcBorders>
                    <w:tl2br w:val="nil"/>
                    <w:tr2bl w:val="nil"/>
                  </w:tcBorders>
                  <w:shd w:val="clear" w:color="auto" w:fill="auto"/>
                  <w:vAlign w:val="center"/>
                </w:tcPr>
                <w:p w14:paraId="650FECF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18" w:type="dxa"/>
                  <w:vMerge w:val="continue"/>
                  <w:tcBorders>
                    <w:tl2br w:val="nil"/>
                    <w:tr2bl w:val="nil"/>
                  </w:tcBorders>
                  <w:shd w:val="clear" w:color="auto" w:fill="auto"/>
                  <w:vAlign w:val="center"/>
                </w:tcPr>
                <w:p w14:paraId="30B1E9C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000000" w:themeColor="text1"/>
                      <w:kern w:val="0"/>
                      <w:sz w:val="18"/>
                      <w:szCs w:val="18"/>
                      <w:highlight w:val="none"/>
                      <w:u w:val="none"/>
                      <w:lang w:val="en-US" w:eastAsia="zh-CN" w:bidi="ar"/>
                      <w14:textFill>
                        <w14:solidFill>
                          <w14:schemeClr w14:val="tx1"/>
                        </w14:solidFill>
                      </w14:textFill>
                    </w:rPr>
                  </w:pPr>
                </w:p>
              </w:tc>
            </w:tr>
            <w:tr w14:paraId="62E793C0">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90" w:hRule="atLeast"/>
                <w:jc w:val="center"/>
              </w:trPr>
              <w:tc>
                <w:tcPr>
                  <w:tcW w:w="466" w:type="dxa"/>
                  <w:vMerge w:val="continue"/>
                  <w:tcBorders>
                    <w:tl2br w:val="nil"/>
                    <w:tr2bl w:val="nil"/>
                  </w:tcBorders>
                  <w:shd w:val="clear" w:color="auto" w:fill="auto"/>
                  <w:vAlign w:val="center"/>
                </w:tcPr>
                <w:p w14:paraId="66CD380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vMerge w:val="continue"/>
                  <w:tcBorders>
                    <w:tl2br w:val="nil"/>
                    <w:tr2bl w:val="nil"/>
                  </w:tcBorders>
                  <w:shd w:val="clear" w:color="auto" w:fill="auto"/>
                  <w:vAlign w:val="center"/>
                </w:tcPr>
                <w:p w14:paraId="165EFF4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93" w:type="dxa"/>
                  <w:vMerge w:val="restart"/>
                  <w:tcBorders>
                    <w:tl2br w:val="nil"/>
                    <w:tr2bl w:val="nil"/>
                  </w:tcBorders>
                  <w:shd w:val="clear" w:color="auto" w:fill="auto"/>
                  <w:vAlign w:val="center"/>
                </w:tcPr>
                <w:p w14:paraId="63E5949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eastAsia="宋体" w:cs="Times New Roman"/>
                      <w:i w:val="0"/>
                      <w:iCs w:val="0"/>
                      <w:caps w:val="0"/>
                      <w:color w:val="000000" w:themeColor="text1"/>
                      <w:spacing w:val="0"/>
                      <w:sz w:val="18"/>
                      <w:szCs w:val="18"/>
                      <w:highlight w:val="none"/>
                      <w:lang w:eastAsia="zh-CN"/>
                      <w14:textFill>
                        <w14:solidFill>
                          <w14:schemeClr w14:val="tx1"/>
                        </w14:solidFill>
                      </w14:textFill>
                    </w:rPr>
                    <w:t>往复式摇筛</w:t>
                  </w:r>
                </w:p>
              </w:tc>
              <w:tc>
                <w:tcPr>
                  <w:tcW w:w="690" w:type="dxa"/>
                  <w:tcBorders>
                    <w:tl2br w:val="nil"/>
                    <w:tr2bl w:val="nil"/>
                  </w:tcBorders>
                  <w:shd w:val="clear" w:color="auto" w:fill="auto"/>
                  <w:vAlign w:val="center"/>
                </w:tcPr>
                <w:p w14:paraId="3963223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上料、筛分</w:t>
                  </w:r>
                </w:p>
              </w:tc>
              <w:tc>
                <w:tcPr>
                  <w:tcW w:w="555" w:type="dxa"/>
                  <w:vMerge w:val="continue"/>
                  <w:tcBorders>
                    <w:tl2br w:val="nil"/>
                    <w:tr2bl w:val="nil"/>
                  </w:tcBorders>
                  <w:shd w:val="clear" w:color="auto" w:fill="auto"/>
                  <w:vAlign w:val="center"/>
                </w:tcPr>
                <w:p w14:paraId="7B36B68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vMerge w:val="continue"/>
                  <w:tcBorders>
                    <w:tl2br w:val="nil"/>
                    <w:tr2bl w:val="nil"/>
                  </w:tcBorders>
                  <w:shd w:val="clear" w:color="auto" w:fill="auto"/>
                  <w:vAlign w:val="center"/>
                </w:tcPr>
                <w:p w14:paraId="08CE55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32542C5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80" w:type="dxa"/>
                  <w:vMerge w:val="continue"/>
                  <w:tcBorders>
                    <w:tl2br w:val="nil"/>
                    <w:tr2bl w:val="nil"/>
                  </w:tcBorders>
                  <w:shd w:val="clear" w:color="auto" w:fill="auto"/>
                  <w:vAlign w:val="center"/>
                </w:tcPr>
                <w:p w14:paraId="4EFFA4B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2788" w:type="dxa"/>
                  <w:tcBorders>
                    <w:tl2br w:val="nil"/>
                    <w:tr2bl w:val="nil"/>
                  </w:tcBorders>
                  <w:shd w:val="clear" w:color="auto" w:fill="auto"/>
                  <w:vAlign w:val="center"/>
                </w:tcPr>
                <w:p w14:paraId="1972F318">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本次配套建设全密闭筛分间，物料上料转运、筛分分级等产污工序均置于密闭空间内实施，在筛分间顶部开设集气引风口</w:t>
                  </w:r>
                </w:p>
              </w:tc>
              <w:tc>
                <w:tcPr>
                  <w:tcW w:w="572" w:type="dxa"/>
                  <w:vMerge w:val="continue"/>
                  <w:tcBorders>
                    <w:tl2br w:val="nil"/>
                    <w:tr2bl w:val="nil"/>
                  </w:tcBorders>
                  <w:shd w:val="clear" w:color="auto" w:fill="auto"/>
                  <w:vAlign w:val="center"/>
                </w:tcPr>
                <w:p w14:paraId="439BC6A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60" w:type="dxa"/>
                  <w:vMerge w:val="continue"/>
                  <w:tcBorders>
                    <w:tl2br w:val="nil"/>
                    <w:tr2bl w:val="nil"/>
                  </w:tcBorders>
                  <w:shd w:val="clear" w:color="auto" w:fill="auto"/>
                  <w:vAlign w:val="center"/>
                </w:tcPr>
                <w:p w14:paraId="2977109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15" w:type="dxa"/>
                  <w:vMerge w:val="continue"/>
                  <w:tcBorders>
                    <w:tl2br w:val="nil"/>
                    <w:tr2bl w:val="nil"/>
                  </w:tcBorders>
                  <w:shd w:val="clear" w:color="auto" w:fill="auto"/>
                  <w:vAlign w:val="center"/>
                </w:tcPr>
                <w:p w14:paraId="5B37C97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4CFBFDE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870" w:type="dxa"/>
                  <w:vMerge w:val="continue"/>
                  <w:tcBorders>
                    <w:tl2br w:val="nil"/>
                    <w:tr2bl w:val="nil"/>
                  </w:tcBorders>
                  <w:shd w:val="clear" w:color="auto" w:fill="auto"/>
                  <w:vAlign w:val="center"/>
                </w:tcPr>
                <w:p w14:paraId="1EE670F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705" w:type="dxa"/>
                  <w:vMerge w:val="continue"/>
                  <w:tcBorders>
                    <w:tl2br w:val="nil"/>
                    <w:tr2bl w:val="nil"/>
                  </w:tcBorders>
                  <w:shd w:val="clear" w:color="auto" w:fill="auto"/>
                  <w:vAlign w:val="center"/>
                </w:tcPr>
                <w:p w14:paraId="3DACE3C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18" w:type="dxa"/>
                  <w:vMerge w:val="continue"/>
                  <w:tcBorders>
                    <w:tl2br w:val="nil"/>
                    <w:tr2bl w:val="nil"/>
                  </w:tcBorders>
                  <w:shd w:val="clear" w:color="auto" w:fill="auto"/>
                  <w:vAlign w:val="center"/>
                </w:tcPr>
                <w:p w14:paraId="7A06CD2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000000" w:themeColor="text1"/>
                      <w:kern w:val="0"/>
                      <w:sz w:val="18"/>
                      <w:szCs w:val="18"/>
                      <w:highlight w:val="none"/>
                      <w:u w:val="none"/>
                      <w:lang w:val="en-US" w:eastAsia="zh-CN" w:bidi="ar"/>
                      <w14:textFill>
                        <w14:solidFill>
                          <w14:schemeClr w14:val="tx1"/>
                        </w14:solidFill>
                      </w14:textFill>
                    </w:rPr>
                  </w:pPr>
                </w:p>
              </w:tc>
            </w:tr>
            <w:tr w14:paraId="638A2773">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90" w:hRule="atLeast"/>
                <w:jc w:val="center"/>
              </w:trPr>
              <w:tc>
                <w:tcPr>
                  <w:tcW w:w="466" w:type="dxa"/>
                  <w:vMerge w:val="continue"/>
                  <w:tcBorders>
                    <w:tl2br w:val="nil"/>
                    <w:tr2bl w:val="nil"/>
                  </w:tcBorders>
                  <w:shd w:val="clear" w:color="auto" w:fill="auto"/>
                  <w:vAlign w:val="center"/>
                </w:tcPr>
                <w:p w14:paraId="302876E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vMerge w:val="continue"/>
                  <w:tcBorders>
                    <w:tl2br w:val="nil"/>
                    <w:tr2bl w:val="nil"/>
                  </w:tcBorders>
                  <w:shd w:val="clear" w:color="auto" w:fill="auto"/>
                  <w:vAlign w:val="center"/>
                </w:tcPr>
                <w:p w14:paraId="0441E7B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93" w:type="dxa"/>
                  <w:vMerge w:val="continue"/>
                  <w:tcBorders>
                    <w:tl2br w:val="nil"/>
                    <w:tr2bl w:val="nil"/>
                  </w:tcBorders>
                  <w:shd w:val="clear" w:color="auto" w:fill="auto"/>
                  <w:vAlign w:val="center"/>
                </w:tcPr>
                <w:p w14:paraId="3FC1D2E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Segoe UI Symbol" w:cs="Times New Roman"/>
                      <w:i w:val="0"/>
                      <w:iCs w:val="0"/>
                      <w:caps w:val="0"/>
                      <w:color w:val="000000" w:themeColor="text1"/>
                      <w:spacing w:val="0"/>
                      <w:sz w:val="18"/>
                      <w:szCs w:val="18"/>
                      <w:highlight w:val="none"/>
                      <w14:textFill>
                        <w14:solidFill>
                          <w14:schemeClr w14:val="tx1"/>
                        </w14:solidFill>
                      </w14:textFill>
                    </w:rPr>
                  </w:pPr>
                </w:p>
              </w:tc>
              <w:tc>
                <w:tcPr>
                  <w:tcW w:w="690" w:type="dxa"/>
                  <w:vMerge w:val="restart"/>
                  <w:tcBorders>
                    <w:tl2br w:val="nil"/>
                    <w:tr2bl w:val="nil"/>
                  </w:tcBorders>
                  <w:shd w:val="clear" w:color="auto" w:fill="auto"/>
                  <w:vAlign w:val="center"/>
                </w:tcPr>
                <w:p w14:paraId="4E99FFA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落料</w:t>
                  </w:r>
                </w:p>
              </w:tc>
              <w:tc>
                <w:tcPr>
                  <w:tcW w:w="555" w:type="dxa"/>
                  <w:vMerge w:val="continue"/>
                  <w:tcBorders>
                    <w:tl2br w:val="nil"/>
                    <w:tr2bl w:val="nil"/>
                  </w:tcBorders>
                  <w:shd w:val="clear" w:color="auto" w:fill="auto"/>
                  <w:vAlign w:val="center"/>
                </w:tcPr>
                <w:p w14:paraId="09B3DA9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vMerge w:val="continue"/>
                  <w:tcBorders>
                    <w:tl2br w:val="nil"/>
                    <w:tr2bl w:val="nil"/>
                  </w:tcBorders>
                  <w:shd w:val="clear" w:color="auto" w:fill="auto"/>
                  <w:vAlign w:val="center"/>
                </w:tcPr>
                <w:p w14:paraId="5B53E77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24E5743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80" w:type="dxa"/>
                  <w:vMerge w:val="continue"/>
                  <w:tcBorders>
                    <w:tl2br w:val="nil"/>
                    <w:tr2bl w:val="nil"/>
                  </w:tcBorders>
                  <w:shd w:val="clear" w:color="auto" w:fill="auto"/>
                  <w:vAlign w:val="center"/>
                </w:tcPr>
                <w:p w14:paraId="1F039AF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2788" w:type="dxa"/>
                  <w:tcBorders>
                    <w:tl2br w:val="nil"/>
                    <w:tr2bl w:val="nil"/>
                  </w:tcBorders>
                  <w:shd w:val="clear" w:color="auto" w:fill="auto"/>
                  <w:vAlign w:val="center"/>
                </w:tcPr>
                <w:p w14:paraId="2B109E83">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土渣直接落料至往复式摇筛出料口下方皮带输送机（此落料点位于封闭的筛分间内，通过筛分间集气措施收集落料点产生的颗粒物），通过皮带机输送至筛分间外（预处理车间内），此落料点上方设置集气罩，并设置伞状喷雾抑尘装置（设置电伴热装置），喷雾抑尘装置范围覆盖整个落料点</w:t>
                  </w:r>
                </w:p>
              </w:tc>
              <w:tc>
                <w:tcPr>
                  <w:tcW w:w="572" w:type="dxa"/>
                  <w:vMerge w:val="continue"/>
                  <w:tcBorders>
                    <w:tl2br w:val="nil"/>
                    <w:tr2bl w:val="nil"/>
                  </w:tcBorders>
                  <w:shd w:val="clear" w:color="auto" w:fill="auto"/>
                  <w:vAlign w:val="center"/>
                </w:tcPr>
                <w:p w14:paraId="4E2C803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60" w:type="dxa"/>
                  <w:vMerge w:val="continue"/>
                  <w:tcBorders>
                    <w:tl2br w:val="nil"/>
                    <w:tr2bl w:val="nil"/>
                  </w:tcBorders>
                  <w:shd w:val="clear" w:color="auto" w:fill="auto"/>
                  <w:vAlign w:val="center"/>
                </w:tcPr>
                <w:p w14:paraId="7CBB678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15" w:type="dxa"/>
                  <w:vMerge w:val="continue"/>
                  <w:tcBorders>
                    <w:tl2br w:val="nil"/>
                    <w:tr2bl w:val="nil"/>
                  </w:tcBorders>
                  <w:shd w:val="clear" w:color="auto" w:fill="auto"/>
                  <w:vAlign w:val="center"/>
                </w:tcPr>
                <w:p w14:paraId="31C604E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500B10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870" w:type="dxa"/>
                  <w:vMerge w:val="continue"/>
                  <w:tcBorders>
                    <w:tl2br w:val="nil"/>
                    <w:tr2bl w:val="nil"/>
                  </w:tcBorders>
                  <w:shd w:val="clear" w:color="auto" w:fill="auto"/>
                  <w:vAlign w:val="center"/>
                </w:tcPr>
                <w:p w14:paraId="39E3BC3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705" w:type="dxa"/>
                  <w:vMerge w:val="continue"/>
                  <w:tcBorders>
                    <w:tl2br w:val="nil"/>
                    <w:tr2bl w:val="nil"/>
                  </w:tcBorders>
                  <w:shd w:val="clear" w:color="auto" w:fill="auto"/>
                  <w:vAlign w:val="center"/>
                </w:tcPr>
                <w:p w14:paraId="1979395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18" w:type="dxa"/>
                  <w:vMerge w:val="continue"/>
                  <w:tcBorders>
                    <w:tl2br w:val="nil"/>
                    <w:tr2bl w:val="nil"/>
                  </w:tcBorders>
                  <w:shd w:val="clear" w:color="auto" w:fill="auto"/>
                  <w:vAlign w:val="center"/>
                </w:tcPr>
                <w:p w14:paraId="4C0B317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000000" w:themeColor="text1"/>
                      <w:kern w:val="0"/>
                      <w:sz w:val="18"/>
                      <w:szCs w:val="18"/>
                      <w:highlight w:val="none"/>
                      <w:u w:val="none"/>
                      <w:lang w:val="en-US" w:eastAsia="zh-CN" w:bidi="ar"/>
                      <w14:textFill>
                        <w14:solidFill>
                          <w14:schemeClr w14:val="tx1"/>
                        </w14:solidFill>
                      </w14:textFill>
                    </w:rPr>
                  </w:pPr>
                </w:p>
              </w:tc>
            </w:tr>
            <w:tr w14:paraId="722684CF">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33" w:hRule="atLeast"/>
                <w:jc w:val="center"/>
              </w:trPr>
              <w:tc>
                <w:tcPr>
                  <w:tcW w:w="466" w:type="dxa"/>
                  <w:vMerge w:val="continue"/>
                  <w:tcBorders>
                    <w:tl2br w:val="nil"/>
                    <w:tr2bl w:val="nil"/>
                  </w:tcBorders>
                  <w:shd w:val="clear" w:color="auto" w:fill="auto"/>
                  <w:vAlign w:val="center"/>
                </w:tcPr>
                <w:p w14:paraId="319A7F2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vMerge w:val="continue"/>
                  <w:tcBorders>
                    <w:tl2br w:val="nil"/>
                    <w:tr2bl w:val="nil"/>
                  </w:tcBorders>
                  <w:shd w:val="clear" w:color="auto" w:fill="auto"/>
                  <w:vAlign w:val="center"/>
                </w:tcPr>
                <w:p w14:paraId="6AB7195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93" w:type="dxa"/>
                  <w:vMerge w:val="continue"/>
                  <w:tcBorders>
                    <w:tl2br w:val="nil"/>
                    <w:tr2bl w:val="nil"/>
                  </w:tcBorders>
                  <w:shd w:val="clear" w:color="auto" w:fill="auto"/>
                  <w:vAlign w:val="center"/>
                </w:tcPr>
                <w:p w14:paraId="0255290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vMerge w:val="continue"/>
                  <w:tcBorders>
                    <w:tl2br w:val="nil"/>
                    <w:tr2bl w:val="nil"/>
                  </w:tcBorders>
                  <w:shd w:val="clear" w:color="auto" w:fill="auto"/>
                  <w:vAlign w:val="center"/>
                </w:tcPr>
                <w:p w14:paraId="340751B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55" w:type="dxa"/>
                  <w:vMerge w:val="continue"/>
                  <w:tcBorders>
                    <w:tl2br w:val="nil"/>
                    <w:tr2bl w:val="nil"/>
                  </w:tcBorders>
                  <w:shd w:val="clear" w:color="auto" w:fill="auto"/>
                  <w:vAlign w:val="center"/>
                </w:tcPr>
                <w:p w14:paraId="1915FE7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p>
              </w:tc>
              <w:tc>
                <w:tcPr>
                  <w:tcW w:w="690" w:type="dxa"/>
                  <w:vMerge w:val="continue"/>
                  <w:tcBorders>
                    <w:tl2br w:val="nil"/>
                    <w:tr2bl w:val="nil"/>
                  </w:tcBorders>
                  <w:shd w:val="clear" w:color="auto" w:fill="auto"/>
                  <w:vAlign w:val="center"/>
                </w:tcPr>
                <w:p w14:paraId="546238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3F315F1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80" w:type="dxa"/>
                  <w:vMerge w:val="continue"/>
                  <w:tcBorders>
                    <w:tl2br w:val="nil"/>
                    <w:tr2bl w:val="nil"/>
                  </w:tcBorders>
                  <w:shd w:val="clear" w:color="auto" w:fill="auto"/>
                  <w:vAlign w:val="center"/>
                </w:tcPr>
                <w:p w14:paraId="5C8B5BA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2788" w:type="dxa"/>
                  <w:tcBorders>
                    <w:tl2br w:val="nil"/>
                    <w:tr2bl w:val="nil"/>
                  </w:tcBorders>
                  <w:shd w:val="clear" w:color="auto" w:fill="auto"/>
                  <w:vAlign w:val="center"/>
                </w:tcPr>
                <w:p w14:paraId="34B0D13E">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b w:val="0"/>
                      <w:bCs w:val="0"/>
                      <w:snapToGrid w:val="0"/>
                      <w:color w:val="000000" w:themeColor="text1"/>
                      <w:kern w:val="0"/>
                      <w:sz w:val="18"/>
                      <w:szCs w:val="18"/>
                      <w:highlight w:val="none"/>
                      <w:vertAlign w:val="baseline"/>
                      <w:lang w:val="en-US" w:eastAsia="zh-CN" w:bidi="ar-SA"/>
                      <w14:textFill>
                        <w14:solidFill>
                          <w14:schemeClr w14:val="tx1"/>
                        </w14:solidFill>
                      </w14:textFill>
                    </w:rPr>
                    <w:t>合格矿石原料落料至筛分间外（预处理车间内），落料点上方设置集气罩，并设置伞状喷雾抑尘装置（设置电伴热装置），喷雾抑尘装置范围覆盖整个落料点</w:t>
                  </w:r>
                </w:p>
              </w:tc>
              <w:tc>
                <w:tcPr>
                  <w:tcW w:w="572" w:type="dxa"/>
                  <w:vMerge w:val="continue"/>
                  <w:tcBorders>
                    <w:tl2br w:val="nil"/>
                    <w:tr2bl w:val="nil"/>
                  </w:tcBorders>
                  <w:shd w:val="clear" w:color="auto" w:fill="auto"/>
                  <w:vAlign w:val="center"/>
                </w:tcPr>
                <w:p w14:paraId="5A5DDD4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60" w:type="dxa"/>
                  <w:vMerge w:val="continue"/>
                  <w:tcBorders>
                    <w:tl2br w:val="nil"/>
                    <w:tr2bl w:val="nil"/>
                  </w:tcBorders>
                  <w:shd w:val="clear" w:color="auto" w:fill="auto"/>
                  <w:vAlign w:val="center"/>
                </w:tcPr>
                <w:p w14:paraId="6B88416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615" w:type="dxa"/>
                  <w:vMerge w:val="continue"/>
                  <w:tcBorders>
                    <w:tl2br w:val="nil"/>
                    <w:tr2bl w:val="nil"/>
                  </w:tcBorders>
                  <w:shd w:val="clear" w:color="auto" w:fill="auto"/>
                  <w:vAlign w:val="center"/>
                </w:tcPr>
                <w:p w14:paraId="3DA425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975" w:type="dxa"/>
                  <w:vMerge w:val="continue"/>
                  <w:tcBorders>
                    <w:tl2br w:val="nil"/>
                    <w:tr2bl w:val="nil"/>
                  </w:tcBorders>
                  <w:shd w:val="clear" w:color="auto" w:fill="auto"/>
                  <w:vAlign w:val="center"/>
                </w:tcPr>
                <w:p w14:paraId="0496B3F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870" w:type="dxa"/>
                  <w:vMerge w:val="continue"/>
                  <w:tcBorders>
                    <w:tl2br w:val="nil"/>
                    <w:tr2bl w:val="nil"/>
                  </w:tcBorders>
                  <w:shd w:val="clear" w:color="auto" w:fill="auto"/>
                  <w:vAlign w:val="center"/>
                </w:tcPr>
                <w:p w14:paraId="31C6AA9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705" w:type="dxa"/>
                  <w:vMerge w:val="continue"/>
                  <w:tcBorders>
                    <w:tl2br w:val="nil"/>
                    <w:tr2bl w:val="nil"/>
                  </w:tcBorders>
                  <w:shd w:val="clear" w:color="auto" w:fill="auto"/>
                  <w:vAlign w:val="center"/>
                </w:tcPr>
                <w:p w14:paraId="33D84B7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518" w:type="dxa"/>
                  <w:vMerge w:val="continue"/>
                  <w:tcBorders>
                    <w:tl2br w:val="nil"/>
                    <w:tr2bl w:val="nil"/>
                  </w:tcBorders>
                  <w:shd w:val="clear" w:color="auto" w:fill="auto"/>
                  <w:vAlign w:val="center"/>
                </w:tcPr>
                <w:p w14:paraId="2C0E3C2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cs="宋体"/>
                      <w:i w:val="0"/>
                      <w:iCs w:val="0"/>
                      <w:color w:val="000000" w:themeColor="text1"/>
                      <w:kern w:val="0"/>
                      <w:sz w:val="18"/>
                      <w:szCs w:val="18"/>
                      <w:highlight w:val="none"/>
                      <w:u w:val="none"/>
                      <w:lang w:val="en-US" w:eastAsia="zh-CN" w:bidi="ar"/>
                      <w14:textFill>
                        <w14:solidFill>
                          <w14:schemeClr w14:val="tx1"/>
                        </w14:solidFill>
                      </w14:textFill>
                    </w:rPr>
                  </w:pPr>
                </w:p>
              </w:tc>
            </w:tr>
            <w:tr w14:paraId="45982A6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90" w:hRule="atLeast"/>
                <w:jc w:val="center"/>
              </w:trPr>
              <w:tc>
                <w:tcPr>
                  <w:tcW w:w="466" w:type="dxa"/>
                  <w:vMerge w:val="continue"/>
                  <w:tcBorders>
                    <w:tl2br w:val="nil"/>
                    <w:tr2bl w:val="nil"/>
                  </w:tcBorders>
                  <w:shd w:val="clear" w:color="auto" w:fill="auto"/>
                  <w:vAlign w:val="center"/>
                </w:tcPr>
                <w:p w14:paraId="0A07A7B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p>
              </w:tc>
              <w:tc>
                <w:tcPr>
                  <w:tcW w:w="462" w:type="dxa"/>
                  <w:tcBorders>
                    <w:tl2br w:val="nil"/>
                    <w:tr2bl w:val="nil"/>
                  </w:tcBorders>
                  <w:shd w:val="clear" w:color="auto" w:fill="auto"/>
                  <w:vAlign w:val="center"/>
                </w:tcPr>
                <w:p w14:paraId="1817CDC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无组织</w:t>
                  </w:r>
                </w:p>
              </w:tc>
              <w:tc>
                <w:tcPr>
                  <w:tcW w:w="1283" w:type="dxa"/>
                  <w:gridSpan w:val="2"/>
                  <w:tcBorders>
                    <w:tl2br w:val="nil"/>
                    <w:tr2bl w:val="nil"/>
                  </w:tcBorders>
                  <w:shd w:val="clear" w:color="auto" w:fill="auto"/>
                  <w:vAlign w:val="center"/>
                </w:tcPr>
                <w:p w14:paraId="5283826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cs="Times New Roman"/>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不合格</w:t>
                  </w:r>
                  <w:r>
                    <w:rPr>
                      <w:rFonts w:hint="eastAsia" w:cs="Times New Roman"/>
                      <w:color w:val="000000" w:themeColor="text1"/>
                      <w:sz w:val="18"/>
                      <w:szCs w:val="18"/>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装卸、堆存过程产生的废气；合格矿石原料装卸、堆存过程产生的废气；土渣装卸、堆存过程产生的废气</w:t>
                  </w: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以及</w:t>
                  </w:r>
                  <w:r>
                    <w:rPr>
                      <w:rFonts w:hint="eastAsia" w:cs="Times New Roman"/>
                      <w:color w:val="000000" w:themeColor="text1"/>
                      <w:kern w:val="0"/>
                      <w:sz w:val="18"/>
                      <w:szCs w:val="18"/>
                      <w:highlight w:val="none"/>
                      <w:lang w:val="en-US" w:eastAsia="zh-CN"/>
                      <w14:textFill>
                        <w14:solidFill>
                          <w14:schemeClr w14:val="tx1"/>
                        </w14:solidFill>
                      </w14:textFill>
                    </w:rPr>
                    <w:t>有组织未收集的废气</w:t>
                  </w:r>
                </w:p>
              </w:tc>
              <w:tc>
                <w:tcPr>
                  <w:tcW w:w="555" w:type="dxa"/>
                  <w:tcBorders>
                    <w:tl2br w:val="nil"/>
                    <w:tr2bl w:val="nil"/>
                  </w:tcBorders>
                  <w:shd w:val="clear" w:color="auto" w:fill="auto"/>
                  <w:vAlign w:val="center"/>
                </w:tcPr>
                <w:p w14:paraId="483223D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颗粒物</w:t>
                  </w:r>
                </w:p>
              </w:tc>
              <w:tc>
                <w:tcPr>
                  <w:tcW w:w="690" w:type="dxa"/>
                  <w:tcBorders>
                    <w:tl2br w:val="nil"/>
                    <w:tr2bl w:val="nil"/>
                  </w:tcBorders>
                  <w:shd w:val="clear" w:color="auto" w:fill="auto"/>
                  <w:vAlign w:val="center"/>
                </w:tcPr>
                <w:p w14:paraId="7992060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36.631</w:t>
                  </w:r>
                </w:p>
              </w:tc>
              <w:tc>
                <w:tcPr>
                  <w:tcW w:w="975" w:type="dxa"/>
                  <w:tcBorders>
                    <w:tl2br w:val="nil"/>
                    <w:tr2bl w:val="nil"/>
                  </w:tcBorders>
                  <w:shd w:val="clear" w:color="auto" w:fill="auto"/>
                  <w:vAlign w:val="center"/>
                </w:tcPr>
                <w:p w14:paraId="5D36045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w:t>
                  </w:r>
                </w:p>
              </w:tc>
              <w:tc>
                <w:tcPr>
                  <w:tcW w:w="480" w:type="dxa"/>
                  <w:tcBorders>
                    <w:tl2br w:val="nil"/>
                    <w:tr2bl w:val="nil"/>
                  </w:tcBorders>
                  <w:shd w:val="clear" w:color="auto" w:fill="auto"/>
                  <w:vAlign w:val="center"/>
                </w:tcPr>
                <w:p w14:paraId="664FF2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w:t>
                  </w:r>
                </w:p>
              </w:tc>
              <w:tc>
                <w:tcPr>
                  <w:tcW w:w="3360" w:type="dxa"/>
                  <w:gridSpan w:val="2"/>
                  <w:tcBorders>
                    <w:tl2br w:val="nil"/>
                    <w:tr2bl w:val="nil"/>
                  </w:tcBorders>
                  <w:shd w:val="clear" w:color="auto" w:fill="auto"/>
                  <w:vAlign w:val="center"/>
                </w:tcPr>
                <w:p w14:paraId="0763760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⑴</w:t>
                  </w: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装卸过程在封闭的</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预处理</w:t>
                  </w: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车间内进行，</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预处理车间设置</w:t>
                  </w:r>
                  <w:r>
                    <w:rPr>
                      <w:rFonts w:hint="eastAsia" w:cs="Times New Roman"/>
                      <w:color w:val="000000" w:themeColor="text1"/>
                      <w:kern w:val="0"/>
                      <w:sz w:val="18"/>
                      <w:szCs w:val="18"/>
                      <w:highlight w:val="none"/>
                      <w:lang w:val="en-US" w:eastAsia="zh-CN"/>
                      <w14:textFill>
                        <w14:solidFill>
                          <w14:schemeClr w14:val="tx1"/>
                        </w14:solidFill>
                      </w14:textFill>
                    </w:rPr>
                    <w:t>6台雾炮</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，保证不合格矿石原料、合格矿石原料、土渣装卸区域全部覆盖</w:t>
                  </w:r>
                  <w:r>
                    <w:rPr>
                      <w:rFonts w:hint="eastAsia" w:ascii="Times New Roman" w:hAnsi="Times New Roman" w:eastAsia="宋体" w:cs="Times New Roman"/>
                      <w:b w:val="0"/>
                      <w:bCs w:val="0"/>
                      <w:snapToGrid w:val="0"/>
                      <w:color w:val="000000" w:themeColor="text1"/>
                      <w:kern w:val="0"/>
                      <w:sz w:val="18"/>
                      <w:szCs w:val="18"/>
                      <w:highlight w:val="none"/>
                      <w:lang w:val="en-US" w:eastAsia="zh-CN"/>
                      <w14:textFill>
                        <w14:solidFill>
                          <w14:schemeClr w14:val="tx1"/>
                        </w14:solidFill>
                      </w14:textFill>
                    </w:rPr>
                    <w:t>，可有效降低原料区扬尘污染</w:t>
                  </w:r>
                  <w:r>
                    <w:rPr>
                      <w:rFonts w:hint="eastAsia" w:ascii="Times New Roman" w:hAnsi="Times New Roman" w:cs="Times New Roman"/>
                      <w:b w:val="0"/>
                      <w:bCs w:val="0"/>
                      <w:snapToGrid w:val="0"/>
                      <w:color w:val="000000" w:themeColor="text1"/>
                      <w:kern w:val="0"/>
                      <w:sz w:val="18"/>
                      <w:szCs w:val="18"/>
                      <w:highlight w:val="none"/>
                      <w:lang w:val="en-US" w:eastAsia="zh-CN"/>
                      <w14:textFill>
                        <w14:solidFill>
                          <w14:schemeClr w14:val="tx1"/>
                        </w14:solidFill>
                      </w14:textFill>
                    </w:rPr>
                    <w:t>；</w:t>
                  </w:r>
                </w:p>
                <w:p w14:paraId="335CB22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⑵</w:t>
                  </w:r>
                  <w:r>
                    <w:rPr>
                      <w:rFonts w:hint="eastAsia" w:cs="Times New Roman"/>
                      <w:color w:val="000000" w:themeColor="text1"/>
                      <w:kern w:val="0"/>
                      <w:sz w:val="18"/>
                      <w:szCs w:val="18"/>
                      <w:highlight w:val="none"/>
                      <w:lang w:val="en-US" w:eastAsia="zh-CN"/>
                      <w14:textFill>
                        <w14:solidFill>
                          <w14:schemeClr w14:val="tx1"/>
                        </w14:solidFill>
                      </w14:textFill>
                    </w:rPr>
                    <w:t>不合格矿石原料上料仓设置伞状喷雾抑尘装置</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，喷雾抑尘装置范围应覆盖整个落料点（电伴热）；</w:t>
                  </w:r>
                  <w:r>
                    <w:rPr>
                      <w:rFonts w:hint="eastAsia" w:cs="Times New Roman"/>
                      <w:color w:val="000000" w:themeColor="text1"/>
                      <w:kern w:val="0"/>
                      <w:sz w:val="18"/>
                      <w:szCs w:val="18"/>
                      <w:highlight w:val="none"/>
                      <w:lang w:val="en-US" w:eastAsia="zh-CN"/>
                      <w14:textFill>
                        <w14:solidFill>
                          <w14:schemeClr w14:val="tx1"/>
                        </w14:solidFill>
                      </w14:textFill>
                    </w:rPr>
                    <w:t>往复式摇筛</w:t>
                  </w: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落料</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点（2处）分别设置伞状喷雾抑尘装置（设置电伴热装置），喷雾抑尘装置范围应覆盖整个落料点；</w:t>
                  </w:r>
                </w:p>
                <w:p w14:paraId="0D290BB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⑶</w:t>
                  </w:r>
                  <w:r>
                    <w:rPr>
                      <w:rFonts w:ascii="宋体" w:hAnsi="宋体" w:eastAsia="宋体" w:cs="宋体"/>
                      <w:color w:val="000000" w:themeColor="text1"/>
                      <w:sz w:val="18"/>
                      <w:szCs w:val="18"/>
                      <w:highlight w:val="none"/>
                      <w14:textFill>
                        <w14:solidFill>
                          <w14:schemeClr w14:val="tx1"/>
                        </w14:solidFill>
                      </w14:textFill>
                    </w:rPr>
                    <w:t>预处理车间与现有工程原料库直接相连，不另行单独设置出入口，人员及物料进出均依托现有工程原料库出入口。原料库已配备自动感应门，物料输送系统采用全封闭</w:t>
                  </w:r>
                  <w:r>
                    <w:rPr>
                      <w:rFonts w:hint="eastAsia" w:ascii="宋体" w:hAnsi="宋体" w:cs="宋体"/>
                      <w:color w:val="000000" w:themeColor="text1"/>
                      <w:sz w:val="18"/>
                      <w:szCs w:val="18"/>
                      <w:highlight w:val="none"/>
                      <w:lang w:eastAsia="zh-CN"/>
                      <w14:textFill>
                        <w14:solidFill>
                          <w14:schemeClr w14:val="tx1"/>
                        </w14:solidFill>
                      </w14:textFill>
                    </w:rPr>
                    <w:t>设计，可有</w:t>
                  </w:r>
                  <w:r>
                    <w:rPr>
                      <w:rFonts w:ascii="宋体" w:hAnsi="宋体" w:eastAsia="宋体" w:cs="宋体"/>
                      <w:color w:val="000000" w:themeColor="text1"/>
                      <w:sz w:val="18"/>
                      <w:szCs w:val="18"/>
                      <w:highlight w:val="none"/>
                      <w14:textFill>
                        <w14:solidFill>
                          <w14:schemeClr w14:val="tx1"/>
                        </w14:solidFill>
                      </w14:textFill>
                    </w:rPr>
                    <w:t>效控制无组织排放</w:t>
                  </w: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w:t>
                  </w:r>
                </w:p>
                <w:p w14:paraId="14E36EB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⑷</w:t>
                  </w: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车间及厂区道路地面全部硬化，</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未硬化的区域应采取绿化措施；</w:t>
                  </w:r>
                </w:p>
                <w:p w14:paraId="13443EF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⑸</w:t>
                  </w:r>
                  <w:r>
                    <w:rPr>
                      <w:rFonts w:hint="eastAsia" w:cs="Times New Roman"/>
                      <w:color w:val="000000" w:themeColor="text1"/>
                      <w:kern w:val="0"/>
                      <w:sz w:val="18"/>
                      <w:szCs w:val="18"/>
                      <w:highlight w:val="none"/>
                      <w:lang w:val="en-US" w:eastAsia="zh-CN"/>
                      <w14:textFill>
                        <w14:solidFill>
                          <w14:schemeClr w14:val="tx1"/>
                        </w14:solidFill>
                      </w14:textFill>
                    </w:rPr>
                    <w:t>运输车辆车斗采用苫布苫盖；</w:t>
                  </w:r>
                </w:p>
                <w:p w14:paraId="6646E4A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⑹</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现有工程已设置车辆洗车平台，并配套建设沉淀池、清水池等废水处理设施。本项目</w:t>
                  </w:r>
                  <w:r>
                    <w:rPr>
                      <w:rFonts w:hint="eastAsia" w:cs="Times New Roman"/>
                      <w:color w:val="000000" w:themeColor="text1"/>
                      <w:kern w:val="0"/>
                      <w:sz w:val="18"/>
                      <w:szCs w:val="18"/>
                      <w:highlight w:val="none"/>
                      <w:lang w:val="en-US" w:eastAsia="zh-CN"/>
                      <w14:textFill>
                        <w14:solidFill>
                          <w14:schemeClr w14:val="tx1"/>
                        </w14:solidFill>
                      </w14:textFill>
                    </w:rPr>
                    <w:t>新增运输车辆</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清洗作业依托现有洗车平台统一实施</w:t>
                  </w: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w:t>
                  </w:r>
                </w:p>
              </w:tc>
              <w:tc>
                <w:tcPr>
                  <w:tcW w:w="660" w:type="dxa"/>
                  <w:tcBorders>
                    <w:tl2br w:val="nil"/>
                    <w:tr2bl w:val="nil"/>
                  </w:tcBorders>
                  <w:shd w:val="clear" w:color="auto" w:fill="auto"/>
                  <w:vAlign w:val="center"/>
                </w:tcPr>
                <w:p w14:paraId="0746094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＞90%</w:t>
                  </w:r>
                </w:p>
              </w:tc>
              <w:tc>
                <w:tcPr>
                  <w:tcW w:w="615" w:type="dxa"/>
                  <w:tcBorders>
                    <w:tl2br w:val="nil"/>
                    <w:tr2bl w:val="nil"/>
                  </w:tcBorders>
                  <w:shd w:val="clear" w:color="auto" w:fill="auto"/>
                  <w:vAlign w:val="center"/>
                </w:tcPr>
                <w:p w14:paraId="010AC6F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是</w:t>
                  </w:r>
                </w:p>
              </w:tc>
              <w:tc>
                <w:tcPr>
                  <w:tcW w:w="975" w:type="dxa"/>
                  <w:tcBorders>
                    <w:tl2br w:val="nil"/>
                    <w:tr2bl w:val="nil"/>
                  </w:tcBorders>
                  <w:shd w:val="clear" w:color="auto" w:fill="auto"/>
                  <w:vAlign w:val="center"/>
                </w:tcPr>
                <w:p w14:paraId="67A7B7C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w:t>
                  </w:r>
                </w:p>
              </w:tc>
              <w:tc>
                <w:tcPr>
                  <w:tcW w:w="870" w:type="dxa"/>
                  <w:tcBorders>
                    <w:tl2br w:val="nil"/>
                    <w:tr2bl w:val="nil"/>
                  </w:tcBorders>
                  <w:shd w:val="clear" w:color="auto" w:fill="auto"/>
                  <w:vAlign w:val="center"/>
                </w:tcPr>
                <w:p w14:paraId="35C156C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0.387</w:t>
                  </w:r>
                </w:p>
              </w:tc>
              <w:tc>
                <w:tcPr>
                  <w:tcW w:w="705" w:type="dxa"/>
                  <w:tcBorders>
                    <w:tl2br w:val="nil"/>
                    <w:tr2bl w:val="nil"/>
                  </w:tcBorders>
                  <w:shd w:val="clear" w:color="auto" w:fill="auto"/>
                  <w:vAlign w:val="center"/>
                </w:tcPr>
                <w:p w14:paraId="09348EC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cs="Times New Roman"/>
                      <w:i w:val="0"/>
                      <w:iCs w:val="0"/>
                      <w:color w:val="000000" w:themeColor="text1"/>
                      <w:kern w:val="0"/>
                      <w:sz w:val="18"/>
                      <w:szCs w:val="18"/>
                      <w:highlight w:val="none"/>
                      <w:u w:val="none"/>
                      <w:lang w:val="en-US" w:eastAsia="zh-CN" w:bidi="ar"/>
                      <w14:textFill>
                        <w14:solidFill>
                          <w14:schemeClr w14:val="tx1"/>
                        </w14:solidFill>
                      </w14:textFill>
                    </w:rPr>
                    <w:t>0.913</w:t>
                  </w:r>
                </w:p>
              </w:tc>
              <w:tc>
                <w:tcPr>
                  <w:tcW w:w="518" w:type="dxa"/>
                  <w:tcBorders>
                    <w:tl2br w:val="nil"/>
                    <w:tr2bl w:val="nil"/>
                  </w:tcBorders>
                  <w:shd w:val="clear" w:color="auto" w:fill="auto"/>
                  <w:vAlign w:val="center"/>
                </w:tcPr>
                <w:p w14:paraId="6EAC3E3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宋体" w:hAnsi="宋体" w:cs="宋体"/>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18"/>
                      <w:szCs w:val="18"/>
                      <w:highlight w:val="none"/>
                      <w:u w:val="none"/>
                      <w:lang w:val="en-US" w:eastAsia="zh-CN" w:bidi="ar"/>
                      <w14:textFill>
                        <w14:solidFill>
                          <w14:schemeClr w14:val="tx1"/>
                        </w14:solidFill>
                      </w14:textFill>
                    </w:rPr>
                    <w:t>/</w:t>
                  </w:r>
                </w:p>
              </w:tc>
            </w:tr>
          </w:tbl>
          <w:p w14:paraId="3CA5CA7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废气排放口基本情况一览表</w:t>
            </w:r>
          </w:p>
          <w:tbl>
            <w:tblPr>
              <w:tblStyle w:val="33"/>
              <w:tblW w:w="4882"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620"/>
              <w:gridCol w:w="2059"/>
              <w:gridCol w:w="1159"/>
              <w:gridCol w:w="1519"/>
              <w:gridCol w:w="1467"/>
              <w:gridCol w:w="1033"/>
              <w:gridCol w:w="1119"/>
              <w:gridCol w:w="1204"/>
              <w:gridCol w:w="1453"/>
            </w:tblGrid>
            <w:tr w14:paraId="7163300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98" w:hRule="atLeast"/>
                <w:jc w:val="center"/>
              </w:trPr>
              <w:tc>
                <w:tcPr>
                  <w:tcW w:w="641" w:type="pct"/>
                  <w:vMerge w:val="restart"/>
                  <w:tcBorders>
                    <w:tl2br w:val="nil"/>
                    <w:tr2bl w:val="nil"/>
                  </w:tcBorders>
                  <w:noWrap w:val="0"/>
                  <w:vAlign w:val="center"/>
                </w:tcPr>
                <w:p w14:paraId="3B183BD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排放口编号</w:t>
                  </w:r>
                </w:p>
              </w:tc>
              <w:tc>
                <w:tcPr>
                  <w:tcW w:w="814" w:type="pct"/>
                  <w:vMerge w:val="restart"/>
                  <w:tcBorders>
                    <w:tl2br w:val="nil"/>
                    <w:tr2bl w:val="nil"/>
                  </w:tcBorders>
                  <w:noWrap w:val="0"/>
                  <w:vAlign w:val="center"/>
                </w:tcPr>
                <w:p w14:paraId="3619D1B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排放口名称</w:t>
                  </w:r>
                </w:p>
              </w:tc>
              <w:tc>
                <w:tcPr>
                  <w:tcW w:w="458" w:type="pct"/>
                  <w:vMerge w:val="restart"/>
                  <w:tcBorders>
                    <w:tl2br w:val="nil"/>
                    <w:tr2bl w:val="nil"/>
                  </w:tcBorders>
                  <w:noWrap w:val="0"/>
                  <w:vAlign w:val="center"/>
                </w:tcPr>
                <w:p w14:paraId="170694F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污染物种类</w:t>
                  </w:r>
                </w:p>
              </w:tc>
              <w:tc>
                <w:tcPr>
                  <w:tcW w:w="1181" w:type="pct"/>
                  <w:gridSpan w:val="2"/>
                  <w:tcBorders>
                    <w:tl2br w:val="nil"/>
                    <w:tr2bl w:val="nil"/>
                  </w:tcBorders>
                  <w:noWrap w:val="0"/>
                  <w:vAlign w:val="center"/>
                </w:tcPr>
                <w:p w14:paraId="4AAAAB9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排放口地理坐标</w:t>
                  </w:r>
                </w:p>
              </w:tc>
              <w:tc>
                <w:tcPr>
                  <w:tcW w:w="408" w:type="pct"/>
                  <w:vMerge w:val="restart"/>
                  <w:tcBorders>
                    <w:tl2br w:val="nil"/>
                    <w:tr2bl w:val="nil"/>
                  </w:tcBorders>
                  <w:noWrap w:val="0"/>
                  <w:vAlign w:val="center"/>
                </w:tcPr>
                <w:p w14:paraId="26369E5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排气筒高度（m）</w:t>
                  </w:r>
                </w:p>
              </w:tc>
              <w:tc>
                <w:tcPr>
                  <w:tcW w:w="442" w:type="pct"/>
                  <w:vMerge w:val="restart"/>
                  <w:tcBorders>
                    <w:tl2br w:val="nil"/>
                    <w:tr2bl w:val="nil"/>
                  </w:tcBorders>
                  <w:noWrap w:val="0"/>
                  <w:vAlign w:val="center"/>
                </w:tcPr>
                <w:p w14:paraId="68EA7E9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排气筒内径（m）</w:t>
                  </w:r>
                </w:p>
              </w:tc>
              <w:tc>
                <w:tcPr>
                  <w:tcW w:w="476" w:type="pct"/>
                  <w:vMerge w:val="restart"/>
                  <w:tcBorders>
                    <w:tl2br w:val="nil"/>
                    <w:tr2bl w:val="nil"/>
                  </w:tcBorders>
                  <w:noWrap w:val="0"/>
                  <w:vAlign w:val="center"/>
                </w:tcPr>
                <w:p w14:paraId="7E67711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排气筒温度（℃）</w:t>
                  </w:r>
                </w:p>
              </w:tc>
              <w:tc>
                <w:tcPr>
                  <w:tcW w:w="575" w:type="pct"/>
                  <w:vMerge w:val="restart"/>
                  <w:tcBorders>
                    <w:tl2br w:val="nil"/>
                    <w:tr2bl w:val="nil"/>
                  </w:tcBorders>
                  <w:noWrap w:val="0"/>
                  <w:vAlign w:val="center"/>
                </w:tcPr>
                <w:p w14:paraId="5E16CF8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排放口类型</w:t>
                  </w:r>
                </w:p>
              </w:tc>
            </w:tr>
            <w:tr w14:paraId="293520B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0" w:hRule="atLeast"/>
                <w:jc w:val="center"/>
              </w:trPr>
              <w:tc>
                <w:tcPr>
                  <w:tcW w:w="641" w:type="pct"/>
                  <w:vMerge w:val="continue"/>
                  <w:tcBorders>
                    <w:tl2br w:val="nil"/>
                    <w:tr2bl w:val="nil"/>
                  </w:tcBorders>
                  <w:noWrap w:val="0"/>
                  <w:vAlign w:val="top"/>
                </w:tcPr>
                <w:p w14:paraId="047AE63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000000" w:themeColor="text1"/>
                      <w:spacing w:val="0"/>
                      <w:sz w:val="21"/>
                      <w:szCs w:val="21"/>
                      <w:highlight w:val="none"/>
                      <w14:textFill>
                        <w14:solidFill>
                          <w14:schemeClr w14:val="tx1"/>
                        </w14:solidFill>
                      </w14:textFill>
                    </w:rPr>
                  </w:pPr>
                </w:p>
              </w:tc>
              <w:tc>
                <w:tcPr>
                  <w:tcW w:w="814" w:type="pct"/>
                  <w:vMerge w:val="continue"/>
                  <w:tcBorders>
                    <w:tl2br w:val="nil"/>
                    <w:tr2bl w:val="nil"/>
                  </w:tcBorders>
                  <w:noWrap w:val="0"/>
                  <w:vAlign w:val="top"/>
                </w:tcPr>
                <w:p w14:paraId="59ACCDA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000000" w:themeColor="text1"/>
                      <w:spacing w:val="0"/>
                      <w:sz w:val="21"/>
                      <w:szCs w:val="21"/>
                      <w:highlight w:val="none"/>
                      <w14:textFill>
                        <w14:solidFill>
                          <w14:schemeClr w14:val="tx1"/>
                        </w14:solidFill>
                      </w14:textFill>
                    </w:rPr>
                  </w:pPr>
                </w:p>
              </w:tc>
              <w:tc>
                <w:tcPr>
                  <w:tcW w:w="458" w:type="pct"/>
                  <w:vMerge w:val="continue"/>
                  <w:tcBorders>
                    <w:tl2br w:val="nil"/>
                    <w:tr2bl w:val="nil"/>
                  </w:tcBorders>
                  <w:noWrap w:val="0"/>
                  <w:vAlign w:val="top"/>
                </w:tcPr>
                <w:p w14:paraId="23A226D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000000" w:themeColor="text1"/>
                      <w:spacing w:val="0"/>
                      <w:sz w:val="21"/>
                      <w:szCs w:val="21"/>
                      <w:highlight w:val="none"/>
                      <w14:textFill>
                        <w14:solidFill>
                          <w14:schemeClr w14:val="tx1"/>
                        </w14:solidFill>
                      </w14:textFill>
                    </w:rPr>
                  </w:pPr>
                </w:p>
              </w:tc>
              <w:tc>
                <w:tcPr>
                  <w:tcW w:w="601" w:type="pct"/>
                  <w:tcBorders>
                    <w:tl2br w:val="nil"/>
                    <w:tr2bl w:val="nil"/>
                  </w:tcBorders>
                  <w:noWrap w:val="0"/>
                  <w:vAlign w:val="center"/>
                </w:tcPr>
                <w:p w14:paraId="78BB46C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eastAsia" w:eastAsia="宋体"/>
                      <w:b w:val="0"/>
                      <w:bCs/>
                      <w:color w:val="000000" w:themeColor="text1"/>
                      <w:spacing w:val="0"/>
                      <w:sz w:val="21"/>
                      <w:szCs w:val="21"/>
                      <w:highlight w:val="none"/>
                      <w:lang w:val="en-US" w:eastAsia="zh-CN"/>
                      <w14:textFill>
                        <w14:solidFill>
                          <w14:schemeClr w14:val="tx1"/>
                        </w14:solidFill>
                      </w14:textFill>
                    </w:rPr>
                  </w:pPr>
                  <w:r>
                    <w:rPr>
                      <w:rFonts w:hint="eastAsia"/>
                      <w:b w:val="0"/>
                      <w:bCs/>
                      <w:color w:val="000000" w:themeColor="text1"/>
                      <w:spacing w:val="0"/>
                      <w:sz w:val="21"/>
                      <w:szCs w:val="21"/>
                      <w:highlight w:val="none"/>
                      <w:lang w:val="en-US" w:eastAsia="zh-CN"/>
                      <w14:textFill>
                        <w14:solidFill>
                          <w14:schemeClr w14:val="tx1"/>
                        </w14:solidFill>
                      </w14:textFill>
                    </w:rPr>
                    <w:t>经度</w:t>
                  </w:r>
                </w:p>
              </w:tc>
              <w:tc>
                <w:tcPr>
                  <w:tcW w:w="580" w:type="pct"/>
                  <w:tcBorders>
                    <w:tl2br w:val="nil"/>
                    <w:tr2bl w:val="nil"/>
                  </w:tcBorders>
                  <w:noWrap w:val="0"/>
                  <w:vAlign w:val="center"/>
                </w:tcPr>
                <w:p w14:paraId="5E4BA42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eastAsia" w:eastAsia="宋体"/>
                      <w:b w:val="0"/>
                      <w:bCs/>
                      <w:color w:val="000000" w:themeColor="text1"/>
                      <w:spacing w:val="0"/>
                      <w:sz w:val="21"/>
                      <w:szCs w:val="21"/>
                      <w:highlight w:val="none"/>
                      <w:lang w:val="en-US" w:eastAsia="zh-CN"/>
                      <w14:textFill>
                        <w14:solidFill>
                          <w14:schemeClr w14:val="tx1"/>
                        </w14:solidFill>
                      </w14:textFill>
                    </w:rPr>
                  </w:pPr>
                  <w:r>
                    <w:rPr>
                      <w:rFonts w:hint="eastAsia"/>
                      <w:b w:val="0"/>
                      <w:bCs/>
                      <w:color w:val="000000" w:themeColor="text1"/>
                      <w:spacing w:val="0"/>
                      <w:sz w:val="21"/>
                      <w:szCs w:val="21"/>
                      <w:highlight w:val="none"/>
                      <w:lang w:val="en-US" w:eastAsia="zh-CN"/>
                      <w14:textFill>
                        <w14:solidFill>
                          <w14:schemeClr w14:val="tx1"/>
                        </w14:solidFill>
                      </w14:textFill>
                    </w:rPr>
                    <w:t>纬度</w:t>
                  </w:r>
                </w:p>
              </w:tc>
              <w:tc>
                <w:tcPr>
                  <w:tcW w:w="408" w:type="pct"/>
                  <w:vMerge w:val="continue"/>
                  <w:tcBorders>
                    <w:tl2br w:val="nil"/>
                    <w:tr2bl w:val="nil"/>
                  </w:tcBorders>
                  <w:noWrap w:val="0"/>
                  <w:vAlign w:val="top"/>
                </w:tcPr>
                <w:p w14:paraId="7BADA8E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000000" w:themeColor="text1"/>
                      <w:spacing w:val="0"/>
                      <w:sz w:val="21"/>
                      <w:szCs w:val="21"/>
                      <w:highlight w:val="none"/>
                      <w14:textFill>
                        <w14:solidFill>
                          <w14:schemeClr w14:val="tx1"/>
                        </w14:solidFill>
                      </w14:textFill>
                    </w:rPr>
                  </w:pPr>
                </w:p>
              </w:tc>
              <w:tc>
                <w:tcPr>
                  <w:tcW w:w="442" w:type="pct"/>
                  <w:vMerge w:val="continue"/>
                  <w:tcBorders>
                    <w:tl2br w:val="nil"/>
                    <w:tr2bl w:val="nil"/>
                  </w:tcBorders>
                  <w:noWrap w:val="0"/>
                  <w:vAlign w:val="top"/>
                </w:tcPr>
                <w:p w14:paraId="7225C97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000000" w:themeColor="text1"/>
                      <w:spacing w:val="0"/>
                      <w:sz w:val="21"/>
                      <w:szCs w:val="21"/>
                      <w:highlight w:val="none"/>
                      <w14:textFill>
                        <w14:solidFill>
                          <w14:schemeClr w14:val="tx1"/>
                        </w14:solidFill>
                      </w14:textFill>
                    </w:rPr>
                  </w:pPr>
                </w:p>
              </w:tc>
              <w:tc>
                <w:tcPr>
                  <w:tcW w:w="476" w:type="pct"/>
                  <w:vMerge w:val="continue"/>
                  <w:tcBorders>
                    <w:tl2br w:val="nil"/>
                    <w:tr2bl w:val="nil"/>
                  </w:tcBorders>
                  <w:noWrap w:val="0"/>
                  <w:vAlign w:val="top"/>
                </w:tcPr>
                <w:p w14:paraId="2EC29BF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000000" w:themeColor="text1"/>
                      <w:spacing w:val="0"/>
                      <w:sz w:val="21"/>
                      <w:szCs w:val="21"/>
                      <w:highlight w:val="none"/>
                      <w14:textFill>
                        <w14:solidFill>
                          <w14:schemeClr w14:val="tx1"/>
                        </w14:solidFill>
                      </w14:textFill>
                    </w:rPr>
                  </w:pPr>
                </w:p>
              </w:tc>
              <w:tc>
                <w:tcPr>
                  <w:tcW w:w="575" w:type="pct"/>
                  <w:vMerge w:val="continue"/>
                  <w:tcBorders>
                    <w:tl2br w:val="nil"/>
                    <w:tr2bl w:val="nil"/>
                  </w:tcBorders>
                  <w:noWrap w:val="0"/>
                  <w:vAlign w:val="top"/>
                </w:tcPr>
                <w:p w14:paraId="63CAF16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b w:val="0"/>
                      <w:bCs/>
                      <w:color w:val="000000" w:themeColor="text1"/>
                      <w:spacing w:val="0"/>
                      <w:sz w:val="21"/>
                      <w:szCs w:val="21"/>
                      <w:highlight w:val="none"/>
                      <w14:textFill>
                        <w14:solidFill>
                          <w14:schemeClr w14:val="tx1"/>
                        </w14:solidFill>
                      </w14:textFill>
                    </w:rPr>
                  </w:pPr>
                </w:p>
              </w:tc>
            </w:tr>
            <w:tr w14:paraId="000E791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50" w:hRule="atLeast"/>
                <w:jc w:val="center"/>
              </w:trPr>
              <w:tc>
                <w:tcPr>
                  <w:tcW w:w="641" w:type="pct"/>
                  <w:tcBorders>
                    <w:tl2br w:val="nil"/>
                    <w:tr2bl w:val="nil"/>
                  </w:tcBorders>
                  <w:noWrap w:val="0"/>
                  <w:vAlign w:val="center"/>
                </w:tcPr>
                <w:p w14:paraId="7B8B458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DA002</w:t>
                  </w:r>
                </w:p>
              </w:tc>
              <w:tc>
                <w:tcPr>
                  <w:tcW w:w="814" w:type="pct"/>
                  <w:tcBorders>
                    <w:tl2br w:val="nil"/>
                    <w:tr2bl w:val="nil"/>
                  </w:tcBorders>
                  <w:noWrap w:val="0"/>
                  <w:vAlign w:val="center"/>
                </w:tcPr>
                <w:p w14:paraId="46255E3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b w:val="0"/>
                      <w:bCs/>
                      <w:color w:val="000000" w:themeColor="text1"/>
                      <w:spacing w:val="0"/>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pacing w:val="0"/>
                      <w:sz w:val="21"/>
                      <w:szCs w:val="21"/>
                      <w:highlight w:val="none"/>
                      <w:vertAlign w:val="baseline"/>
                      <w:lang w:val="en-US" w:eastAsia="zh-CN"/>
                      <w14:textFill>
                        <w14:solidFill>
                          <w14:schemeClr w14:val="tx1"/>
                        </w14:solidFill>
                      </w14:textFill>
                    </w:rPr>
                    <w:t>破碎、筛分</w:t>
                  </w:r>
                  <w:r>
                    <w:rPr>
                      <w:rFonts w:hint="eastAsia" w:ascii="Times New Roman" w:hAnsi="Times New Roman" w:eastAsia="宋体" w:cs="Times New Roman"/>
                      <w:b w:val="0"/>
                      <w:bCs/>
                      <w:color w:val="000000" w:themeColor="text1"/>
                      <w:spacing w:val="0"/>
                      <w:sz w:val="21"/>
                      <w:szCs w:val="21"/>
                      <w:highlight w:val="none"/>
                      <w:vertAlign w:val="baseline"/>
                      <w:lang w:val="en-US" w:eastAsia="zh-CN"/>
                      <w14:textFill>
                        <w14:solidFill>
                          <w14:schemeClr w14:val="tx1"/>
                        </w14:solidFill>
                      </w14:textFill>
                    </w:rPr>
                    <w:t>排放口</w:t>
                  </w:r>
                </w:p>
              </w:tc>
              <w:tc>
                <w:tcPr>
                  <w:tcW w:w="458" w:type="pct"/>
                  <w:tcBorders>
                    <w:tl2br w:val="nil"/>
                    <w:tr2bl w:val="nil"/>
                  </w:tcBorders>
                  <w:noWrap w:val="0"/>
                  <w:vAlign w:val="center"/>
                </w:tcPr>
                <w:p w14:paraId="5A79591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b w:val="0"/>
                      <w:bCs/>
                      <w:color w:val="000000" w:themeColor="text1"/>
                      <w:spacing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pacing w:val="0"/>
                      <w:sz w:val="21"/>
                      <w:szCs w:val="21"/>
                      <w:highlight w:val="none"/>
                      <w:vertAlign w:val="baseline"/>
                      <w:lang w:val="en-US" w:eastAsia="zh-CN"/>
                      <w14:textFill>
                        <w14:solidFill>
                          <w14:schemeClr w14:val="tx1"/>
                        </w14:solidFill>
                      </w14:textFill>
                    </w:rPr>
                    <w:t>颗粒物</w:t>
                  </w:r>
                </w:p>
              </w:tc>
              <w:tc>
                <w:tcPr>
                  <w:tcW w:w="601" w:type="pct"/>
                  <w:tcBorders>
                    <w:tl2br w:val="nil"/>
                    <w:tr2bl w:val="nil"/>
                  </w:tcBorders>
                  <w:noWrap w:val="0"/>
                  <w:vAlign w:val="center"/>
                </w:tcPr>
                <w:p w14:paraId="3689679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eastAsia="宋体" w:cs="Times New Roman"/>
                      <w:b w:val="0"/>
                      <w:bCs/>
                      <w:color w:val="000000" w:themeColor="text1"/>
                      <w:spacing w:val="0"/>
                      <w:sz w:val="21"/>
                      <w:szCs w:val="21"/>
                      <w:highlight w:val="none"/>
                      <w:vertAlign w:val="baseline"/>
                      <w:lang w:val="en-US" w:eastAsia="zh-CN"/>
                      <w14:textFill>
                        <w14:solidFill>
                          <w14:schemeClr w14:val="tx1"/>
                        </w14:solidFill>
                      </w14:textFill>
                    </w:rPr>
                  </w:pPr>
                  <w:r>
                    <w:rPr>
                      <w:rFonts w:hint="eastAsia" w:cs="Times New Roman"/>
                      <w:b w:val="0"/>
                      <w:bCs/>
                      <w:color w:val="000000" w:themeColor="text1"/>
                      <w:spacing w:val="0"/>
                      <w:sz w:val="21"/>
                      <w:szCs w:val="21"/>
                      <w:highlight w:val="none"/>
                      <w:vertAlign w:val="baseline"/>
                      <w:lang w:val="en-US" w:eastAsia="zh-CN"/>
                      <w14:textFill>
                        <w14:solidFill>
                          <w14:schemeClr w14:val="tx1"/>
                        </w14:solidFill>
                      </w14:textFill>
                    </w:rPr>
                    <w:t>118.583785°</w:t>
                  </w:r>
                </w:p>
              </w:tc>
              <w:tc>
                <w:tcPr>
                  <w:tcW w:w="580" w:type="pct"/>
                  <w:tcBorders>
                    <w:tl2br w:val="nil"/>
                    <w:tr2bl w:val="nil"/>
                  </w:tcBorders>
                  <w:noWrap w:val="0"/>
                  <w:vAlign w:val="center"/>
                </w:tcPr>
                <w:p w14:paraId="3EC19A2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t>39.763378°</w:t>
                  </w:r>
                </w:p>
              </w:tc>
              <w:tc>
                <w:tcPr>
                  <w:tcW w:w="408" w:type="pct"/>
                  <w:tcBorders>
                    <w:tl2br w:val="nil"/>
                    <w:tr2bl w:val="nil"/>
                  </w:tcBorders>
                  <w:noWrap w:val="0"/>
                  <w:vAlign w:val="center"/>
                </w:tcPr>
                <w:p w14:paraId="6C4E99E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15</w:t>
                  </w:r>
                </w:p>
              </w:tc>
              <w:tc>
                <w:tcPr>
                  <w:tcW w:w="442" w:type="pct"/>
                  <w:tcBorders>
                    <w:tl2br w:val="nil"/>
                    <w:tr2bl w:val="nil"/>
                  </w:tcBorders>
                  <w:noWrap w:val="0"/>
                  <w:vAlign w:val="center"/>
                </w:tcPr>
                <w:p w14:paraId="36D7FF3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1.0</w:t>
                  </w:r>
                </w:p>
              </w:tc>
              <w:tc>
                <w:tcPr>
                  <w:tcW w:w="476" w:type="pct"/>
                  <w:tcBorders>
                    <w:tl2br w:val="nil"/>
                    <w:tr2bl w:val="nil"/>
                  </w:tcBorders>
                  <w:noWrap w:val="0"/>
                  <w:vAlign w:val="center"/>
                </w:tcPr>
                <w:p w14:paraId="457D02F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常温</w:t>
                  </w:r>
                </w:p>
              </w:tc>
              <w:tc>
                <w:tcPr>
                  <w:tcW w:w="575" w:type="pct"/>
                  <w:tcBorders>
                    <w:tl2br w:val="nil"/>
                    <w:tr2bl w:val="nil"/>
                  </w:tcBorders>
                  <w:noWrap w:val="0"/>
                  <w:vAlign w:val="center"/>
                </w:tcPr>
                <w:p w14:paraId="3D834F8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auto"/>
                    <w:rPr>
                      <w:rFonts w:hint="default" w:eastAsia="宋体"/>
                      <w:b w:val="0"/>
                      <w:bCs/>
                      <w:color w:val="000000" w:themeColor="text1"/>
                      <w:spacing w:val="0"/>
                      <w:sz w:val="21"/>
                      <w:szCs w:val="21"/>
                      <w:highlight w:val="none"/>
                      <w:vertAlign w:val="baseline"/>
                      <w:lang w:val="en-US" w:eastAsia="zh-CN"/>
                      <w14:textFill>
                        <w14:solidFill>
                          <w14:schemeClr w14:val="tx1"/>
                        </w14:solidFill>
                      </w14:textFill>
                    </w:rPr>
                  </w:pPr>
                  <w:r>
                    <w:rPr>
                      <w:rFonts w:hint="eastAsia"/>
                      <w:b w:val="0"/>
                      <w:bCs/>
                      <w:color w:val="000000" w:themeColor="text1"/>
                      <w:spacing w:val="0"/>
                      <w:sz w:val="21"/>
                      <w:szCs w:val="21"/>
                      <w:highlight w:val="none"/>
                      <w:vertAlign w:val="baseline"/>
                      <w:lang w:val="en-US" w:eastAsia="zh-CN"/>
                      <w14:textFill>
                        <w14:solidFill>
                          <w14:schemeClr w14:val="tx1"/>
                        </w14:solidFill>
                      </w14:textFill>
                    </w:rPr>
                    <w:t>一般排放口</w:t>
                  </w:r>
                </w:p>
              </w:tc>
            </w:tr>
          </w:tbl>
          <w:p w14:paraId="63F0339A">
            <w:pPr>
              <w:pStyle w:val="15"/>
              <w:shd w:val="clear"/>
              <w:ind w:left="0" w:leftChars="0" w:firstLine="0" w:firstLineChars="0"/>
              <w:rPr>
                <w:rFonts w:hint="default" w:ascii="Times New Roman" w:hAnsi="Times New Roman" w:cs="Times New Roman"/>
                <w:color w:val="000000" w:themeColor="text1"/>
                <w:highlight w:val="none"/>
                <w:vertAlign w:val="baseline"/>
                <w14:textFill>
                  <w14:solidFill>
                    <w14:schemeClr w14:val="tx1"/>
                  </w14:solidFill>
                </w14:textFill>
              </w:rPr>
            </w:pPr>
          </w:p>
        </w:tc>
      </w:tr>
    </w:tbl>
    <w:p w14:paraId="26942A6E">
      <w:pPr>
        <w:pStyle w:val="15"/>
        <w:shd w:val="clear"/>
        <w:rPr>
          <w:rFonts w:hint="default" w:ascii="Times New Roman" w:hAnsi="Times New Roman" w:cs="Times New Roman"/>
          <w:color w:val="000000" w:themeColor="text1"/>
          <w:highlight w:val="none"/>
          <w14:textFill>
            <w14:solidFill>
              <w14:schemeClr w14:val="tx1"/>
            </w14:solidFill>
          </w14:textFill>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347"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746"/>
        <w:gridCol w:w="8601"/>
      </w:tblGrid>
      <w:tr w14:paraId="6230525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13585" w:hRule="atLeast"/>
          <w:jc w:val="center"/>
        </w:trPr>
        <w:tc>
          <w:tcPr>
            <w:tcW w:w="746" w:type="dxa"/>
            <w:tcBorders>
              <w:tl2br w:val="nil"/>
              <w:tr2bl w:val="nil"/>
            </w:tcBorders>
            <w:shd w:val="clear" w:color="auto" w:fill="FFFFFF"/>
            <w:noWrap w:val="0"/>
            <w:tcMar>
              <w:left w:w="28" w:type="dxa"/>
              <w:right w:w="28" w:type="dxa"/>
            </w:tcMar>
            <w:vAlign w:val="center"/>
          </w:tcPr>
          <w:p w14:paraId="5A68A2EE">
            <w:pPr>
              <w:pStyle w:val="43"/>
              <w:keepNext w:val="0"/>
              <w:keepLines w:val="0"/>
              <w:pageBreakBefore w:val="0"/>
              <w:widowControl w:val="0"/>
              <w:shd w:val="clear"/>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000000" w:themeColor="text1"/>
                <w:highlight w:val="none"/>
                <w14:textFill>
                  <w14:solidFill>
                    <w14:schemeClr w14:val="tx1"/>
                  </w14:solidFill>
                </w14:textFill>
              </w:rPr>
            </w:pPr>
          </w:p>
        </w:tc>
        <w:tc>
          <w:tcPr>
            <w:tcW w:w="8601" w:type="dxa"/>
            <w:tcBorders>
              <w:tl2br w:val="nil"/>
              <w:tr2bl w:val="nil"/>
            </w:tcBorders>
            <w:shd w:val="clear" w:color="auto" w:fill="FFFFFF"/>
            <w:noWrap w:val="0"/>
            <w:vAlign w:val="top"/>
          </w:tcPr>
          <w:p w14:paraId="20BDFB75">
            <w:pPr>
              <w:keepNext w:val="0"/>
              <w:keepLines w:val="0"/>
              <w:pageBreakBefore w:val="0"/>
              <w:widowControl w:val="0"/>
              <w:shd w:val="clear"/>
              <w:kinsoku/>
              <w:wordWrap/>
              <w:overflowPunct/>
              <w:topLinePunct w:val="0"/>
              <w:autoSpaceDE/>
              <w:autoSpaceDN/>
              <w:bidi w:val="0"/>
              <w:adjustRightInd w:val="0"/>
              <w:snapToGrid w:val="0"/>
              <w:spacing w:line="480" w:lineRule="exact"/>
              <w:ind w:firstLine="482" w:firstLineChars="200"/>
              <w:jc w:val="both"/>
              <w:textAlignment w:val="auto"/>
              <w:outlineLvl w:val="9"/>
              <w:rPr>
                <w:rFonts w:hint="default" w:ascii="Times New Roman" w:hAnsi="Times New Roman" w:cs="Times New Roman"/>
                <w:b w:val="0"/>
                <w:bCs w:val="0"/>
                <w:snapToGrid w:val="0"/>
                <w:color w:val="000000" w:themeColor="text1"/>
                <w:kern w:val="0"/>
                <w:sz w:val="24"/>
                <w:szCs w:val="24"/>
                <w:highlight w:val="none"/>
                <w:shd w:val="clear" w:color="auto" w:fill="auto"/>
                <w:lang w:val="en-US" w:eastAsia="zh-CN" w:bidi="ar-SA"/>
                <w14:textFill>
                  <w14:solidFill>
                    <w14:schemeClr w14:val="tx1"/>
                  </w14:solidFill>
                </w14:textFill>
              </w:rPr>
            </w:pPr>
            <w:r>
              <w:rPr>
                <w:rFonts w:hint="default" w:ascii="Times New Roman" w:hAnsi="Times New Roman" w:cs="Times New Roman"/>
                <w:b/>
                <w:bCs/>
                <w:snapToGrid w:val="0"/>
                <w:color w:val="000000" w:themeColor="text1"/>
                <w:kern w:val="0"/>
                <w:sz w:val="24"/>
                <w:szCs w:val="24"/>
                <w:highlight w:val="none"/>
                <w:shd w:val="clear" w:color="auto" w:fill="auto"/>
                <w:lang w:val="en-US" w:eastAsia="zh-CN" w:bidi="ar-SA"/>
                <w14:textFill>
                  <w14:solidFill>
                    <w14:schemeClr w14:val="tx1"/>
                  </w14:solidFill>
                </w14:textFill>
              </w:rPr>
              <w:t>1.1废气源强核算</w:t>
            </w:r>
          </w:p>
          <w:p w14:paraId="347B6A8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本项目废气污染源主要为不合格矿石原料装卸、堆存过程产生的废气；上料过程产生的废气；颚式破碎机上料、破碎、落料过程产生的废气；圆锥破碎机上料、破碎、落料过程产生的废气；</w:t>
            </w:r>
            <w:r>
              <w:rPr>
                <w:rFonts w:hint="eastAsia" w:ascii="Times New Roman" w:hAnsi="Times New Roman" w:eastAsia="宋体" w:cs="Times New Roman"/>
                <w:i w:val="0"/>
                <w:iCs w:val="0"/>
                <w:caps w:val="0"/>
                <w:color w:val="000000" w:themeColor="text1"/>
                <w:spacing w:val="0"/>
                <w:sz w:val="24"/>
                <w:szCs w:val="24"/>
                <w:highlight w:val="none"/>
                <w:lang w:eastAsia="zh-CN"/>
                <w14:textFill>
                  <w14:solidFill>
                    <w14:schemeClr w14:val="tx1"/>
                  </w14:solidFill>
                </w14:textFill>
              </w:rPr>
              <w:t>往复式摇筛</w:t>
            </w:r>
            <w:r>
              <w:rPr>
                <w:rFonts w:hint="eastAsia" w:ascii="Times New Roman" w:hAnsi="Times New Roman" w:cs="Times New Roman"/>
                <w:color w:val="000000" w:themeColor="text1"/>
                <w:highlight w:val="none"/>
                <w:lang w:val="en-US" w:eastAsia="zh-CN"/>
                <w14:textFill>
                  <w14:solidFill>
                    <w14:schemeClr w14:val="tx1"/>
                  </w14:solidFill>
                </w14:textFill>
              </w:rPr>
              <w:t>上料、筛分、落料过程产生的废气；合格矿石原料装卸、堆存过程产生的废气；土渣装卸、堆存过程产生的废气。</w:t>
            </w:r>
          </w:p>
          <w:p w14:paraId="27338FAA">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⑴</w:t>
            </w:r>
            <w:r>
              <w:rPr>
                <w:rFonts w:hint="eastAsia" w:ascii="Times New Roman" w:hAnsi="Times New Roman" w:cs="Times New Roman"/>
                <w:color w:val="000000" w:themeColor="text1"/>
                <w:highlight w:val="none"/>
                <w:lang w:val="en-US" w:eastAsia="zh-CN"/>
                <w14:textFill>
                  <w14:solidFill>
                    <w14:schemeClr w14:val="tx1"/>
                  </w14:solidFill>
                </w14:textFill>
              </w:rPr>
              <w:t>有组织废气</w:t>
            </w:r>
          </w:p>
          <w:p w14:paraId="35D4F0A3">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上料过程产生的废气；颚式破碎机上料、破碎、落料过程产生的废气；圆锥破碎机上料、破碎、落料过程产生的废气；</w:t>
            </w:r>
            <w:r>
              <w:rPr>
                <w:rFonts w:hint="eastAsia" w:ascii="Times New Roman" w:hAnsi="Times New Roman" w:eastAsia="宋体" w:cs="Times New Roman"/>
                <w:i w:val="0"/>
                <w:iCs w:val="0"/>
                <w:caps w:val="0"/>
                <w:color w:val="000000" w:themeColor="text1"/>
                <w:spacing w:val="0"/>
                <w:sz w:val="24"/>
                <w:szCs w:val="24"/>
                <w:highlight w:val="none"/>
                <w:lang w:eastAsia="zh-CN"/>
                <w14:textFill>
                  <w14:solidFill>
                    <w14:schemeClr w14:val="tx1"/>
                  </w14:solidFill>
                </w14:textFill>
              </w:rPr>
              <w:t>往复式摇筛</w:t>
            </w:r>
            <w:r>
              <w:rPr>
                <w:rFonts w:hint="eastAsia" w:ascii="Times New Roman" w:hAnsi="Times New Roman" w:cs="Times New Roman"/>
                <w:color w:val="000000" w:themeColor="text1"/>
                <w:highlight w:val="none"/>
                <w:lang w:val="en-US" w:eastAsia="zh-CN"/>
                <w14:textFill>
                  <w14:solidFill>
                    <w14:schemeClr w14:val="tx1"/>
                  </w14:solidFill>
                </w14:textFill>
              </w:rPr>
              <w:t>上料、筛分、落料过程产生的废气（有组织排放的废气统称“破碎、筛分废气”）</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经集气装置收集后，送</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1套</w:t>
            </w:r>
            <w:r>
              <w:rPr>
                <w:rFonts w:hint="default" w:ascii="Times New Roman" w:hAnsi="Times New Roman" w:cs="Times New Roman"/>
                <w:b w:val="0"/>
                <w:bCs w:val="0"/>
                <w:i w:val="0"/>
                <w:iCs w:val="0"/>
                <w:color w:val="000000" w:themeColor="text1"/>
                <w:sz w:val="24"/>
                <w:szCs w:val="24"/>
                <w:highlight w:val="none"/>
                <w:lang w:eastAsia="zh-CN"/>
                <w14:textFill>
                  <w14:solidFill>
                    <w14:schemeClr w14:val="tx1"/>
                  </w14:solidFill>
                </w14:textFill>
              </w:rPr>
              <w:t>脉冲布袋除尘器（</w:t>
            </w:r>
            <w:r>
              <w:rPr>
                <w:rFonts w:hint="eastAsia" w:ascii="Times New Roman" w:hAnsi="Times New Roman" w:cs="Times New Roman"/>
                <w:b w:val="0"/>
                <w:bCs w:val="0"/>
                <w:i w:val="0"/>
                <w:iCs w:val="0"/>
                <w:color w:val="000000" w:themeColor="text1"/>
                <w:sz w:val="24"/>
                <w:szCs w:val="24"/>
                <w:highlight w:val="none"/>
                <w:lang w:val="en-US" w:eastAsia="zh-CN"/>
                <w14:textFill>
                  <w14:solidFill>
                    <w14:schemeClr w14:val="tx1"/>
                  </w14:solidFill>
                </w14:textFill>
              </w:rPr>
              <w:t>45000</w:t>
            </w:r>
            <w:r>
              <w:rPr>
                <w:rFonts w:hint="default" w:ascii="Times New Roman" w:hAnsi="Times New Roman" w:cs="Times New Roman"/>
                <w:b w:val="0"/>
                <w:bCs w:val="0"/>
                <w:i w:val="0"/>
                <w:iCs w:val="0"/>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b w:val="0"/>
                <w:bCs w:val="0"/>
                <w:i w:val="0"/>
                <w:i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b w:val="0"/>
                <w:bCs w:val="0"/>
                <w:i w:val="0"/>
                <w:iCs w:val="0"/>
                <w:color w:val="000000" w:themeColor="text1"/>
                <w:sz w:val="24"/>
                <w:szCs w:val="24"/>
                <w:highlight w:val="none"/>
                <w:lang w:val="en-US" w:eastAsia="zh-CN"/>
                <w14:textFill>
                  <w14:solidFill>
                    <w14:schemeClr w14:val="tx1"/>
                  </w14:solidFill>
                </w14:textFill>
              </w:rPr>
              <w:t>/h</w:t>
            </w:r>
            <w:r>
              <w:rPr>
                <w:rFonts w:hint="default" w:ascii="Times New Roman" w:hAnsi="Times New Roman" w:cs="Times New Roman"/>
                <w:b w:val="0"/>
                <w:bCs w:val="0"/>
                <w:i w:val="0"/>
                <w:iCs w:val="0"/>
                <w:color w:val="000000" w:themeColor="text1"/>
                <w:sz w:val="24"/>
                <w:szCs w:val="24"/>
                <w:highlight w:val="none"/>
                <w:lang w:eastAsia="zh-CN"/>
                <w14:textFill>
                  <w14:solidFill>
                    <w14:schemeClr w14:val="tx1"/>
                  </w14:solidFill>
                </w14:textFill>
              </w:rPr>
              <w:t>）处理后经</w:t>
            </w:r>
            <w:r>
              <w:rPr>
                <w:rFonts w:hint="default" w:ascii="Times New Roman" w:hAnsi="Times New Roman" w:cs="Times New Roman"/>
                <w:b w:val="0"/>
                <w:bCs w:val="0"/>
                <w:i w:val="0"/>
                <w:iCs w:val="0"/>
                <w:color w:val="000000" w:themeColor="text1"/>
                <w:sz w:val="24"/>
                <w:szCs w:val="24"/>
                <w:highlight w:val="none"/>
                <w:lang w:val="en-US" w:eastAsia="zh-CN"/>
                <w14:textFill>
                  <w14:solidFill>
                    <w14:schemeClr w14:val="tx1"/>
                  </w14:solidFill>
                </w14:textFill>
              </w:rPr>
              <w:t>15m高排气筒（DA002）外排。</w:t>
            </w:r>
          </w:p>
          <w:p w14:paraId="66D26134">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参照</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《排放源统计调查产排污核算方法和系数手册》——303砖瓦、石材等建筑材料制造行业系数手册——3039其他建筑材料制造行业，破碎、筛分工序颗粒物产污系数为1.89千克/吨-产品，本项目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处理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不合格</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9万吨，因此，本项目</w:t>
            </w:r>
            <w:r>
              <w:rPr>
                <w:rFonts w:hint="eastAsia" w:ascii="Times New Roman" w:hAnsi="Times New Roman" w:cs="Times New Roman"/>
                <w:color w:val="000000" w:themeColor="text1"/>
                <w:highlight w:val="none"/>
                <w:lang w:val="en-US" w:eastAsia="zh-CN"/>
                <w14:textFill>
                  <w14:solidFill>
                    <w14:schemeClr w14:val="tx1"/>
                  </w14:solidFill>
                </w14:textFill>
              </w:rPr>
              <w:t>破碎、筛分过程颗粒物产生量为170.1t/a。</w:t>
            </w:r>
          </w:p>
          <w:p w14:paraId="31F1195F">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项目有组织废气收集及</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治理措施</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如下表所示。</w:t>
            </w:r>
          </w:p>
          <w:p w14:paraId="1B655D3C">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2AFC5840">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51569ECF">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70AEAAA2">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1190ACDD">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2CEE6DBB">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0263AA15">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4AB0862A">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634C657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734F7B5E">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6CF52C1C">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0416C40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7820C96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32766227">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有组织废气</w:t>
            </w:r>
            <w:r>
              <w:rPr>
                <w:rFonts w:hint="eastAsia" w:cs="Times New Roman"/>
                <w:b/>
                <w:bCs/>
                <w:color w:val="000000" w:themeColor="text1"/>
                <w:spacing w:val="0"/>
                <w:sz w:val="21"/>
                <w:szCs w:val="21"/>
                <w:highlight w:val="none"/>
                <w:lang w:val="en-US" w:eastAsia="zh-CN"/>
                <w14:textFill>
                  <w14:solidFill>
                    <w14:schemeClr w14:val="tx1"/>
                  </w14:solidFill>
                </w14:textFill>
              </w:rPr>
              <w:t>收集治理措施</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一览表</w:t>
            </w:r>
          </w:p>
          <w:tbl>
            <w:tblPr>
              <w:tblStyle w:val="32"/>
              <w:tblW w:w="4954"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28" w:type="dxa"/>
                <w:bottom w:w="0" w:type="dxa"/>
                <w:right w:w="28" w:type="dxa"/>
              </w:tblCellMar>
            </w:tblPr>
            <w:tblGrid>
              <w:gridCol w:w="1045"/>
              <w:gridCol w:w="840"/>
              <w:gridCol w:w="736"/>
              <w:gridCol w:w="1125"/>
              <w:gridCol w:w="3606"/>
              <w:gridCol w:w="927"/>
            </w:tblGrid>
            <w:tr w14:paraId="59C3BF5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472" w:hRule="atLeast"/>
                <w:jc w:val="center"/>
              </w:trPr>
              <w:tc>
                <w:tcPr>
                  <w:tcW w:w="1045" w:type="dxa"/>
                  <w:tcBorders>
                    <w:tl2br w:val="nil"/>
                    <w:tr2bl w:val="nil"/>
                  </w:tcBorders>
                  <w:noWrap w:val="0"/>
                  <w:vAlign w:val="center"/>
                </w:tcPr>
                <w:p w14:paraId="5FF94F8C">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污染类型</w:t>
                  </w:r>
                </w:p>
              </w:tc>
              <w:tc>
                <w:tcPr>
                  <w:tcW w:w="1576" w:type="dxa"/>
                  <w:gridSpan w:val="2"/>
                  <w:tcBorders>
                    <w:tl2br w:val="nil"/>
                    <w:tr2bl w:val="nil"/>
                  </w:tcBorders>
                  <w:noWrap w:val="0"/>
                  <w:vAlign w:val="center"/>
                </w:tcPr>
                <w:p w14:paraId="141D2002">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污染工序</w:t>
                  </w:r>
                </w:p>
              </w:tc>
              <w:tc>
                <w:tcPr>
                  <w:tcW w:w="1125" w:type="dxa"/>
                  <w:tcBorders>
                    <w:tl2br w:val="nil"/>
                    <w:tr2bl w:val="nil"/>
                  </w:tcBorders>
                  <w:noWrap w:val="0"/>
                  <w:vAlign w:val="center"/>
                </w:tcPr>
                <w:p w14:paraId="52BD8718">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主要污染物</w:t>
                  </w:r>
                </w:p>
              </w:tc>
              <w:tc>
                <w:tcPr>
                  <w:tcW w:w="4533" w:type="dxa"/>
                  <w:gridSpan w:val="2"/>
                  <w:tcBorders>
                    <w:tl2br w:val="nil"/>
                    <w:tr2bl w:val="nil"/>
                  </w:tcBorders>
                  <w:noWrap w:val="0"/>
                  <w:vAlign w:val="center"/>
                </w:tcPr>
                <w:p w14:paraId="15B0D9E1">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治理措施</w:t>
                  </w:r>
                </w:p>
              </w:tc>
            </w:tr>
            <w:tr w14:paraId="6623BE7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472" w:hRule="atLeast"/>
                <w:jc w:val="center"/>
              </w:trPr>
              <w:tc>
                <w:tcPr>
                  <w:tcW w:w="1045" w:type="dxa"/>
                  <w:vMerge w:val="restart"/>
                  <w:tcBorders>
                    <w:tl2br w:val="nil"/>
                    <w:tr2bl w:val="nil"/>
                  </w:tcBorders>
                  <w:noWrap w:val="0"/>
                  <w:vAlign w:val="center"/>
                </w:tcPr>
                <w:p w14:paraId="7FADE993">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废气</w:t>
                  </w:r>
                </w:p>
              </w:tc>
              <w:tc>
                <w:tcPr>
                  <w:tcW w:w="1576" w:type="dxa"/>
                  <w:gridSpan w:val="2"/>
                  <w:tcBorders>
                    <w:tl2br w:val="nil"/>
                    <w:tr2bl w:val="nil"/>
                  </w:tcBorders>
                  <w:noWrap w:val="0"/>
                  <w:vAlign w:val="center"/>
                </w:tcPr>
                <w:p w14:paraId="01FF593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不合格矿石原料上料过程</w:t>
                  </w:r>
                </w:p>
              </w:tc>
              <w:tc>
                <w:tcPr>
                  <w:tcW w:w="1125" w:type="dxa"/>
                  <w:tcBorders>
                    <w:tl2br w:val="nil"/>
                    <w:tr2bl w:val="nil"/>
                  </w:tcBorders>
                  <w:noWrap w:val="0"/>
                  <w:vAlign w:val="center"/>
                </w:tcPr>
                <w:p w14:paraId="2747879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606" w:type="dxa"/>
                  <w:tcBorders>
                    <w:tl2br w:val="nil"/>
                    <w:tr2bl w:val="nil"/>
                  </w:tcBorders>
                  <w:noWrap w:val="0"/>
                  <w:vAlign w:val="center"/>
                </w:tcPr>
                <w:p w14:paraId="44D760F1">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仓</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三面及顶部围挡，</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入料口上</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面设置软帘</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（软帘下高度1.5m）</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入料口下方用彩钢板封闭，顶部设置集气管</w:t>
                  </w:r>
                  <w:r>
                    <w:rPr>
                      <w:rFonts w:hint="eastAsia" w:cs="Times New Roman"/>
                      <w:b w:val="0"/>
                      <w:bCs w:val="0"/>
                      <w:strike/>
                      <w:dstrike w:val="0"/>
                      <w:snapToGrid w:val="0"/>
                      <w:color w:val="000000" w:themeColor="text1"/>
                      <w:kern w:val="0"/>
                      <w:sz w:val="21"/>
                      <w:szCs w:val="21"/>
                      <w:highlight w:val="none"/>
                      <w:vertAlign w:val="baseline"/>
                      <w:lang w:val="en-US" w:eastAsia="zh-CN" w:bidi="ar-SA"/>
                      <w14:textFill>
                        <w14:solidFill>
                          <w14:schemeClr w14:val="tx1"/>
                        </w14:solidFill>
                      </w14:textFill>
                    </w:rPr>
                    <w:t>罩</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；设置伞状喷雾抑尘装置，喷雾抑尘装置范围应覆盖整个落料点（电伴热）</w:t>
                  </w:r>
                </w:p>
              </w:tc>
              <w:tc>
                <w:tcPr>
                  <w:tcW w:w="927" w:type="dxa"/>
                  <w:vMerge w:val="restart"/>
                  <w:tcBorders>
                    <w:tl2br w:val="nil"/>
                    <w:tr2bl w:val="nil"/>
                  </w:tcBorders>
                  <w:noWrap w:val="0"/>
                  <w:vAlign w:val="center"/>
                </w:tcPr>
                <w:p w14:paraId="4BCA669F">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snapToGrid w:val="0"/>
                      <w:color w:val="000000" w:themeColor="text1"/>
                      <w:kern w:val="24"/>
                      <w:sz w:val="21"/>
                      <w:szCs w:val="21"/>
                      <w:highlight w:val="none"/>
                      <w:lang w:val="en-US" w:eastAsia="zh-CN"/>
                      <w14:textFill>
                        <w14:solidFill>
                          <w14:schemeClr w14:val="tx1"/>
                        </w14:solidFill>
                      </w14:textFill>
                    </w:rPr>
                    <w:t>1套</w:t>
                  </w:r>
                  <w:r>
                    <w:rPr>
                      <w:rFonts w:hint="default" w:ascii="Times New Roman" w:hAnsi="Times New Roman" w:cs="Times New Roman"/>
                      <w:bCs/>
                      <w:snapToGrid w:val="0"/>
                      <w:color w:val="000000" w:themeColor="text1"/>
                      <w:kern w:val="24"/>
                      <w:sz w:val="21"/>
                      <w:szCs w:val="21"/>
                      <w:highlight w:val="none"/>
                      <w:lang w:val="en-US" w:eastAsia="zh-CN"/>
                      <w14:textFill>
                        <w14:solidFill>
                          <w14:schemeClr w14:val="tx1"/>
                        </w14:solidFill>
                      </w14:textFill>
                    </w:rPr>
                    <w:t>脉冲布袋除尘器</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+15</w:t>
                  </w:r>
                  <w:r>
                    <w:rPr>
                      <w:rFonts w:hint="eastAsia" w:cs="宋体"/>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排气筒（DA002），</w:t>
                  </w:r>
                  <w:r>
                    <w:rPr>
                      <w:rFonts w:hint="eastAsia" w:cs="宋体"/>
                      <w:color w:val="000000" w:themeColor="text1"/>
                      <w:sz w:val="21"/>
                      <w:szCs w:val="21"/>
                      <w:highlight w:val="none"/>
                      <w:lang w:eastAsia="zh-CN"/>
                      <w14:textFill>
                        <w14:solidFill>
                          <w14:schemeClr w14:val="tx1"/>
                        </w14:solidFill>
                      </w14:textFill>
                    </w:rPr>
                    <w:t>风机风量</w:t>
                  </w:r>
                  <w:r>
                    <w:rPr>
                      <w:rFonts w:hint="eastAsia" w:cs="宋体"/>
                      <w:color w:val="000000" w:themeColor="text1"/>
                      <w:sz w:val="21"/>
                      <w:szCs w:val="21"/>
                      <w:highlight w:val="none"/>
                      <w:lang w:val="en-US" w:eastAsia="zh-CN"/>
                      <w14:textFill>
                        <w14:solidFill>
                          <w14:schemeClr w14:val="tx1"/>
                        </w14:solidFill>
                      </w14:textFill>
                    </w:rPr>
                    <w:t>45000m</w:t>
                  </w:r>
                  <w:r>
                    <w:rPr>
                      <w:rFonts w:hint="eastAsia" w:cs="宋体"/>
                      <w:color w:val="000000" w:themeColor="text1"/>
                      <w:sz w:val="21"/>
                      <w:szCs w:val="21"/>
                      <w:highlight w:val="none"/>
                      <w:vertAlign w:val="superscript"/>
                      <w:lang w:val="en-US" w:eastAsia="zh-CN"/>
                      <w14:textFill>
                        <w14:solidFill>
                          <w14:schemeClr w14:val="tx1"/>
                        </w14:solidFill>
                      </w14:textFill>
                    </w:rPr>
                    <w:t>3</w:t>
                  </w:r>
                  <w:r>
                    <w:rPr>
                      <w:rFonts w:hint="eastAsia" w:cs="宋体"/>
                      <w:color w:val="000000" w:themeColor="text1"/>
                      <w:sz w:val="21"/>
                      <w:szCs w:val="21"/>
                      <w:highlight w:val="none"/>
                      <w:lang w:val="en-US" w:eastAsia="zh-CN"/>
                      <w14:textFill>
                        <w14:solidFill>
                          <w14:schemeClr w14:val="tx1"/>
                        </w14:solidFill>
                      </w14:textFill>
                    </w:rPr>
                    <w:t>/h</w:t>
                  </w:r>
                </w:p>
              </w:tc>
            </w:tr>
            <w:tr w14:paraId="45A6999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18" w:hRule="atLeast"/>
                <w:jc w:val="center"/>
              </w:trPr>
              <w:tc>
                <w:tcPr>
                  <w:tcW w:w="1045" w:type="dxa"/>
                  <w:vMerge w:val="continue"/>
                  <w:tcBorders>
                    <w:tl2br w:val="nil"/>
                    <w:tr2bl w:val="nil"/>
                  </w:tcBorders>
                  <w:noWrap w:val="0"/>
                  <w:vAlign w:val="center"/>
                </w:tcPr>
                <w:p w14:paraId="45922ADE">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p>
              </w:tc>
              <w:tc>
                <w:tcPr>
                  <w:tcW w:w="840" w:type="dxa"/>
                  <w:vMerge w:val="restart"/>
                  <w:tcBorders>
                    <w:tl2br w:val="nil"/>
                    <w:tr2bl w:val="nil"/>
                  </w:tcBorders>
                  <w:noWrap w:val="0"/>
                  <w:vAlign w:val="center"/>
                </w:tcPr>
                <w:p w14:paraId="062F4D5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颚式破碎机</w:t>
                  </w:r>
                </w:p>
              </w:tc>
              <w:tc>
                <w:tcPr>
                  <w:tcW w:w="736" w:type="dxa"/>
                  <w:tcBorders>
                    <w:tl2br w:val="nil"/>
                    <w:tr2bl w:val="nil"/>
                  </w:tcBorders>
                  <w:noWrap w:val="0"/>
                  <w:vAlign w:val="center"/>
                </w:tcPr>
                <w:p w14:paraId="78C07CC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上料、破碎</w:t>
                  </w:r>
                </w:p>
              </w:tc>
              <w:tc>
                <w:tcPr>
                  <w:tcW w:w="1125" w:type="dxa"/>
                  <w:tcBorders>
                    <w:tl2br w:val="nil"/>
                    <w:tr2bl w:val="nil"/>
                  </w:tcBorders>
                  <w:noWrap w:val="0"/>
                  <w:vAlign w:val="center"/>
                </w:tcPr>
                <w:p w14:paraId="6F77B5F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606" w:type="dxa"/>
                  <w:tcBorders>
                    <w:tl2br w:val="nil"/>
                    <w:tr2bl w:val="nil"/>
                  </w:tcBorders>
                  <w:noWrap w:val="0"/>
                  <w:vAlign w:val="center"/>
                </w:tcPr>
                <w:p w14:paraId="2EFEC17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上料仓</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落料点以及</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颚式破碎机入料口</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上方设置集气罩</w:t>
                  </w:r>
                </w:p>
              </w:tc>
              <w:tc>
                <w:tcPr>
                  <w:tcW w:w="927" w:type="dxa"/>
                  <w:vMerge w:val="continue"/>
                  <w:tcBorders>
                    <w:tl2br w:val="nil"/>
                    <w:tr2bl w:val="nil"/>
                  </w:tcBorders>
                  <w:noWrap w:val="0"/>
                  <w:vAlign w:val="center"/>
                </w:tcPr>
                <w:p w14:paraId="6BA3FECD">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r>
            <w:tr w14:paraId="5E8CA48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18" w:hRule="atLeast"/>
                <w:jc w:val="center"/>
              </w:trPr>
              <w:tc>
                <w:tcPr>
                  <w:tcW w:w="1045" w:type="dxa"/>
                  <w:vMerge w:val="continue"/>
                  <w:tcBorders>
                    <w:tl2br w:val="nil"/>
                    <w:tr2bl w:val="nil"/>
                  </w:tcBorders>
                  <w:noWrap w:val="0"/>
                  <w:vAlign w:val="center"/>
                </w:tcPr>
                <w:p w14:paraId="5075EC68">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p>
              </w:tc>
              <w:tc>
                <w:tcPr>
                  <w:tcW w:w="840" w:type="dxa"/>
                  <w:vMerge w:val="continue"/>
                  <w:tcBorders>
                    <w:tl2br w:val="nil"/>
                    <w:tr2bl w:val="nil"/>
                  </w:tcBorders>
                  <w:noWrap w:val="0"/>
                  <w:vAlign w:val="center"/>
                </w:tcPr>
                <w:p w14:paraId="5FD5310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736" w:type="dxa"/>
                  <w:tcBorders>
                    <w:tl2br w:val="nil"/>
                    <w:tr2bl w:val="nil"/>
                  </w:tcBorders>
                  <w:noWrap w:val="0"/>
                  <w:vAlign w:val="center"/>
                </w:tcPr>
                <w:p w14:paraId="338978B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落料</w:t>
                  </w:r>
                </w:p>
              </w:tc>
              <w:tc>
                <w:tcPr>
                  <w:tcW w:w="1125" w:type="dxa"/>
                  <w:tcBorders>
                    <w:tl2br w:val="nil"/>
                    <w:tr2bl w:val="nil"/>
                  </w:tcBorders>
                  <w:noWrap w:val="0"/>
                  <w:vAlign w:val="center"/>
                </w:tcPr>
                <w:p w14:paraId="1808D40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606" w:type="dxa"/>
                  <w:tcBorders>
                    <w:tl2br w:val="nil"/>
                    <w:tr2bl w:val="nil"/>
                  </w:tcBorders>
                  <w:noWrap w:val="0"/>
                  <w:vAlign w:val="center"/>
                </w:tcPr>
                <w:p w14:paraId="3B63344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物料落料处全封闭，落料点上方设置集气引风口</w:t>
                  </w:r>
                </w:p>
              </w:tc>
              <w:tc>
                <w:tcPr>
                  <w:tcW w:w="927" w:type="dxa"/>
                  <w:vMerge w:val="continue"/>
                  <w:tcBorders>
                    <w:tl2br w:val="nil"/>
                    <w:tr2bl w:val="nil"/>
                  </w:tcBorders>
                  <w:noWrap w:val="0"/>
                  <w:vAlign w:val="center"/>
                </w:tcPr>
                <w:p w14:paraId="16700C68">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C582DA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18" w:hRule="atLeast"/>
                <w:jc w:val="center"/>
              </w:trPr>
              <w:tc>
                <w:tcPr>
                  <w:tcW w:w="1045" w:type="dxa"/>
                  <w:vMerge w:val="continue"/>
                  <w:tcBorders>
                    <w:tl2br w:val="nil"/>
                    <w:tr2bl w:val="nil"/>
                  </w:tcBorders>
                  <w:noWrap w:val="0"/>
                  <w:vAlign w:val="center"/>
                </w:tcPr>
                <w:p w14:paraId="10354C59">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p>
              </w:tc>
              <w:tc>
                <w:tcPr>
                  <w:tcW w:w="840" w:type="dxa"/>
                  <w:vMerge w:val="restart"/>
                  <w:tcBorders>
                    <w:tl2br w:val="nil"/>
                    <w:tr2bl w:val="nil"/>
                  </w:tcBorders>
                  <w:noWrap w:val="0"/>
                  <w:vAlign w:val="center"/>
                </w:tcPr>
                <w:p w14:paraId="02706E0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圆锥破碎机</w:t>
                  </w:r>
                </w:p>
              </w:tc>
              <w:tc>
                <w:tcPr>
                  <w:tcW w:w="736" w:type="dxa"/>
                  <w:tcBorders>
                    <w:tl2br w:val="nil"/>
                    <w:tr2bl w:val="nil"/>
                  </w:tcBorders>
                  <w:noWrap w:val="0"/>
                  <w:vAlign w:val="center"/>
                </w:tcPr>
                <w:p w14:paraId="2AE9108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上料、破碎</w:t>
                  </w:r>
                </w:p>
              </w:tc>
              <w:tc>
                <w:tcPr>
                  <w:tcW w:w="1125" w:type="dxa"/>
                  <w:tcBorders>
                    <w:tl2br w:val="nil"/>
                    <w:tr2bl w:val="nil"/>
                  </w:tcBorders>
                  <w:noWrap w:val="0"/>
                  <w:vAlign w:val="center"/>
                </w:tcPr>
                <w:p w14:paraId="1053F96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606" w:type="dxa"/>
                  <w:tcBorders>
                    <w:tl2br w:val="nil"/>
                    <w:tr2bl w:val="nil"/>
                  </w:tcBorders>
                  <w:noWrap w:val="0"/>
                  <w:vAlign w:val="center"/>
                </w:tcPr>
                <w:p w14:paraId="4B5F866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皮带输送机与圆锥破碎机封闭相连，圆锥破碎机入料口上方设置集气罩</w:t>
                  </w:r>
                </w:p>
              </w:tc>
              <w:tc>
                <w:tcPr>
                  <w:tcW w:w="927" w:type="dxa"/>
                  <w:vMerge w:val="continue"/>
                  <w:tcBorders>
                    <w:tl2br w:val="nil"/>
                    <w:tr2bl w:val="nil"/>
                  </w:tcBorders>
                  <w:noWrap w:val="0"/>
                  <w:vAlign w:val="center"/>
                </w:tcPr>
                <w:p w14:paraId="41468923">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146584A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18" w:hRule="atLeast"/>
                <w:jc w:val="center"/>
              </w:trPr>
              <w:tc>
                <w:tcPr>
                  <w:tcW w:w="1045" w:type="dxa"/>
                  <w:vMerge w:val="continue"/>
                  <w:tcBorders>
                    <w:tl2br w:val="nil"/>
                    <w:tr2bl w:val="nil"/>
                  </w:tcBorders>
                  <w:noWrap w:val="0"/>
                  <w:vAlign w:val="center"/>
                </w:tcPr>
                <w:p w14:paraId="5B23845E">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p>
              </w:tc>
              <w:tc>
                <w:tcPr>
                  <w:tcW w:w="840" w:type="dxa"/>
                  <w:vMerge w:val="continue"/>
                  <w:tcBorders>
                    <w:tl2br w:val="nil"/>
                    <w:tr2bl w:val="nil"/>
                  </w:tcBorders>
                  <w:noWrap w:val="0"/>
                  <w:vAlign w:val="center"/>
                </w:tcPr>
                <w:p w14:paraId="4B0B8A7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736" w:type="dxa"/>
                  <w:tcBorders>
                    <w:tl2br w:val="nil"/>
                    <w:tr2bl w:val="nil"/>
                  </w:tcBorders>
                  <w:noWrap w:val="0"/>
                  <w:vAlign w:val="center"/>
                </w:tcPr>
                <w:p w14:paraId="7472A66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落料</w:t>
                  </w:r>
                </w:p>
              </w:tc>
              <w:tc>
                <w:tcPr>
                  <w:tcW w:w="1125" w:type="dxa"/>
                  <w:tcBorders>
                    <w:tl2br w:val="nil"/>
                    <w:tr2bl w:val="nil"/>
                  </w:tcBorders>
                  <w:noWrap w:val="0"/>
                  <w:vAlign w:val="center"/>
                </w:tcPr>
                <w:p w14:paraId="2D15C2B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606" w:type="dxa"/>
                  <w:tcBorders>
                    <w:tl2br w:val="nil"/>
                    <w:tr2bl w:val="nil"/>
                  </w:tcBorders>
                  <w:noWrap w:val="0"/>
                  <w:vAlign w:val="center"/>
                </w:tcPr>
                <w:p w14:paraId="358101D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物料落料处全封闭，落料点上方设置集气引风口</w:t>
                  </w:r>
                </w:p>
              </w:tc>
              <w:tc>
                <w:tcPr>
                  <w:tcW w:w="927" w:type="dxa"/>
                  <w:vMerge w:val="continue"/>
                  <w:tcBorders>
                    <w:tl2br w:val="nil"/>
                    <w:tr2bl w:val="nil"/>
                  </w:tcBorders>
                  <w:noWrap w:val="0"/>
                  <w:vAlign w:val="center"/>
                </w:tcPr>
                <w:p w14:paraId="7C758B8E">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7C324F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1045" w:type="dxa"/>
                  <w:vMerge w:val="continue"/>
                  <w:tcBorders>
                    <w:tl2br w:val="nil"/>
                    <w:tr2bl w:val="nil"/>
                  </w:tcBorders>
                  <w:noWrap w:val="0"/>
                  <w:vAlign w:val="center"/>
                </w:tcPr>
                <w:p w14:paraId="0300BD09">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p>
              </w:tc>
              <w:tc>
                <w:tcPr>
                  <w:tcW w:w="840" w:type="dxa"/>
                  <w:vMerge w:val="restart"/>
                  <w:tcBorders>
                    <w:tl2br w:val="nil"/>
                    <w:tr2bl w:val="nil"/>
                  </w:tcBorders>
                  <w:noWrap w:val="0"/>
                  <w:vAlign w:val="center"/>
                </w:tcPr>
                <w:p w14:paraId="6566B27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eastAsia="宋体" w:cs="Times New Roman"/>
                      <w:i w:val="0"/>
                      <w:iCs w:val="0"/>
                      <w:caps w:val="0"/>
                      <w:color w:val="000000" w:themeColor="text1"/>
                      <w:spacing w:val="0"/>
                      <w:sz w:val="21"/>
                      <w:szCs w:val="21"/>
                      <w:highlight w:val="none"/>
                      <w:lang w:eastAsia="zh-CN"/>
                      <w14:textFill>
                        <w14:solidFill>
                          <w14:schemeClr w14:val="tx1"/>
                        </w14:solidFill>
                      </w14:textFill>
                    </w:rPr>
                    <w:t>往复式摇筛</w:t>
                  </w:r>
                </w:p>
              </w:tc>
              <w:tc>
                <w:tcPr>
                  <w:tcW w:w="736" w:type="dxa"/>
                  <w:tcBorders>
                    <w:tl2br w:val="nil"/>
                    <w:tr2bl w:val="nil"/>
                  </w:tcBorders>
                  <w:noWrap w:val="0"/>
                  <w:vAlign w:val="center"/>
                </w:tcPr>
                <w:p w14:paraId="4086998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上料、筛分</w:t>
                  </w:r>
                </w:p>
              </w:tc>
              <w:tc>
                <w:tcPr>
                  <w:tcW w:w="1125" w:type="dxa"/>
                  <w:tcBorders>
                    <w:tl2br w:val="nil"/>
                    <w:tr2bl w:val="nil"/>
                  </w:tcBorders>
                  <w:noWrap w:val="0"/>
                  <w:vAlign w:val="center"/>
                </w:tcPr>
                <w:p w14:paraId="464E7D3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颗粒物</w:t>
                  </w:r>
                </w:p>
              </w:tc>
              <w:tc>
                <w:tcPr>
                  <w:tcW w:w="3606" w:type="dxa"/>
                  <w:tcBorders>
                    <w:tl2br w:val="nil"/>
                    <w:tr2bl w:val="nil"/>
                  </w:tcBorders>
                  <w:noWrap w:val="0"/>
                  <w:vAlign w:val="center"/>
                </w:tcPr>
                <w:p w14:paraId="33BE6E0E">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本次配套建设全密闭筛分间，物料上料转运、筛分分级等产污工序均置于密闭空间内实施，在筛分间顶部开设集气引风口</w:t>
                  </w:r>
                </w:p>
              </w:tc>
              <w:tc>
                <w:tcPr>
                  <w:tcW w:w="927" w:type="dxa"/>
                  <w:vMerge w:val="continue"/>
                  <w:tcBorders>
                    <w:tl2br w:val="nil"/>
                    <w:tr2bl w:val="nil"/>
                  </w:tcBorders>
                  <w:noWrap w:val="0"/>
                  <w:vAlign w:val="center"/>
                </w:tcPr>
                <w:p w14:paraId="13992751">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0EB36FA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90" w:hRule="atLeast"/>
                <w:jc w:val="center"/>
              </w:trPr>
              <w:tc>
                <w:tcPr>
                  <w:tcW w:w="1045" w:type="dxa"/>
                  <w:vMerge w:val="continue"/>
                  <w:tcBorders>
                    <w:tl2br w:val="nil"/>
                    <w:tr2bl w:val="nil"/>
                  </w:tcBorders>
                  <w:noWrap w:val="0"/>
                  <w:vAlign w:val="center"/>
                </w:tcPr>
                <w:p w14:paraId="65BA3862">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p>
              </w:tc>
              <w:tc>
                <w:tcPr>
                  <w:tcW w:w="840" w:type="dxa"/>
                  <w:vMerge w:val="continue"/>
                  <w:tcBorders>
                    <w:tl2br w:val="nil"/>
                    <w:tr2bl w:val="nil"/>
                  </w:tcBorders>
                  <w:noWrap w:val="0"/>
                  <w:vAlign w:val="center"/>
                </w:tcPr>
                <w:p w14:paraId="5936C60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Segoe UI Symbol" w:cs="Times New Roman"/>
                      <w:i w:val="0"/>
                      <w:iCs w:val="0"/>
                      <w:caps w:val="0"/>
                      <w:color w:val="000000" w:themeColor="text1"/>
                      <w:spacing w:val="0"/>
                      <w:sz w:val="21"/>
                      <w:szCs w:val="21"/>
                      <w:highlight w:val="none"/>
                      <w14:textFill>
                        <w14:solidFill>
                          <w14:schemeClr w14:val="tx1"/>
                        </w14:solidFill>
                      </w14:textFill>
                    </w:rPr>
                  </w:pPr>
                </w:p>
              </w:tc>
              <w:tc>
                <w:tcPr>
                  <w:tcW w:w="736" w:type="dxa"/>
                  <w:vMerge w:val="restart"/>
                  <w:tcBorders>
                    <w:tl2br w:val="nil"/>
                    <w:tr2bl w:val="nil"/>
                  </w:tcBorders>
                  <w:noWrap w:val="0"/>
                  <w:vAlign w:val="center"/>
                </w:tcPr>
                <w:p w14:paraId="0AC8A73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落料</w:t>
                  </w:r>
                </w:p>
              </w:tc>
              <w:tc>
                <w:tcPr>
                  <w:tcW w:w="1125" w:type="dxa"/>
                  <w:vMerge w:val="restart"/>
                  <w:tcBorders>
                    <w:tl2br w:val="nil"/>
                    <w:tr2bl w:val="nil"/>
                  </w:tcBorders>
                  <w:noWrap w:val="0"/>
                  <w:vAlign w:val="center"/>
                </w:tcPr>
                <w:p w14:paraId="5C90CC60">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颗粒物</w:t>
                  </w:r>
                </w:p>
              </w:tc>
              <w:tc>
                <w:tcPr>
                  <w:tcW w:w="3606" w:type="dxa"/>
                  <w:tcBorders>
                    <w:tl2br w:val="nil"/>
                    <w:tr2bl w:val="nil"/>
                  </w:tcBorders>
                  <w:noWrap w:val="0"/>
                  <w:vAlign w:val="center"/>
                </w:tcPr>
                <w:p w14:paraId="3B80CE91">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土渣直接落料至往复式摇筛出料口下方皮带输送机（此落料点位于封闭的筛分间内，通过筛分间集气措施收集落料点产生的颗粒物），通过皮带机输送至筛分间外（预处理车间内），此落料点上方设置集气罩，并设置伞状喷雾抑尘装置（设置电伴热装置），喷雾抑尘装置范围覆盖整个落料点</w:t>
                  </w:r>
                </w:p>
              </w:tc>
              <w:tc>
                <w:tcPr>
                  <w:tcW w:w="927" w:type="dxa"/>
                  <w:vMerge w:val="continue"/>
                  <w:tcBorders>
                    <w:tl2br w:val="nil"/>
                    <w:tr2bl w:val="nil"/>
                  </w:tcBorders>
                  <w:noWrap w:val="0"/>
                  <w:vAlign w:val="center"/>
                </w:tcPr>
                <w:p w14:paraId="4BA7D15F">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7973E64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28" w:type="dxa"/>
                  <w:bottom w:w="0" w:type="dxa"/>
                  <w:right w:w="28" w:type="dxa"/>
                </w:tblCellMar>
              </w:tblPrEx>
              <w:trPr>
                <w:trHeight w:val="337" w:hRule="atLeast"/>
                <w:jc w:val="center"/>
              </w:trPr>
              <w:tc>
                <w:tcPr>
                  <w:tcW w:w="1045" w:type="dxa"/>
                  <w:vMerge w:val="continue"/>
                  <w:tcBorders>
                    <w:tl2br w:val="nil"/>
                    <w:tr2bl w:val="nil"/>
                  </w:tcBorders>
                  <w:noWrap w:val="0"/>
                  <w:vAlign w:val="center"/>
                </w:tcPr>
                <w:p w14:paraId="58593EEC">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default" w:ascii="Times New Roman" w:hAnsi="Times New Roman" w:cs="Times New Roman"/>
                      <w:color w:val="000000" w:themeColor="text1"/>
                      <w:sz w:val="21"/>
                      <w:szCs w:val="21"/>
                      <w:highlight w:val="none"/>
                      <w14:textFill>
                        <w14:solidFill>
                          <w14:schemeClr w14:val="tx1"/>
                        </w14:solidFill>
                      </w14:textFill>
                    </w:rPr>
                  </w:pPr>
                </w:p>
              </w:tc>
              <w:tc>
                <w:tcPr>
                  <w:tcW w:w="840" w:type="dxa"/>
                  <w:vMerge w:val="continue"/>
                  <w:tcBorders>
                    <w:tl2br w:val="nil"/>
                    <w:tr2bl w:val="nil"/>
                  </w:tcBorders>
                  <w:noWrap w:val="0"/>
                  <w:vAlign w:val="center"/>
                </w:tcPr>
                <w:p w14:paraId="49F6744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736" w:type="dxa"/>
                  <w:vMerge w:val="continue"/>
                  <w:tcBorders>
                    <w:tl2br w:val="nil"/>
                    <w:tr2bl w:val="nil"/>
                  </w:tcBorders>
                  <w:noWrap w:val="0"/>
                  <w:vAlign w:val="center"/>
                </w:tcPr>
                <w:p w14:paraId="794F977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1125" w:type="dxa"/>
                  <w:vMerge w:val="continue"/>
                  <w:tcBorders>
                    <w:tl2br w:val="nil"/>
                    <w:tr2bl w:val="nil"/>
                  </w:tcBorders>
                  <w:noWrap w:val="0"/>
                  <w:vAlign w:val="center"/>
                </w:tcPr>
                <w:p w14:paraId="40FD6EA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3606" w:type="dxa"/>
                  <w:tcBorders>
                    <w:tl2br w:val="nil"/>
                    <w:tr2bl w:val="nil"/>
                  </w:tcBorders>
                  <w:noWrap w:val="0"/>
                  <w:vAlign w:val="center"/>
                </w:tcPr>
                <w:p w14:paraId="75D9FD38">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合格矿石原料落料至筛分间外（预处理车间内），落料点上方设置集气罩，并设置伞状喷雾抑尘装置（设置电伴热装置），喷雾抑尘装置范围覆盖整个落料点</w:t>
                  </w:r>
                </w:p>
              </w:tc>
              <w:tc>
                <w:tcPr>
                  <w:tcW w:w="927" w:type="dxa"/>
                  <w:vMerge w:val="continue"/>
                  <w:tcBorders>
                    <w:tl2br w:val="nil"/>
                    <w:tr2bl w:val="nil"/>
                  </w:tcBorders>
                  <w:noWrap w:val="0"/>
                  <w:vAlign w:val="center"/>
                </w:tcPr>
                <w:p w14:paraId="6B1F42E1">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0" w:lineRule="atLeast"/>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bl>
          <w:p w14:paraId="0C77557F">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项目实施后，收集效率按95%计，废气经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1台处理能力为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45000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/h脉冲布袋除尘器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处理，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除尘器的处理效率为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99.50%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，有组织排放废气情况如下：</w:t>
            </w:r>
          </w:p>
          <w:p w14:paraId="66063B6B">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有组织废气排放情况一览表</w:t>
            </w:r>
          </w:p>
          <w:tbl>
            <w:tblPr>
              <w:tblStyle w:val="33"/>
              <w:tblW w:w="8002"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08"/>
              <w:gridCol w:w="808"/>
              <w:gridCol w:w="755"/>
              <w:gridCol w:w="755"/>
              <w:gridCol w:w="625"/>
              <w:gridCol w:w="831"/>
              <w:gridCol w:w="877"/>
              <w:gridCol w:w="711"/>
              <w:gridCol w:w="842"/>
              <w:gridCol w:w="990"/>
            </w:tblGrid>
            <w:tr w14:paraId="0B3936A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02" w:hRule="atLeast"/>
                <w:jc w:val="center"/>
              </w:trPr>
              <w:tc>
                <w:tcPr>
                  <w:tcW w:w="808" w:type="dxa"/>
                  <w:tcBorders>
                    <w:tl2br w:val="nil"/>
                    <w:tr2bl w:val="nil"/>
                  </w:tcBorders>
                  <w:noWrap w:val="0"/>
                  <w:vAlign w:val="center"/>
                </w:tcPr>
                <w:p w14:paraId="73E51D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污染源</w:t>
                  </w:r>
                </w:p>
              </w:tc>
              <w:tc>
                <w:tcPr>
                  <w:tcW w:w="808" w:type="dxa"/>
                  <w:tcBorders>
                    <w:tl2br w:val="nil"/>
                    <w:tr2bl w:val="nil"/>
                  </w:tcBorders>
                  <w:noWrap w:val="0"/>
                  <w:vAlign w:val="center"/>
                </w:tcPr>
                <w:p w14:paraId="3DF04DE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污染物</w:t>
                  </w:r>
                </w:p>
              </w:tc>
              <w:tc>
                <w:tcPr>
                  <w:tcW w:w="755" w:type="dxa"/>
                  <w:tcBorders>
                    <w:tl2br w:val="nil"/>
                    <w:tr2bl w:val="nil"/>
                  </w:tcBorders>
                  <w:noWrap w:val="0"/>
                  <w:vAlign w:val="center"/>
                </w:tcPr>
                <w:p w14:paraId="2AC132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产生量（t/a）</w:t>
                  </w:r>
                </w:p>
              </w:tc>
              <w:tc>
                <w:tcPr>
                  <w:tcW w:w="755" w:type="dxa"/>
                  <w:tcBorders>
                    <w:tl2br w:val="nil"/>
                    <w:tr2bl w:val="nil"/>
                  </w:tcBorders>
                  <w:noWrap w:val="0"/>
                  <w:vAlign w:val="center"/>
                </w:tcPr>
                <w:p w14:paraId="61F6173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kern w:val="2"/>
                      <w:sz w:val="18"/>
                      <w:szCs w:val="18"/>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运行时间（h/a）</w:t>
                  </w:r>
                </w:p>
              </w:tc>
              <w:tc>
                <w:tcPr>
                  <w:tcW w:w="625" w:type="dxa"/>
                  <w:tcBorders>
                    <w:tl2br w:val="nil"/>
                    <w:tr2bl w:val="nil"/>
                  </w:tcBorders>
                  <w:noWrap w:val="0"/>
                  <w:vAlign w:val="center"/>
                </w:tcPr>
                <w:p w14:paraId="509B2B3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收集效率</w:t>
                  </w:r>
                </w:p>
              </w:tc>
              <w:tc>
                <w:tcPr>
                  <w:tcW w:w="831" w:type="dxa"/>
                  <w:tcBorders>
                    <w:tl2br w:val="nil"/>
                    <w:tr2bl w:val="nil"/>
                  </w:tcBorders>
                  <w:noWrap w:val="0"/>
                  <w:vAlign w:val="center"/>
                </w:tcPr>
                <w:p w14:paraId="6A9CF44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kern w:val="2"/>
                      <w:sz w:val="18"/>
                      <w:szCs w:val="18"/>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处理效率</w:t>
                  </w:r>
                </w:p>
              </w:tc>
              <w:tc>
                <w:tcPr>
                  <w:tcW w:w="877" w:type="dxa"/>
                  <w:tcBorders>
                    <w:tl2br w:val="nil"/>
                    <w:tr2bl w:val="nil"/>
                  </w:tcBorders>
                  <w:noWrap w:val="0"/>
                  <w:vAlign w:val="center"/>
                </w:tcPr>
                <w:p w14:paraId="6913C4B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kern w:val="2"/>
                      <w:sz w:val="18"/>
                      <w:szCs w:val="18"/>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风机风量（m</w:t>
                  </w:r>
                  <w:r>
                    <w:rPr>
                      <w:rFonts w:hint="default" w:ascii="Times New Roman" w:hAnsi="Times New Roman" w:eastAsia="宋体" w:cs="Times New Roman"/>
                      <w:i w:val="0"/>
                      <w:iCs w:val="0"/>
                      <w:color w:val="000000" w:themeColor="text1"/>
                      <w:kern w:val="0"/>
                      <w:sz w:val="18"/>
                      <w:szCs w:val="18"/>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/h）</w:t>
                  </w:r>
                </w:p>
              </w:tc>
              <w:tc>
                <w:tcPr>
                  <w:tcW w:w="711" w:type="dxa"/>
                  <w:tcBorders>
                    <w:tl2br w:val="nil"/>
                    <w:tr2bl w:val="nil"/>
                  </w:tcBorders>
                  <w:noWrap w:val="0"/>
                  <w:vAlign w:val="center"/>
                </w:tcPr>
                <w:p w14:paraId="6C1B33D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排放量（t/a）</w:t>
                  </w:r>
                </w:p>
              </w:tc>
              <w:tc>
                <w:tcPr>
                  <w:tcW w:w="842" w:type="dxa"/>
                  <w:tcBorders>
                    <w:tl2br w:val="nil"/>
                    <w:tr2bl w:val="nil"/>
                  </w:tcBorders>
                  <w:noWrap w:val="0"/>
                  <w:vAlign w:val="center"/>
                </w:tcPr>
                <w:p w14:paraId="7D01F15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排放速率（kg/h）</w:t>
                  </w:r>
                </w:p>
              </w:tc>
              <w:tc>
                <w:tcPr>
                  <w:tcW w:w="990" w:type="dxa"/>
                  <w:tcBorders>
                    <w:tl2br w:val="nil"/>
                    <w:tr2bl w:val="nil"/>
                  </w:tcBorders>
                  <w:noWrap w:val="0"/>
                  <w:vAlign w:val="center"/>
                </w:tcPr>
                <w:p w14:paraId="1AB0BC8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pacing w:val="-6"/>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排放浓度（mg/m</w:t>
                  </w:r>
                  <w:r>
                    <w:rPr>
                      <w:rFonts w:hint="default" w:ascii="Times New Roman" w:hAnsi="Times New Roman" w:eastAsia="宋体" w:cs="Times New Roman"/>
                      <w:i w:val="0"/>
                      <w:iCs w:val="0"/>
                      <w:color w:val="000000" w:themeColor="text1"/>
                      <w:kern w:val="0"/>
                      <w:sz w:val="18"/>
                      <w:szCs w:val="18"/>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w:t>
                  </w:r>
                </w:p>
              </w:tc>
            </w:tr>
            <w:tr w14:paraId="35EFD8A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11" w:hRule="atLeast"/>
                <w:jc w:val="center"/>
              </w:trPr>
              <w:tc>
                <w:tcPr>
                  <w:tcW w:w="808" w:type="dxa"/>
                  <w:tcBorders>
                    <w:tl2br w:val="nil"/>
                    <w:tr2bl w:val="nil"/>
                  </w:tcBorders>
                  <w:noWrap w:val="0"/>
                  <w:vAlign w:val="center"/>
                </w:tcPr>
                <w:p w14:paraId="68A7E95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破碎、筛分废气</w:t>
                  </w:r>
                </w:p>
              </w:tc>
              <w:tc>
                <w:tcPr>
                  <w:tcW w:w="808" w:type="dxa"/>
                  <w:tcBorders>
                    <w:tl2br w:val="nil"/>
                    <w:tr2bl w:val="nil"/>
                  </w:tcBorders>
                  <w:noWrap w:val="0"/>
                  <w:vAlign w:val="center"/>
                </w:tcPr>
                <w:p w14:paraId="0F93161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颗粒物</w:t>
                  </w:r>
                </w:p>
              </w:tc>
              <w:tc>
                <w:tcPr>
                  <w:tcW w:w="755" w:type="dxa"/>
                  <w:tcBorders>
                    <w:tl2br w:val="nil"/>
                    <w:tr2bl w:val="nil"/>
                  </w:tcBorders>
                  <w:noWrap w:val="0"/>
                  <w:vAlign w:val="center"/>
                </w:tcPr>
                <w:p w14:paraId="4B1A028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170.1</w:t>
                  </w:r>
                </w:p>
              </w:tc>
              <w:tc>
                <w:tcPr>
                  <w:tcW w:w="755" w:type="dxa"/>
                  <w:tcBorders>
                    <w:tl2br w:val="nil"/>
                    <w:tr2bl w:val="nil"/>
                  </w:tcBorders>
                  <w:noWrap w:val="0"/>
                  <w:vAlign w:val="center"/>
                </w:tcPr>
                <w:p w14:paraId="1FF8711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2250</w:t>
                  </w:r>
                </w:p>
              </w:tc>
              <w:tc>
                <w:tcPr>
                  <w:tcW w:w="625" w:type="dxa"/>
                  <w:tcBorders>
                    <w:tl2br w:val="nil"/>
                    <w:tr2bl w:val="nil"/>
                  </w:tcBorders>
                  <w:noWrap w:val="0"/>
                  <w:vAlign w:val="center"/>
                </w:tcPr>
                <w:p w14:paraId="7C0289F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95%</w:t>
                  </w:r>
                </w:p>
              </w:tc>
              <w:tc>
                <w:tcPr>
                  <w:tcW w:w="831" w:type="dxa"/>
                  <w:tcBorders>
                    <w:tl2br w:val="nil"/>
                    <w:tr2bl w:val="nil"/>
                  </w:tcBorders>
                  <w:noWrap w:val="0"/>
                  <w:vAlign w:val="center"/>
                </w:tcPr>
                <w:p w14:paraId="29F23E9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99.50%</w:t>
                  </w:r>
                </w:p>
              </w:tc>
              <w:tc>
                <w:tcPr>
                  <w:tcW w:w="877" w:type="dxa"/>
                  <w:tcBorders>
                    <w:tl2br w:val="nil"/>
                    <w:tr2bl w:val="nil"/>
                  </w:tcBorders>
                  <w:noWrap w:val="0"/>
                  <w:vAlign w:val="center"/>
                </w:tcPr>
                <w:p w14:paraId="2126C42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45000</w:t>
                  </w:r>
                </w:p>
              </w:tc>
              <w:tc>
                <w:tcPr>
                  <w:tcW w:w="711" w:type="dxa"/>
                  <w:tcBorders>
                    <w:tl2br w:val="nil"/>
                    <w:tr2bl w:val="nil"/>
                  </w:tcBorders>
                  <w:noWrap w:val="0"/>
                  <w:vAlign w:val="center"/>
                </w:tcPr>
                <w:p w14:paraId="29E79DE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 xml:space="preserve">0.808 </w:t>
                  </w:r>
                </w:p>
              </w:tc>
              <w:tc>
                <w:tcPr>
                  <w:tcW w:w="842" w:type="dxa"/>
                  <w:tcBorders>
                    <w:tl2br w:val="nil"/>
                    <w:tr2bl w:val="nil"/>
                  </w:tcBorders>
                  <w:noWrap w:val="0"/>
                  <w:vAlign w:val="center"/>
                </w:tcPr>
                <w:p w14:paraId="551259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0.359</w:t>
                  </w:r>
                </w:p>
              </w:tc>
              <w:tc>
                <w:tcPr>
                  <w:tcW w:w="990" w:type="dxa"/>
                  <w:tcBorders>
                    <w:tl2br w:val="nil"/>
                    <w:tr2bl w:val="nil"/>
                  </w:tcBorders>
                  <w:noWrap w:val="0"/>
                  <w:vAlign w:val="center"/>
                </w:tcPr>
                <w:p w14:paraId="52E84C6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highlight w:val="none"/>
                      <w:u w:val="none"/>
                      <w:lang w:val="en-US" w:eastAsia="zh-CN" w:bidi="ar"/>
                      <w14:textFill>
                        <w14:solidFill>
                          <w14:schemeClr w14:val="tx1"/>
                        </w14:solidFill>
                      </w14:textFill>
                    </w:rPr>
                    <w:t xml:space="preserve">7.98 </w:t>
                  </w:r>
                </w:p>
              </w:tc>
            </w:tr>
          </w:tbl>
          <w:p w14:paraId="54693FD5">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综上，本项目废气治理设施进行治理后外排废气中颗粒物能够满足《</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石灰工业大气污染物排放标准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》（DB</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13/1641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-2025）及《2019年“十项重点工作”工作方案》（唐办发﹝2019﹞3号）颗粒物有组织排放限值要求：10mg/m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排气筒高度15m，满足《</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石灰工业大气污染物排放标准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》（DB</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13/1641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-2025）标准要求。</w:t>
            </w:r>
          </w:p>
          <w:p w14:paraId="270E9200">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⑵无组织排放废气</w:t>
            </w:r>
          </w:p>
          <w:p w14:paraId="6C8D134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本项目无组织排放废气包含不合格</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装卸、堆存过程产生的废气；合格矿石原料装卸、堆存过程产生的废气；土渣装卸、堆存过程产生的废气</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以及</w:t>
            </w:r>
            <w:r>
              <w:rPr>
                <w:rFonts w:hint="eastAsia" w:cs="Times New Roman"/>
                <w:color w:val="000000" w:themeColor="text1"/>
                <w:kern w:val="0"/>
                <w:sz w:val="24"/>
                <w:szCs w:val="24"/>
                <w:highlight w:val="none"/>
                <w:lang w:val="en-US" w:eastAsia="zh-CN"/>
                <w14:textFill>
                  <w14:solidFill>
                    <w14:schemeClr w14:val="tx1"/>
                  </w14:solidFill>
                </w14:textFill>
              </w:rPr>
              <w:t>有组织未收集的废气</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p>
          <w:p w14:paraId="4BA7CBA9">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①不合格</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装卸、堆存过程产生的废气；合格矿石原料装卸、堆存过程产生的废气；土渣装卸、堆存过程产生的废气</w:t>
            </w:r>
          </w:p>
          <w:p w14:paraId="7D3426B1">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参考《排放源统计调查产排污核算方法和系数手册》附表2工业源固体物料堆场颗粒物核算系数手册中固体物料堆场颗粒物的产生量和排放量的核算方法</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，对本项目物料堆场颗粒物</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进行计算。</w:t>
            </w:r>
          </w:p>
          <w:p w14:paraId="48921705">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工业企业固体物料堆存颗粒物包括装卸</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扬</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尘和风蚀扬尘，颗粒物产生量核算公式如下：</w:t>
            </w:r>
          </w:p>
          <w:p w14:paraId="18C1C7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000000" w:themeColor="text1"/>
                <w:sz w:val="32"/>
                <w:szCs w:val="32"/>
                <w:highlight w:val="none"/>
                <w14:textFill>
                  <w14:solidFill>
                    <w14:schemeClr w14:val="tx1"/>
                  </w14:solidFill>
                </w14:textFill>
              </w:rPr>
            </w:pPr>
            <w:r>
              <w:rPr>
                <w:rFonts w:hint="default"/>
                <w:i/>
                <w:iCs/>
                <w:color w:val="000000" w:themeColor="text1"/>
                <w:kern w:val="0"/>
                <w:sz w:val="28"/>
                <w:szCs w:val="28"/>
                <w:highlight w:val="none"/>
                <w:lang w:bidi="ar"/>
                <w14:textFill>
                  <w14:solidFill>
                    <w14:schemeClr w14:val="tx1"/>
                  </w14:solidFill>
                </w14:textFill>
              </w:rPr>
              <w:t xml:space="preserve">P </w:t>
            </w:r>
            <w:r>
              <w:rPr>
                <w:rFonts w:hint="default" w:ascii="Symbol" w:hAnsi="Symbol" w:cs="Symbol"/>
                <w:color w:val="000000" w:themeColor="text1"/>
                <w:kern w:val="0"/>
                <w:sz w:val="28"/>
                <w:szCs w:val="28"/>
                <w:highlight w:val="none"/>
                <w:lang w:bidi="ar"/>
                <w14:textFill>
                  <w14:solidFill>
                    <w14:schemeClr w14:val="tx1"/>
                  </w14:solidFill>
                </w14:textFill>
              </w:rPr>
              <w:t xml:space="preserve"> </w:t>
            </w:r>
            <w:r>
              <w:rPr>
                <w:rFonts w:hint="default"/>
                <w:i/>
                <w:iCs/>
                <w:color w:val="000000" w:themeColor="text1"/>
                <w:kern w:val="0"/>
                <w:sz w:val="28"/>
                <w:szCs w:val="28"/>
                <w:highlight w:val="none"/>
                <w:lang w:bidi="ar"/>
                <w14:textFill>
                  <w14:solidFill>
                    <w14:schemeClr w14:val="tx1"/>
                  </w14:solidFill>
                </w14:textFill>
              </w:rPr>
              <w:t>ZC</w:t>
            </w:r>
            <w:r>
              <w:rPr>
                <w:rFonts w:hint="default"/>
                <w:color w:val="000000" w:themeColor="text1"/>
                <w:kern w:val="0"/>
                <w:sz w:val="16"/>
                <w:szCs w:val="16"/>
                <w:highlight w:val="none"/>
                <w:lang w:bidi="ar"/>
                <w14:textFill>
                  <w14:solidFill>
                    <w14:schemeClr w14:val="tx1"/>
                  </w14:solidFill>
                </w14:textFill>
              </w:rPr>
              <w:t xml:space="preserve">y </w:t>
            </w:r>
            <w:r>
              <w:rPr>
                <w:rFonts w:hint="default" w:ascii="Symbol" w:hAnsi="Symbol" w:cs="Symbol"/>
                <w:color w:val="000000" w:themeColor="text1"/>
                <w:kern w:val="0"/>
                <w:sz w:val="28"/>
                <w:szCs w:val="28"/>
                <w:highlight w:val="none"/>
                <w:lang w:bidi="ar"/>
                <w14:textFill>
                  <w14:solidFill>
                    <w14:schemeClr w14:val="tx1"/>
                  </w14:solidFill>
                </w14:textFill>
              </w:rPr>
              <w:t xml:space="preserve"> </w:t>
            </w:r>
            <w:r>
              <w:rPr>
                <w:rFonts w:hint="default"/>
                <w:i/>
                <w:iCs/>
                <w:color w:val="000000" w:themeColor="text1"/>
                <w:kern w:val="0"/>
                <w:sz w:val="28"/>
                <w:szCs w:val="28"/>
                <w:highlight w:val="none"/>
                <w:lang w:bidi="ar"/>
                <w14:textFill>
                  <w14:solidFill>
                    <w14:schemeClr w14:val="tx1"/>
                  </w14:solidFill>
                </w14:textFill>
              </w:rPr>
              <w:t>FC</w:t>
            </w:r>
            <w:r>
              <w:rPr>
                <w:rFonts w:hint="default"/>
                <w:color w:val="000000" w:themeColor="text1"/>
                <w:kern w:val="0"/>
                <w:sz w:val="16"/>
                <w:szCs w:val="16"/>
                <w:highlight w:val="none"/>
                <w:lang w:bidi="ar"/>
                <w14:textFill>
                  <w14:solidFill>
                    <w14:schemeClr w14:val="tx1"/>
                  </w14:solidFill>
                </w14:textFill>
              </w:rPr>
              <w:t xml:space="preserve">y </w:t>
            </w:r>
            <w:r>
              <w:rPr>
                <w:rFonts w:hint="default" w:ascii="Symbol" w:hAnsi="Symbol" w:cs="Symbol"/>
                <w:color w:val="000000" w:themeColor="text1"/>
                <w:kern w:val="0"/>
                <w:sz w:val="28"/>
                <w:szCs w:val="28"/>
                <w:highlight w:val="none"/>
                <w:lang w:bidi="ar"/>
                <w14:textFill>
                  <w14:solidFill>
                    <w14:schemeClr w14:val="tx1"/>
                  </w14:solidFill>
                </w14:textFill>
              </w:rPr>
              <w:t xml:space="preserve"> </w:t>
            </w:r>
            <w:r>
              <w:rPr>
                <w:rFonts w:hint="default" w:ascii="Symbol" w:hAnsi="Symbol" w:cs="Symbol"/>
                <w:color w:val="000000" w:themeColor="text1"/>
                <w:kern w:val="0"/>
                <w:sz w:val="32"/>
                <w:szCs w:val="32"/>
                <w:highlight w:val="none"/>
                <w:lang w:bidi="ar"/>
                <w14:textFill>
                  <w14:solidFill>
                    <w14:schemeClr w14:val="tx1"/>
                  </w14:solidFill>
                </w14:textFill>
              </w:rPr>
              <w:t></w:t>
            </w:r>
            <w:r>
              <w:rPr>
                <w:rFonts w:hint="default"/>
                <w:i/>
                <w:iCs/>
                <w:color w:val="000000" w:themeColor="text1"/>
                <w:kern w:val="0"/>
                <w:sz w:val="28"/>
                <w:szCs w:val="28"/>
                <w:highlight w:val="none"/>
                <w:lang w:bidi="ar"/>
                <w14:textFill>
                  <w14:solidFill>
                    <w14:schemeClr w14:val="tx1"/>
                  </w14:solidFill>
                </w14:textFill>
              </w:rPr>
              <w:t>N</w:t>
            </w:r>
            <w:r>
              <w:rPr>
                <w:rFonts w:hint="default"/>
                <w:i/>
                <w:iCs/>
                <w:color w:val="000000" w:themeColor="text1"/>
                <w:kern w:val="0"/>
                <w:sz w:val="16"/>
                <w:szCs w:val="16"/>
                <w:highlight w:val="none"/>
                <w:lang w:bidi="ar"/>
                <w14:textFill>
                  <w14:solidFill>
                    <w14:schemeClr w14:val="tx1"/>
                  </w14:solidFill>
                </w14:textFill>
              </w:rPr>
              <w:t xml:space="preserve">C </w:t>
            </w:r>
            <w:r>
              <w:rPr>
                <w:rFonts w:hint="default" w:ascii="Symbol" w:hAnsi="Symbol" w:cs="Symbol"/>
                <w:color w:val="000000" w:themeColor="text1"/>
                <w:kern w:val="0"/>
                <w:sz w:val="28"/>
                <w:szCs w:val="28"/>
                <w:highlight w:val="none"/>
                <w:lang w:bidi="ar"/>
                <w14:textFill>
                  <w14:solidFill>
                    <w14:schemeClr w14:val="tx1"/>
                  </w14:solidFill>
                </w14:textFill>
              </w:rPr>
              <w:t xml:space="preserve"> </w:t>
            </w:r>
            <w:r>
              <w:rPr>
                <w:rFonts w:hint="default"/>
                <w:i/>
                <w:iCs/>
                <w:color w:val="000000" w:themeColor="text1"/>
                <w:kern w:val="0"/>
                <w:sz w:val="28"/>
                <w:szCs w:val="28"/>
                <w:highlight w:val="none"/>
                <w:lang w:bidi="ar"/>
                <w14:textFill>
                  <w14:solidFill>
                    <w14:schemeClr w14:val="tx1"/>
                  </w14:solidFill>
                </w14:textFill>
              </w:rPr>
              <w:t>D</w:t>
            </w:r>
            <w:r>
              <w:rPr>
                <w:rFonts w:hint="default" w:ascii="Symbol" w:hAnsi="Symbol" w:cs="Symbol"/>
                <w:color w:val="000000" w:themeColor="text1"/>
                <w:kern w:val="0"/>
                <w:sz w:val="28"/>
                <w:szCs w:val="28"/>
                <w:highlight w:val="none"/>
                <w:lang w:bidi="ar"/>
                <w14:textFill>
                  <w14:solidFill>
                    <w14:schemeClr w14:val="tx1"/>
                  </w14:solidFill>
                </w14:textFill>
              </w:rPr>
              <w:t></w:t>
            </w:r>
            <w:r>
              <w:rPr>
                <w:rFonts w:hint="default" w:ascii="Symbol" w:hAnsi="Symbol" w:cs="Symbol"/>
                <w:color w:val="000000" w:themeColor="text1"/>
                <w:kern w:val="0"/>
                <w:sz w:val="32"/>
                <w:szCs w:val="32"/>
                <w:highlight w:val="none"/>
                <w:lang w:bidi="ar"/>
                <w14:textFill>
                  <w14:solidFill>
                    <w14:schemeClr w14:val="tx1"/>
                  </w14:solidFill>
                </w14:textFill>
              </w:rPr>
              <w:t></w:t>
            </w:r>
            <w:r>
              <w:rPr>
                <w:rFonts w:hint="default"/>
                <w:color w:val="000000" w:themeColor="text1"/>
                <w:kern w:val="0"/>
                <w:sz w:val="28"/>
                <w:szCs w:val="28"/>
                <w:highlight w:val="none"/>
                <w:lang w:bidi="ar"/>
                <w14:textFill>
                  <w14:solidFill>
                    <w14:schemeClr w14:val="tx1"/>
                  </w14:solidFill>
                </w14:textFill>
              </w:rPr>
              <w:t>a/</w:t>
            </w:r>
            <w:r>
              <w:rPr>
                <w:rFonts w:hint="default"/>
                <w:i/>
                <w:iCs/>
                <w:color w:val="000000" w:themeColor="text1"/>
                <w:kern w:val="0"/>
                <w:sz w:val="28"/>
                <w:szCs w:val="28"/>
                <w:highlight w:val="none"/>
                <w:lang w:bidi="ar"/>
                <w14:textFill>
                  <w14:solidFill>
                    <w14:schemeClr w14:val="tx1"/>
                  </w14:solidFill>
                </w14:textFill>
              </w:rPr>
              <w:t>b</w:t>
            </w:r>
            <w:r>
              <w:rPr>
                <w:rFonts w:hint="default" w:ascii="Symbol" w:hAnsi="Symbol" w:cs="Symbol"/>
                <w:color w:val="000000" w:themeColor="text1"/>
                <w:kern w:val="0"/>
                <w:sz w:val="32"/>
                <w:szCs w:val="32"/>
                <w:highlight w:val="none"/>
                <w:lang w:bidi="ar"/>
                <w14:textFill>
                  <w14:solidFill>
                    <w14:schemeClr w14:val="tx1"/>
                  </w14:solidFill>
                </w14:textFill>
              </w:rPr>
              <w:t></w:t>
            </w:r>
            <w:r>
              <w:rPr>
                <w:rFonts w:hint="default" w:ascii="Symbol" w:hAnsi="Symbol" w:cs="Symbol"/>
                <w:color w:val="000000" w:themeColor="text1"/>
                <w:kern w:val="0"/>
                <w:sz w:val="28"/>
                <w:szCs w:val="28"/>
                <w:highlight w:val="none"/>
                <w:lang w:bidi="ar"/>
                <w14:textFill>
                  <w14:solidFill>
                    <w14:schemeClr w14:val="tx1"/>
                  </w14:solidFill>
                </w14:textFill>
              </w:rPr>
              <w:t></w:t>
            </w:r>
            <w:r>
              <w:rPr>
                <w:rFonts w:hint="default"/>
                <w:color w:val="000000" w:themeColor="text1"/>
                <w:kern w:val="0"/>
                <w:sz w:val="28"/>
                <w:szCs w:val="28"/>
                <w:highlight w:val="none"/>
                <w:lang w:bidi="ar"/>
                <w14:textFill>
                  <w14:solidFill>
                    <w14:schemeClr w14:val="tx1"/>
                  </w14:solidFill>
                </w14:textFill>
              </w:rPr>
              <w:t>2</w:t>
            </w:r>
            <w:r>
              <w:rPr>
                <w:rFonts w:hint="default" w:ascii="Symbol" w:hAnsi="Symbol" w:cs="Symbol"/>
                <w:color w:val="000000" w:themeColor="text1"/>
                <w:kern w:val="0"/>
                <w:sz w:val="28"/>
                <w:szCs w:val="28"/>
                <w:highlight w:val="none"/>
                <w:lang w:bidi="ar"/>
                <w14:textFill>
                  <w14:solidFill>
                    <w14:schemeClr w14:val="tx1"/>
                  </w14:solidFill>
                </w14:textFill>
              </w:rPr>
              <w:t xml:space="preserve"> </w:t>
            </w:r>
            <w:r>
              <w:rPr>
                <w:rFonts w:hint="default"/>
                <w:i/>
                <w:iCs/>
                <w:color w:val="000000" w:themeColor="text1"/>
                <w:kern w:val="0"/>
                <w:sz w:val="28"/>
                <w:szCs w:val="28"/>
                <w:highlight w:val="none"/>
                <w:lang w:bidi="ar"/>
                <w14:textFill>
                  <w14:solidFill>
                    <w14:schemeClr w14:val="tx1"/>
                  </w14:solidFill>
                </w14:textFill>
              </w:rPr>
              <w:t>E</w:t>
            </w:r>
            <w:r>
              <w:rPr>
                <w:rFonts w:hint="default"/>
                <w:color w:val="000000" w:themeColor="text1"/>
                <w:kern w:val="0"/>
                <w:sz w:val="16"/>
                <w:szCs w:val="16"/>
                <w:highlight w:val="none"/>
                <w:lang w:bidi="ar"/>
                <w14:textFill>
                  <w14:solidFill>
                    <w14:schemeClr w14:val="tx1"/>
                  </w14:solidFill>
                </w14:textFill>
              </w:rPr>
              <w:t xml:space="preserve">f </w:t>
            </w:r>
            <w:r>
              <w:rPr>
                <w:rFonts w:hint="default" w:ascii="Symbol" w:hAnsi="Symbol" w:cs="Symbol"/>
                <w:color w:val="000000" w:themeColor="text1"/>
                <w:kern w:val="0"/>
                <w:sz w:val="28"/>
                <w:szCs w:val="28"/>
                <w:highlight w:val="none"/>
                <w:lang w:bidi="ar"/>
                <w14:textFill>
                  <w14:solidFill>
                    <w14:schemeClr w14:val="tx1"/>
                  </w14:solidFill>
                </w14:textFill>
              </w:rPr>
              <w:t xml:space="preserve"> </w:t>
            </w:r>
            <w:r>
              <w:rPr>
                <w:rFonts w:hint="default"/>
                <w:i/>
                <w:iCs/>
                <w:color w:val="000000" w:themeColor="text1"/>
                <w:kern w:val="0"/>
                <w:sz w:val="28"/>
                <w:szCs w:val="28"/>
                <w:highlight w:val="none"/>
                <w:lang w:bidi="ar"/>
                <w14:textFill>
                  <w14:solidFill>
                    <w14:schemeClr w14:val="tx1"/>
                  </w14:solidFill>
                </w14:textFill>
              </w:rPr>
              <w:t>S</w:t>
            </w:r>
            <w:r>
              <w:rPr>
                <w:rFonts w:hint="default" w:ascii="Symbol" w:hAnsi="Symbol" w:cs="Symbol"/>
                <w:color w:val="000000" w:themeColor="text1"/>
                <w:kern w:val="0"/>
                <w:sz w:val="32"/>
                <w:szCs w:val="32"/>
                <w:highlight w:val="none"/>
                <w:lang w:bidi="ar"/>
                <w14:textFill>
                  <w14:solidFill>
                    <w14:schemeClr w14:val="tx1"/>
                  </w14:solidFill>
                </w14:textFill>
              </w:rPr>
              <w:t></w:t>
            </w:r>
            <w:r>
              <w:rPr>
                <w:rFonts w:hint="default" w:ascii="Symbol" w:hAnsi="Symbol" w:cs="Symbol"/>
                <w:color w:val="000000" w:themeColor="text1"/>
                <w:kern w:val="0"/>
                <w:sz w:val="28"/>
                <w:szCs w:val="28"/>
                <w:highlight w:val="none"/>
                <w:lang w:bidi="ar"/>
                <w14:textFill>
                  <w14:solidFill>
                    <w14:schemeClr w14:val="tx1"/>
                  </w14:solidFill>
                </w14:textFill>
              </w:rPr>
              <w:t></w:t>
            </w:r>
            <w:r>
              <w:rPr>
                <w:rFonts w:hint="default"/>
                <w:color w:val="000000" w:themeColor="text1"/>
                <w:kern w:val="0"/>
                <w:sz w:val="28"/>
                <w:szCs w:val="28"/>
                <w:highlight w:val="none"/>
                <w:lang w:bidi="ar"/>
                <w14:textFill>
                  <w14:solidFill>
                    <w14:schemeClr w14:val="tx1"/>
                  </w14:solidFill>
                </w14:textFill>
              </w:rPr>
              <w:t>10</w:t>
            </w:r>
            <w:r>
              <w:rPr>
                <w:rFonts w:hint="eastAsia"/>
                <w:color w:val="000000" w:themeColor="text1"/>
                <w:kern w:val="0"/>
                <w:sz w:val="28"/>
                <w:szCs w:val="28"/>
                <w:highlight w:val="none"/>
                <w:vertAlign w:val="superscript"/>
                <w:lang w:bidi="ar"/>
                <w14:textFill>
                  <w14:solidFill>
                    <w14:schemeClr w14:val="tx1"/>
                  </w14:solidFill>
                </w14:textFill>
              </w:rPr>
              <w:t>-3</w:t>
            </w:r>
          </w:p>
          <w:p w14:paraId="4ABDF27B">
            <w:pPr>
              <w:pStyle w:val="44"/>
              <w:keepNext w:val="0"/>
              <w:keepLines w:val="0"/>
              <w:pageBreakBefore w:val="0"/>
              <w:widowControl w:val="0"/>
              <w:suppressLineNumbers w:val="0"/>
              <w:shd w:val="clear"/>
              <w:tabs>
                <w:tab w:val="center" w:pos="0"/>
                <w:tab w:val="center" w:pos="4153"/>
                <w:tab w:val="right" w:pos="8306"/>
              </w:tabs>
              <w:kinsoku/>
              <w:wordWrap/>
              <w:overflowPunct/>
              <w:topLinePunct w:val="0"/>
              <w:autoSpaceDE/>
              <w:autoSpaceDN/>
              <w:bidi w:val="0"/>
              <w:adjustRightInd/>
              <w:snapToGrid/>
              <w:spacing w:before="0" w:beforeAutospacing="0" w:after="0" w:afterLines="0" w:afterAutospacing="0" w:line="480" w:lineRule="exact"/>
              <w:ind w:left="0" w:right="0" w:firstLine="480"/>
              <w:textAlignment w:val="auto"/>
              <w:rPr>
                <w:rFonts w:hint="default" w:ascii="Times New Roman" w:hAnsi="Times New Roman" w:cs="Times New Roman"/>
                <w:snapToGrid w:val="0"/>
                <w:color w:val="000000" w:themeColor="text1"/>
                <w:kern w:val="0"/>
                <w:sz w:val="24"/>
                <w:szCs w:val="24"/>
                <w:highlight w:val="none"/>
                <w14:textFill>
                  <w14:solidFill>
                    <w14:schemeClr w14:val="tx1"/>
                  </w14:solidFill>
                </w14:textFill>
              </w:rPr>
            </w:pPr>
            <w:r>
              <w:rPr>
                <w:rFonts w:hint="default" w:ascii="Times New Roman" w:hAnsi="Times New Roman" w:cs="Times New Roman"/>
                <w:snapToGrid w:val="0"/>
                <w:color w:val="000000" w:themeColor="text1"/>
                <w:kern w:val="0"/>
                <w:sz w:val="24"/>
                <w:szCs w:val="24"/>
                <w:highlight w:val="none"/>
                <w14:textFill>
                  <w14:solidFill>
                    <w14:schemeClr w14:val="tx1"/>
                  </w14:solidFill>
                </w14:textFill>
              </w:rPr>
              <w:t>式中：</w:t>
            </w:r>
          </w:p>
          <w:p w14:paraId="377DC3BF">
            <w:pPr>
              <w:pStyle w:val="65"/>
              <w:keepNext w:val="0"/>
              <w:keepLines w:val="0"/>
              <w:pageBreakBefore w:val="0"/>
              <w:widowControl w:val="0"/>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P-颗粒物产生量，t/a；</w:t>
            </w:r>
          </w:p>
          <w:p w14:paraId="66C191FF">
            <w:pPr>
              <w:pStyle w:val="65"/>
              <w:keepNext w:val="0"/>
              <w:keepLines w:val="0"/>
              <w:pageBreakBefore w:val="0"/>
              <w:widowControl w:val="0"/>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ZCy-装卸扬尘产生量，t/a；</w:t>
            </w:r>
          </w:p>
          <w:p w14:paraId="560C4362">
            <w:pPr>
              <w:pStyle w:val="65"/>
              <w:keepNext w:val="0"/>
              <w:keepLines w:val="0"/>
              <w:pageBreakBefore w:val="0"/>
              <w:widowControl w:val="0"/>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FCy-风蚀扬尘产生量，t/a。</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物料在封闭的车间内储存，不考虑</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风蚀扬尘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DB4BF91">
            <w:pPr>
              <w:pStyle w:val="65"/>
              <w:keepNext w:val="0"/>
              <w:keepLines w:val="0"/>
              <w:pageBreakBefore w:val="0"/>
              <w:widowControl w:val="0"/>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Nc-年物料运载车次，车/a；</w:t>
            </w:r>
          </w:p>
          <w:p w14:paraId="4E8EFFF7">
            <w:pPr>
              <w:pStyle w:val="65"/>
              <w:keepNext w:val="0"/>
              <w:keepLines w:val="0"/>
              <w:pageBreakBefore w:val="0"/>
              <w:widowControl w:val="0"/>
              <w:numPr>
                <w:ilvl w:val="0"/>
                <w:numId w:val="15"/>
              </w:numPr>
              <w:shd w:val="clear"/>
              <w:kinsoku/>
              <w:wordWrap/>
              <w:overflowPunct/>
              <w:topLinePunct w:val="0"/>
              <w:autoSpaceDE/>
              <w:autoSpaceDN/>
              <w:bidi w:val="0"/>
              <w:snapToGrid/>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单车平均运载量，t/车；</w:t>
            </w:r>
          </w:p>
          <w:p w14:paraId="71E2F4E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年物料运载车次及单车平均运载量</w:t>
            </w:r>
          </w:p>
          <w:tbl>
            <w:tblPr>
              <w:tblStyle w:val="33"/>
              <w:tblW w:w="797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800"/>
              <w:gridCol w:w="1842"/>
              <w:gridCol w:w="1619"/>
              <w:gridCol w:w="1619"/>
              <w:gridCol w:w="1097"/>
            </w:tblGrid>
            <w:tr w14:paraId="32F6D30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0" w:hRule="atLeast"/>
                <w:jc w:val="center"/>
              </w:trPr>
              <w:tc>
                <w:tcPr>
                  <w:tcW w:w="1800" w:type="dxa"/>
                  <w:tcBorders>
                    <w:tl2br w:val="nil"/>
                    <w:tr2bl w:val="nil"/>
                  </w:tcBorders>
                  <w:vAlign w:val="center"/>
                </w:tcPr>
                <w:p w14:paraId="0FBB06C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物料名称</w:t>
                  </w:r>
                </w:p>
              </w:tc>
              <w:tc>
                <w:tcPr>
                  <w:tcW w:w="1842" w:type="dxa"/>
                  <w:tcBorders>
                    <w:tl2br w:val="nil"/>
                    <w:tr2bl w:val="nil"/>
                  </w:tcBorders>
                  <w:vAlign w:val="center"/>
                </w:tcPr>
                <w:p w14:paraId="6B89384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年运载量（万t/a）</w:t>
                  </w:r>
                </w:p>
              </w:tc>
              <w:tc>
                <w:tcPr>
                  <w:tcW w:w="1619" w:type="dxa"/>
                  <w:tcBorders>
                    <w:tl2br w:val="nil"/>
                    <w:tr2bl w:val="nil"/>
                  </w:tcBorders>
                  <w:vAlign w:val="center"/>
                </w:tcPr>
                <w:p w14:paraId="705BB68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单次运载量（t）</w:t>
                  </w:r>
                </w:p>
              </w:tc>
              <w:tc>
                <w:tcPr>
                  <w:tcW w:w="1619" w:type="dxa"/>
                  <w:tcBorders>
                    <w:tl2br w:val="nil"/>
                    <w:tr2bl w:val="nil"/>
                  </w:tcBorders>
                  <w:vAlign w:val="center"/>
                </w:tcPr>
                <w:p w14:paraId="6B735F0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年运输车次</w:t>
                  </w:r>
                </w:p>
              </w:tc>
              <w:tc>
                <w:tcPr>
                  <w:tcW w:w="1097" w:type="dxa"/>
                  <w:tcBorders>
                    <w:tl2br w:val="nil"/>
                    <w:tr2bl w:val="nil"/>
                  </w:tcBorders>
                  <w:vAlign w:val="center"/>
                </w:tcPr>
                <w:p w14:paraId="2DC1FEE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备注</w:t>
                  </w:r>
                </w:p>
              </w:tc>
            </w:tr>
            <w:tr w14:paraId="0C8B59D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0" w:hRule="atLeast"/>
                <w:jc w:val="center"/>
              </w:trPr>
              <w:tc>
                <w:tcPr>
                  <w:tcW w:w="1800" w:type="dxa"/>
                  <w:tcBorders>
                    <w:tl2br w:val="nil"/>
                    <w:tr2bl w:val="nil"/>
                  </w:tcBorders>
                  <w:vAlign w:val="center"/>
                </w:tcPr>
                <w:p w14:paraId="07B1037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不合格矿石原料</w:t>
                  </w:r>
                </w:p>
              </w:tc>
              <w:tc>
                <w:tcPr>
                  <w:tcW w:w="1842" w:type="dxa"/>
                  <w:tcBorders>
                    <w:tl2br w:val="nil"/>
                    <w:tr2bl w:val="nil"/>
                  </w:tcBorders>
                  <w:vAlign w:val="center"/>
                </w:tcPr>
                <w:p w14:paraId="66162D4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90000</w:t>
                  </w:r>
                </w:p>
              </w:tc>
              <w:tc>
                <w:tcPr>
                  <w:tcW w:w="1619" w:type="dxa"/>
                  <w:tcBorders>
                    <w:tl2br w:val="nil"/>
                    <w:tr2bl w:val="nil"/>
                  </w:tcBorders>
                  <w:vAlign w:val="center"/>
                </w:tcPr>
                <w:p w14:paraId="4CD00FE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15</w:t>
                  </w:r>
                </w:p>
              </w:tc>
              <w:tc>
                <w:tcPr>
                  <w:tcW w:w="1619" w:type="dxa"/>
                  <w:tcBorders>
                    <w:tl2br w:val="nil"/>
                    <w:tr2bl w:val="nil"/>
                  </w:tcBorders>
                  <w:vAlign w:val="center"/>
                </w:tcPr>
                <w:p w14:paraId="0B81E48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6000</w:t>
                  </w:r>
                </w:p>
              </w:tc>
              <w:tc>
                <w:tcPr>
                  <w:tcW w:w="1097" w:type="dxa"/>
                  <w:tcBorders>
                    <w:tl2br w:val="nil"/>
                    <w:tr2bl w:val="nil"/>
                  </w:tcBorders>
                  <w:vAlign w:val="center"/>
                </w:tcPr>
                <w:p w14:paraId="1D5A5A8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货运汽车</w:t>
                  </w:r>
                </w:p>
              </w:tc>
            </w:tr>
            <w:tr w14:paraId="24EAD46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0" w:hRule="atLeast"/>
                <w:jc w:val="center"/>
              </w:trPr>
              <w:tc>
                <w:tcPr>
                  <w:tcW w:w="1800" w:type="dxa"/>
                  <w:tcBorders>
                    <w:tl2br w:val="nil"/>
                    <w:tr2bl w:val="nil"/>
                  </w:tcBorders>
                  <w:vAlign w:val="center"/>
                </w:tcPr>
                <w:p w14:paraId="40FF451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合格矿石原料</w:t>
                  </w:r>
                </w:p>
              </w:tc>
              <w:tc>
                <w:tcPr>
                  <w:tcW w:w="1842" w:type="dxa"/>
                  <w:tcBorders>
                    <w:tl2br w:val="nil"/>
                    <w:tr2bl w:val="nil"/>
                  </w:tcBorders>
                  <w:vAlign w:val="center"/>
                </w:tcPr>
                <w:p w14:paraId="00E58C63">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60000</w:t>
                  </w:r>
                </w:p>
              </w:tc>
              <w:tc>
                <w:tcPr>
                  <w:tcW w:w="1619" w:type="dxa"/>
                  <w:tcBorders>
                    <w:tl2br w:val="nil"/>
                    <w:tr2bl w:val="nil"/>
                  </w:tcBorders>
                  <w:vAlign w:val="center"/>
                </w:tcPr>
                <w:p w14:paraId="46958F91">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4</w:t>
                  </w:r>
                </w:p>
              </w:tc>
              <w:tc>
                <w:tcPr>
                  <w:tcW w:w="1619" w:type="dxa"/>
                  <w:tcBorders>
                    <w:tl2br w:val="nil"/>
                    <w:tr2bl w:val="nil"/>
                  </w:tcBorders>
                  <w:vAlign w:val="center"/>
                </w:tcPr>
                <w:p w14:paraId="380F32E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15000</w:t>
                  </w:r>
                </w:p>
              </w:tc>
              <w:tc>
                <w:tcPr>
                  <w:tcW w:w="1097" w:type="dxa"/>
                  <w:tcBorders>
                    <w:tl2br w:val="nil"/>
                    <w:tr2bl w:val="nil"/>
                  </w:tcBorders>
                  <w:vAlign w:val="center"/>
                </w:tcPr>
                <w:p w14:paraId="4EFA01B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装载机</w:t>
                  </w:r>
                </w:p>
              </w:tc>
            </w:tr>
            <w:tr w14:paraId="677B1D0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0" w:hRule="atLeast"/>
                <w:jc w:val="center"/>
              </w:trPr>
              <w:tc>
                <w:tcPr>
                  <w:tcW w:w="1800" w:type="dxa"/>
                  <w:tcBorders>
                    <w:tl2br w:val="nil"/>
                    <w:tr2bl w:val="nil"/>
                  </w:tcBorders>
                  <w:vAlign w:val="center"/>
                </w:tcPr>
                <w:p w14:paraId="251E143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土渣</w:t>
                  </w:r>
                </w:p>
              </w:tc>
              <w:tc>
                <w:tcPr>
                  <w:tcW w:w="1842" w:type="dxa"/>
                  <w:tcBorders>
                    <w:tl2br w:val="nil"/>
                    <w:tr2bl w:val="nil"/>
                  </w:tcBorders>
                  <w:vAlign w:val="center"/>
                </w:tcPr>
                <w:p w14:paraId="23007CD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30000</w:t>
                  </w:r>
                </w:p>
              </w:tc>
              <w:tc>
                <w:tcPr>
                  <w:tcW w:w="1619" w:type="dxa"/>
                  <w:tcBorders>
                    <w:tl2br w:val="nil"/>
                    <w:tr2bl w:val="nil"/>
                  </w:tcBorders>
                  <w:vAlign w:val="center"/>
                </w:tcPr>
                <w:p w14:paraId="373D99E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30</w:t>
                  </w:r>
                </w:p>
              </w:tc>
              <w:tc>
                <w:tcPr>
                  <w:tcW w:w="1619" w:type="dxa"/>
                  <w:tcBorders>
                    <w:tl2br w:val="nil"/>
                    <w:tr2bl w:val="nil"/>
                  </w:tcBorders>
                  <w:vAlign w:val="center"/>
                </w:tcPr>
                <w:p w14:paraId="104B230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1000</w:t>
                  </w:r>
                </w:p>
              </w:tc>
              <w:tc>
                <w:tcPr>
                  <w:tcW w:w="1097" w:type="dxa"/>
                  <w:tcBorders>
                    <w:tl2br w:val="nil"/>
                    <w:tr2bl w:val="nil"/>
                  </w:tcBorders>
                  <w:vAlign w:val="center"/>
                </w:tcPr>
                <w:p w14:paraId="25B101AA">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货运汽车</w:t>
                  </w:r>
                </w:p>
              </w:tc>
            </w:tr>
          </w:tbl>
          <w:p w14:paraId="4077FD65">
            <w:pPr>
              <w:pStyle w:val="65"/>
              <w:keepNext w:val="0"/>
              <w:keepLines w:val="0"/>
              <w:pageBreakBefore w:val="0"/>
              <w:widowControl w:val="0"/>
              <w:numPr>
                <w:ilvl w:val="0"/>
                <w:numId w:val="0"/>
              </w:numPr>
              <w:shd w:val="clear"/>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a/b-装卸扬尘概化系数，kg/t；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指各省风速概化系数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，河北省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风速概化系数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为0.0010；b</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指物料含水率概化系数，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类型按块矿计，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物料含水率概化系数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为0.0064。因此</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a/b</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为0.15625。</w:t>
            </w:r>
          </w:p>
          <w:p w14:paraId="05303AF0">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Ef-堆场风蚀扬尘概化系数，kg/m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60731B52">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S——堆场占地面积，m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4E2B042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物料堆存占地面积</w:t>
            </w:r>
          </w:p>
          <w:tbl>
            <w:tblPr>
              <w:tblStyle w:val="33"/>
              <w:tblW w:w="7859"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3884"/>
              <w:gridCol w:w="3975"/>
            </w:tblGrid>
            <w:tr w14:paraId="605187C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3884" w:type="dxa"/>
                  <w:tcBorders>
                    <w:tl2br w:val="nil"/>
                    <w:tr2bl w:val="nil"/>
                  </w:tcBorders>
                  <w:vAlign w:val="center"/>
                </w:tcPr>
                <w:p w14:paraId="3CECDCE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物料名称</w:t>
                  </w:r>
                </w:p>
              </w:tc>
              <w:tc>
                <w:tcPr>
                  <w:tcW w:w="3975" w:type="dxa"/>
                  <w:tcBorders>
                    <w:tl2br w:val="nil"/>
                    <w:tr2bl w:val="nil"/>
                  </w:tcBorders>
                  <w:vAlign w:val="center"/>
                </w:tcPr>
                <w:p w14:paraId="6FE5E52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占地面积（m</w:t>
                  </w:r>
                  <w:r>
                    <w:rPr>
                      <w:rFonts w:hint="eastAsia"/>
                      <w:color w:val="000000" w:themeColor="text1"/>
                      <w:sz w:val="21"/>
                      <w:szCs w:val="21"/>
                      <w:highlight w:val="none"/>
                      <w:vertAlign w:val="superscript"/>
                      <w:lang w:val="en-US" w:eastAsia="zh-CN"/>
                      <w14:textFill>
                        <w14:solidFill>
                          <w14:schemeClr w14:val="tx1"/>
                        </w14:solidFill>
                      </w14:textFill>
                    </w:rPr>
                    <w:t>2</w:t>
                  </w:r>
                  <w:r>
                    <w:rPr>
                      <w:rFonts w:hint="eastAsia"/>
                      <w:color w:val="000000" w:themeColor="text1"/>
                      <w:sz w:val="21"/>
                      <w:szCs w:val="21"/>
                      <w:highlight w:val="none"/>
                      <w:vertAlign w:val="baseline"/>
                      <w:lang w:val="en-US" w:eastAsia="zh-CN"/>
                      <w14:textFill>
                        <w14:solidFill>
                          <w14:schemeClr w14:val="tx1"/>
                        </w14:solidFill>
                      </w14:textFill>
                    </w:rPr>
                    <w:t>）</w:t>
                  </w:r>
                </w:p>
              </w:tc>
            </w:tr>
            <w:tr w14:paraId="1BEC7B2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3884" w:type="dxa"/>
                  <w:tcBorders>
                    <w:tl2br w:val="nil"/>
                    <w:tr2bl w:val="nil"/>
                  </w:tcBorders>
                  <w:vAlign w:val="center"/>
                </w:tcPr>
                <w:p w14:paraId="092CE75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不合格</w:t>
                  </w:r>
                  <w:r>
                    <w:rPr>
                      <w:rFonts w:hint="eastAsia" w:cs="Times New Roman"/>
                      <w:color w:val="000000" w:themeColor="text1"/>
                      <w:sz w:val="21"/>
                      <w:szCs w:val="21"/>
                      <w:highlight w:val="none"/>
                      <w:lang w:val="en-US" w:eastAsia="zh-CN"/>
                      <w14:textFill>
                        <w14:solidFill>
                          <w14:schemeClr w14:val="tx1"/>
                        </w14:solidFill>
                      </w14:textFill>
                    </w:rPr>
                    <w:t>矿石原料</w:t>
                  </w:r>
                </w:p>
              </w:tc>
              <w:tc>
                <w:tcPr>
                  <w:tcW w:w="3975" w:type="dxa"/>
                  <w:tcBorders>
                    <w:tl2br w:val="nil"/>
                    <w:tr2bl w:val="nil"/>
                  </w:tcBorders>
                  <w:vAlign w:val="center"/>
                </w:tcPr>
                <w:p w14:paraId="06CCE4C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1000</w:t>
                  </w:r>
                </w:p>
              </w:tc>
            </w:tr>
            <w:tr w14:paraId="1E5BBC6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3884" w:type="dxa"/>
                  <w:tcBorders>
                    <w:tl2br w:val="nil"/>
                    <w:tr2bl w:val="nil"/>
                  </w:tcBorders>
                  <w:vAlign w:val="center"/>
                </w:tcPr>
                <w:p w14:paraId="12CE2A9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合格</w:t>
                  </w:r>
                  <w:r>
                    <w:rPr>
                      <w:rFonts w:hint="eastAsia" w:cs="Times New Roman"/>
                      <w:color w:val="000000" w:themeColor="text1"/>
                      <w:sz w:val="21"/>
                      <w:szCs w:val="21"/>
                      <w:highlight w:val="none"/>
                      <w:lang w:val="en-US" w:eastAsia="zh-CN"/>
                      <w14:textFill>
                        <w14:solidFill>
                          <w14:schemeClr w14:val="tx1"/>
                        </w14:solidFill>
                      </w14:textFill>
                    </w:rPr>
                    <w:t>矿石原料</w:t>
                  </w:r>
                </w:p>
              </w:tc>
              <w:tc>
                <w:tcPr>
                  <w:tcW w:w="3975" w:type="dxa"/>
                  <w:tcBorders>
                    <w:tl2br w:val="nil"/>
                    <w:tr2bl w:val="nil"/>
                  </w:tcBorders>
                  <w:vAlign w:val="center"/>
                </w:tcPr>
                <w:p w14:paraId="090CE90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500</w:t>
                  </w:r>
                </w:p>
              </w:tc>
            </w:tr>
            <w:tr w14:paraId="1B94E86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3884" w:type="dxa"/>
                  <w:tcBorders>
                    <w:tl2br w:val="nil"/>
                    <w:tr2bl w:val="nil"/>
                  </w:tcBorders>
                  <w:vAlign w:val="center"/>
                </w:tcPr>
                <w:p w14:paraId="774E66C9">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土渣</w:t>
                  </w:r>
                </w:p>
              </w:tc>
              <w:tc>
                <w:tcPr>
                  <w:tcW w:w="3975" w:type="dxa"/>
                  <w:tcBorders>
                    <w:tl2br w:val="nil"/>
                    <w:tr2bl w:val="nil"/>
                  </w:tcBorders>
                  <w:vAlign w:val="center"/>
                </w:tcPr>
                <w:p w14:paraId="0FB1CBA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1000</w:t>
                  </w:r>
                </w:p>
              </w:tc>
            </w:tr>
            <w:tr w14:paraId="511AEC8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7859" w:type="dxa"/>
                  <w:gridSpan w:val="2"/>
                  <w:tcBorders>
                    <w:tl2br w:val="nil"/>
                    <w:tr2bl w:val="nil"/>
                  </w:tcBorders>
                  <w:vAlign w:val="center"/>
                </w:tcPr>
                <w:p w14:paraId="5B0950F5">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both"/>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备注：合格矿石原料暂存后，转运至现有工程原料库</w:t>
                  </w:r>
                </w:p>
              </w:tc>
            </w:tr>
          </w:tbl>
          <w:p w14:paraId="26F2E255">
            <w:pPr>
              <w:pStyle w:val="65"/>
              <w:keepNext w:val="0"/>
              <w:keepLines w:val="0"/>
              <w:pageBreakBefore w:val="0"/>
              <w:widowControl w:val="0"/>
              <w:shd w:val="clear"/>
              <w:kinsoku/>
              <w:wordWrap/>
              <w:overflowPunct/>
              <w:topLinePunct w:val="0"/>
              <w:autoSpaceDE/>
              <w:autoSpaceDN/>
              <w:bidi w:val="0"/>
              <w:spacing w:line="48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颗粒物产生量计算参数及结果见下表。</w:t>
            </w:r>
          </w:p>
          <w:p w14:paraId="736F3E1B">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物料堆场</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颗粒物产生量计算参数及结果一览表</w:t>
            </w:r>
          </w:p>
          <w:tbl>
            <w:tblPr>
              <w:tblStyle w:val="33"/>
              <w:tblW w:w="7936"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2788"/>
              <w:gridCol w:w="993"/>
              <w:gridCol w:w="932"/>
              <w:gridCol w:w="962"/>
              <w:gridCol w:w="580"/>
              <w:gridCol w:w="856"/>
              <w:gridCol w:w="825"/>
            </w:tblGrid>
            <w:tr w14:paraId="4FEA02D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5" w:hRule="atLeast"/>
                <w:jc w:val="center"/>
              </w:trPr>
              <w:tc>
                <w:tcPr>
                  <w:tcW w:w="2788" w:type="dxa"/>
                  <w:tcBorders>
                    <w:tl2br w:val="nil"/>
                    <w:tr2bl w:val="nil"/>
                  </w:tcBorders>
                  <w:noWrap w:val="0"/>
                  <w:vAlign w:val="center"/>
                </w:tcPr>
                <w:p w14:paraId="6DADFFA7">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污染源</w:t>
                  </w:r>
                </w:p>
              </w:tc>
              <w:tc>
                <w:tcPr>
                  <w:tcW w:w="993" w:type="dxa"/>
                  <w:tcBorders>
                    <w:tl2br w:val="nil"/>
                    <w:tr2bl w:val="nil"/>
                  </w:tcBorders>
                  <w:noWrap w:val="0"/>
                  <w:vAlign w:val="center"/>
                </w:tcPr>
                <w:p w14:paraId="52F6C432">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Nc</w:t>
                  </w:r>
                </w:p>
                <w:p w14:paraId="0CF95A3F">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（车/a）</w:t>
                  </w:r>
                </w:p>
              </w:tc>
              <w:tc>
                <w:tcPr>
                  <w:tcW w:w="932" w:type="dxa"/>
                  <w:tcBorders>
                    <w:tl2br w:val="nil"/>
                    <w:tr2bl w:val="nil"/>
                  </w:tcBorders>
                  <w:noWrap w:val="0"/>
                  <w:vAlign w:val="center"/>
                </w:tcPr>
                <w:p w14:paraId="73766825">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D</w:t>
                  </w:r>
                </w:p>
                <w:p w14:paraId="42FC0A3B">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（t/车）</w:t>
                  </w:r>
                </w:p>
              </w:tc>
              <w:tc>
                <w:tcPr>
                  <w:tcW w:w="962" w:type="dxa"/>
                  <w:tcBorders>
                    <w:tl2br w:val="nil"/>
                    <w:tr2bl w:val="nil"/>
                  </w:tcBorders>
                  <w:noWrap w:val="0"/>
                  <w:vAlign w:val="center"/>
                </w:tcPr>
                <w:p w14:paraId="25BAD6A7">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a/b（kg/t）</w:t>
                  </w:r>
                </w:p>
              </w:tc>
              <w:tc>
                <w:tcPr>
                  <w:tcW w:w="580" w:type="dxa"/>
                  <w:tcBorders>
                    <w:tl2br w:val="nil"/>
                    <w:tr2bl w:val="nil"/>
                  </w:tcBorders>
                  <w:noWrap w:val="0"/>
                  <w:vAlign w:val="center"/>
                </w:tcPr>
                <w:p w14:paraId="6F674EB3">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E</w:t>
                  </w:r>
                  <w:r>
                    <w:rPr>
                      <w:rFonts w:hint="eastAsia" w:ascii="Times New Roman" w:hAnsi="Times New Roman" w:cs="Times New Roman"/>
                      <w:b/>
                      <w:bCs/>
                      <w:color w:val="000000" w:themeColor="text1"/>
                      <w:sz w:val="21"/>
                      <w:szCs w:val="21"/>
                      <w:highlight w:val="none"/>
                      <w:vertAlign w:val="subscript"/>
                      <w:lang w:val="en-US" w:eastAsia="zh-CN"/>
                      <w14:textFill>
                        <w14:solidFill>
                          <w14:schemeClr w14:val="tx1"/>
                        </w14:solidFill>
                      </w14:textFill>
                    </w:rPr>
                    <w:t>f</w:t>
                  </w:r>
                </w:p>
              </w:tc>
              <w:tc>
                <w:tcPr>
                  <w:tcW w:w="856" w:type="dxa"/>
                  <w:tcBorders>
                    <w:tl2br w:val="nil"/>
                    <w:tr2bl w:val="nil"/>
                  </w:tcBorders>
                  <w:noWrap w:val="0"/>
                  <w:vAlign w:val="center"/>
                </w:tcPr>
                <w:p w14:paraId="5325E95B">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S（m</w:t>
                  </w:r>
                  <w:r>
                    <w:rPr>
                      <w:rFonts w:hint="eastAsia" w:ascii="Times New Roman" w:hAnsi="Times New Roman" w:cs="Times New Roman"/>
                      <w:b/>
                      <w:bCs/>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w:t>
                  </w:r>
                </w:p>
              </w:tc>
              <w:tc>
                <w:tcPr>
                  <w:tcW w:w="825" w:type="dxa"/>
                  <w:tcBorders>
                    <w:tl2br w:val="nil"/>
                    <w:tr2bl w:val="nil"/>
                  </w:tcBorders>
                  <w:noWrap w:val="0"/>
                  <w:vAlign w:val="center"/>
                </w:tcPr>
                <w:p w14:paraId="2F3D7120">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P（t/a）</w:t>
                  </w:r>
                </w:p>
              </w:tc>
            </w:tr>
            <w:tr w14:paraId="657CB51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34" w:hRule="atLeast"/>
                <w:jc w:val="center"/>
              </w:trPr>
              <w:tc>
                <w:tcPr>
                  <w:tcW w:w="2788" w:type="dxa"/>
                  <w:tcBorders>
                    <w:tl2br w:val="nil"/>
                    <w:tr2bl w:val="nil"/>
                  </w:tcBorders>
                  <w:noWrap w:val="0"/>
                  <w:vAlign w:val="center"/>
                </w:tcPr>
                <w:p w14:paraId="717D9C21">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不合格</w:t>
                  </w:r>
                  <w:r>
                    <w:rPr>
                      <w:rFonts w:hint="eastAsia" w:cs="Times New Roman"/>
                      <w:color w:val="000000" w:themeColor="text1"/>
                      <w:sz w:val="21"/>
                      <w:szCs w:val="21"/>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装卸、堆存过程产生的废气</w:t>
                  </w:r>
                </w:p>
              </w:tc>
              <w:tc>
                <w:tcPr>
                  <w:tcW w:w="993" w:type="dxa"/>
                  <w:tcBorders>
                    <w:tl2br w:val="nil"/>
                    <w:tr2bl w:val="nil"/>
                  </w:tcBorders>
                  <w:noWrap w:val="0"/>
                  <w:vAlign w:val="center"/>
                </w:tcPr>
                <w:p w14:paraId="75D9349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6000</w:t>
                  </w:r>
                </w:p>
              </w:tc>
              <w:tc>
                <w:tcPr>
                  <w:tcW w:w="932" w:type="dxa"/>
                  <w:tcBorders>
                    <w:tl2br w:val="nil"/>
                    <w:tr2bl w:val="nil"/>
                  </w:tcBorders>
                  <w:noWrap w:val="0"/>
                  <w:vAlign w:val="center"/>
                </w:tcPr>
                <w:p w14:paraId="16980C1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15</w:t>
                  </w:r>
                </w:p>
              </w:tc>
              <w:tc>
                <w:tcPr>
                  <w:tcW w:w="962" w:type="dxa"/>
                  <w:tcBorders>
                    <w:tl2br w:val="nil"/>
                    <w:tr2bl w:val="nil"/>
                  </w:tcBorders>
                  <w:noWrap w:val="0"/>
                  <w:vAlign w:val="center"/>
                </w:tcPr>
                <w:p w14:paraId="664969B4">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0.15625</w:t>
                  </w:r>
                </w:p>
              </w:tc>
              <w:tc>
                <w:tcPr>
                  <w:tcW w:w="580" w:type="dxa"/>
                  <w:tcBorders>
                    <w:tl2br w:val="nil"/>
                    <w:tr2bl w:val="nil"/>
                  </w:tcBorders>
                  <w:noWrap w:val="0"/>
                  <w:vAlign w:val="center"/>
                </w:tcPr>
                <w:p w14:paraId="757E6DFF">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856" w:type="dxa"/>
                  <w:tcBorders>
                    <w:tl2br w:val="nil"/>
                    <w:tr2bl w:val="nil"/>
                  </w:tcBorders>
                  <w:noWrap w:val="0"/>
                  <w:vAlign w:val="center"/>
                </w:tcPr>
                <w:p w14:paraId="508BC66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1000</w:t>
                  </w:r>
                </w:p>
              </w:tc>
              <w:tc>
                <w:tcPr>
                  <w:tcW w:w="825" w:type="dxa"/>
                  <w:tcBorders>
                    <w:tl2br w:val="nil"/>
                    <w:tr2bl w:val="nil"/>
                  </w:tcBorders>
                  <w:noWrap w:val="0"/>
                  <w:vAlign w:val="center"/>
                </w:tcPr>
                <w:p w14:paraId="3824FF0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14.063</w:t>
                  </w:r>
                </w:p>
              </w:tc>
            </w:tr>
            <w:tr w14:paraId="2AAF20A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5" w:hRule="atLeast"/>
                <w:jc w:val="center"/>
              </w:trPr>
              <w:tc>
                <w:tcPr>
                  <w:tcW w:w="2788" w:type="dxa"/>
                  <w:tcBorders>
                    <w:tl2br w:val="nil"/>
                    <w:tr2bl w:val="nil"/>
                  </w:tcBorders>
                  <w:noWrap w:val="0"/>
                  <w:vAlign w:val="center"/>
                </w:tcPr>
                <w:p w14:paraId="7ED4BACA">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合格矿石原料装卸、堆存过程产生的废气</w:t>
                  </w:r>
                </w:p>
              </w:tc>
              <w:tc>
                <w:tcPr>
                  <w:tcW w:w="993" w:type="dxa"/>
                  <w:tcBorders>
                    <w:tl2br w:val="nil"/>
                    <w:tr2bl w:val="nil"/>
                  </w:tcBorders>
                  <w:noWrap w:val="0"/>
                  <w:vAlign w:val="center"/>
                </w:tcPr>
                <w:p w14:paraId="101E20B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15000</w:t>
                  </w:r>
                </w:p>
              </w:tc>
              <w:tc>
                <w:tcPr>
                  <w:tcW w:w="932" w:type="dxa"/>
                  <w:tcBorders>
                    <w:tl2br w:val="nil"/>
                    <w:tr2bl w:val="nil"/>
                  </w:tcBorders>
                  <w:noWrap w:val="0"/>
                  <w:vAlign w:val="center"/>
                </w:tcPr>
                <w:p w14:paraId="29912E4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4</w:t>
                  </w:r>
                </w:p>
              </w:tc>
              <w:tc>
                <w:tcPr>
                  <w:tcW w:w="962" w:type="dxa"/>
                  <w:tcBorders>
                    <w:tl2br w:val="nil"/>
                    <w:tr2bl w:val="nil"/>
                  </w:tcBorders>
                  <w:noWrap w:val="0"/>
                  <w:vAlign w:val="center"/>
                </w:tcPr>
                <w:p w14:paraId="54341E6B">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0.15625</w:t>
                  </w:r>
                </w:p>
              </w:tc>
              <w:tc>
                <w:tcPr>
                  <w:tcW w:w="580" w:type="dxa"/>
                  <w:tcBorders>
                    <w:tl2br w:val="nil"/>
                    <w:tr2bl w:val="nil"/>
                  </w:tcBorders>
                  <w:noWrap w:val="0"/>
                  <w:vAlign w:val="center"/>
                </w:tcPr>
                <w:p w14:paraId="568703BC">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856" w:type="dxa"/>
                  <w:tcBorders>
                    <w:tl2br w:val="nil"/>
                    <w:tr2bl w:val="nil"/>
                  </w:tcBorders>
                  <w:noWrap w:val="0"/>
                  <w:vAlign w:val="center"/>
                </w:tcPr>
                <w:p w14:paraId="74CDAC8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500</w:t>
                  </w:r>
                </w:p>
              </w:tc>
              <w:tc>
                <w:tcPr>
                  <w:tcW w:w="825" w:type="dxa"/>
                  <w:tcBorders>
                    <w:tl2br w:val="nil"/>
                    <w:tr2bl w:val="nil"/>
                  </w:tcBorders>
                  <w:noWrap w:val="0"/>
                  <w:vAlign w:val="center"/>
                </w:tcPr>
                <w:p w14:paraId="68F5EBA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9.375</w:t>
                  </w:r>
                </w:p>
              </w:tc>
            </w:tr>
            <w:tr w14:paraId="346E8CF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5" w:hRule="atLeast"/>
                <w:jc w:val="center"/>
              </w:trPr>
              <w:tc>
                <w:tcPr>
                  <w:tcW w:w="2788" w:type="dxa"/>
                  <w:tcBorders>
                    <w:tl2br w:val="nil"/>
                    <w:tr2bl w:val="nil"/>
                  </w:tcBorders>
                  <w:noWrap w:val="0"/>
                  <w:vAlign w:val="center"/>
                </w:tcPr>
                <w:p w14:paraId="5145429D">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土渣装卸、堆存过程产生的废气</w:t>
                  </w:r>
                </w:p>
              </w:tc>
              <w:tc>
                <w:tcPr>
                  <w:tcW w:w="993" w:type="dxa"/>
                  <w:tcBorders>
                    <w:tl2br w:val="nil"/>
                    <w:tr2bl w:val="nil"/>
                  </w:tcBorders>
                  <w:noWrap w:val="0"/>
                  <w:vAlign w:val="center"/>
                </w:tcPr>
                <w:p w14:paraId="7ADA1CF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1000</w:t>
                  </w:r>
                </w:p>
              </w:tc>
              <w:tc>
                <w:tcPr>
                  <w:tcW w:w="932" w:type="dxa"/>
                  <w:tcBorders>
                    <w:tl2br w:val="nil"/>
                    <w:tr2bl w:val="nil"/>
                  </w:tcBorders>
                  <w:noWrap w:val="0"/>
                  <w:vAlign w:val="center"/>
                </w:tcPr>
                <w:p w14:paraId="25EB3F4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30</w:t>
                  </w:r>
                </w:p>
              </w:tc>
              <w:tc>
                <w:tcPr>
                  <w:tcW w:w="962" w:type="dxa"/>
                  <w:tcBorders>
                    <w:tl2br w:val="nil"/>
                    <w:tr2bl w:val="nil"/>
                  </w:tcBorders>
                  <w:noWrap w:val="0"/>
                  <w:vAlign w:val="center"/>
                </w:tcPr>
                <w:p w14:paraId="7F2750F6">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0.15625</w:t>
                  </w:r>
                </w:p>
              </w:tc>
              <w:tc>
                <w:tcPr>
                  <w:tcW w:w="580" w:type="dxa"/>
                  <w:tcBorders>
                    <w:tl2br w:val="nil"/>
                    <w:tr2bl w:val="nil"/>
                  </w:tcBorders>
                  <w:noWrap w:val="0"/>
                  <w:vAlign w:val="center"/>
                </w:tcPr>
                <w:p w14:paraId="77C3D246">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856" w:type="dxa"/>
                  <w:tcBorders>
                    <w:tl2br w:val="nil"/>
                    <w:tr2bl w:val="nil"/>
                  </w:tcBorders>
                  <w:noWrap w:val="0"/>
                  <w:vAlign w:val="center"/>
                </w:tcPr>
                <w:p w14:paraId="63A520C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1000</w:t>
                  </w:r>
                </w:p>
              </w:tc>
              <w:tc>
                <w:tcPr>
                  <w:tcW w:w="825" w:type="dxa"/>
                  <w:tcBorders>
                    <w:tl2br w:val="nil"/>
                    <w:tr2bl w:val="nil"/>
                  </w:tcBorders>
                  <w:noWrap w:val="0"/>
                  <w:vAlign w:val="center"/>
                </w:tcPr>
                <w:p w14:paraId="42701816">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4.688</w:t>
                  </w:r>
                </w:p>
              </w:tc>
            </w:tr>
            <w:tr w14:paraId="42E2CB8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40" w:hRule="atLeast"/>
                <w:jc w:val="center"/>
              </w:trPr>
              <w:tc>
                <w:tcPr>
                  <w:tcW w:w="2788" w:type="dxa"/>
                  <w:tcBorders>
                    <w:tl2br w:val="nil"/>
                    <w:tr2bl w:val="nil"/>
                  </w:tcBorders>
                  <w:noWrap w:val="0"/>
                  <w:vAlign w:val="center"/>
                </w:tcPr>
                <w:p w14:paraId="79F05C4D">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合计</w:t>
                  </w:r>
                </w:p>
              </w:tc>
              <w:tc>
                <w:tcPr>
                  <w:tcW w:w="993" w:type="dxa"/>
                  <w:tcBorders>
                    <w:tl2br w:val="nil"/>
                    <w:tr2bl w:val="nil"/>
                  </w:tcBorders>
                  <w:noWrap w:val="0"/>
                  <w:vAlign w:val="center"/>
                </w:tcPr>
                <w:p w14:paraId="2CA78DE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p>
              </w:tc>
              <w:tc>
                <w:tcPr>
                  <w:tcW w:w="932" w:type="dxa"/>
                  <w:tcBorders>
                    <w:tl2br w:val="nil"/>
                    <w:tr2bl w:val="nil"/>
                  </w:tcBorders>
                  <w:noWrap w:val="0"/>
                  <w:vAlign w:val="center"/>
                </w:tcPr>
                <w:p w14:paraId="00A4AE2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p>
              </w:tc>
              <w:tc>
                <w:tcPr>
                  <w:tcW w:w="962" w:type="dxa"/>
                  <w:tcBorders>
                    <w:tl2br w:val="nil"/>
                    <w:tr2bl w:val="nil"/>
                  </w:tcBorders>
                  <w:noWrap w:val="0"/>
                  <w:vAlign w:val="center"/>
                </w:tcPr>
                <w:p w14:paraId="574DFBF6">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580" w:type="dxa"/>
                  <w:tcBorders>
                    <w:tl2br w:val="nil"/>
                    <w:tr2bl w:val="nil"/>
                  </w:tcBorders>
                  <w:noWrap w:val="0"/>
                  <w:vAlign w:val="center"/>
                </w:tcPr>
                <w:p w14:paraId="6C2638FD">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right="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856" w:type="dxa"/>
                  <w:tcBorders>
                    <w:tl2br w:val="nil"/>
                    <w:tr2bl w:val="nil"/>
                  </w:tcBorders>
                  <w:noWrap w:val="0"/>
                  <w:vAlign w:val="center"/>
                </w:tcPr>
                <w:p w14:paraId="6C37589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p>
              </w:tc>
              <w:tc>
                <w:tcPr>
                  <w:tcW w:w="825" w:type="dxa"/>
                  <w:tcBorders>
                    <w:tl2br w:val="nil"/>
                    <w:tr2bl w:val="nil"/>
                  </w:tcBorders>
                  <w:noWrap w:val="0"/>
                  <w:vAlign w:val="center"/>
                </w:tcPr>
                <w:p w14:paraId="687E392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28.12</w:t>
                  </w:r>
                  <w:r>
                    <w:rPr>
                      <w:rFonts w:hint="eastAsia"/>
                      <w:color w:val="000000" w:themeColor="text1"/>
                      <w:sz w:val="21"/>
                      <w:szCs w:val="21"/>
                      <w:highlight w:val="none"/>
                      <w:vertAlign w:val="baseline"/>
                      <w:lang w:val="en-US" w:eastAsia="zh-CN"/>
                      <w14:textFill>
                        <w14:solidFill>
                          <w14:schemeClr w14:val="tx1"/>
                        </w14:solidFill>
                      </w14:textFill>
                    </w:rPr>
                    <w:t>6</w:t>
                  </w:r>
                </w:p>
              </w:tc>
            </w:tr>
          </w:tbl>
          <w:p w14:paraId="06774486">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工业企业固体物料堆场颗粒物排放量核算公式如下：</w:t>
            </w:r>
          </w:p>
          <w:p w14:paraId="7989D02C">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Uc=P×</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1−Cm</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1−Tm</w:t>
            </w:r>
            <w:r>
              <w:rPr>
                <w:rFonts w:hint="eastAsia" w:cs="Times New Roman"/>
                <w:color w:val="000000" w:themeColor="text1"/>
                <w:sz w:val="24"/>
                <w:szCs w:val="24"/>
                <w:highlight w:val="none"/>
                <w:lang w:val="en-US" w:eastAsia="zh-CN"/>
                <w14:textFill>
                  <w14:solidFill>
                    <w14:schemeClr w14:val="tx1"/>
                  </w14:solidFill>
                </w14:textFill>
              </w:rPr>
              <w:t>）</w:t>
            </w:r>
          </w:p>
          <w:p w14:paraId="65C99B03">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式中：P指颗粒物产生量（单位：吨）；</w:t>
            </w:r>
          </w:p>
          <w:p w14:paraId="24527C03">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Uc指颗粒物排放量（单位：吨）；</w:t>
            </w:r>
          </w:p>
          <w:p w14:paraId="4F8C32A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Cm指颗粒物控制措施控制效率（单位：%），根据《固体物料堆存颗粒物产排污核算系数手册》附录4，本项目采取的粉尘控制措施为喷淋抑尘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（控制效率74%）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出入口设洗车平台</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（控制效率78%）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377EC4B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Tm指堆场类型控制效率（单位：%），根据《固体物料堆存颗粒物产排污核算系数手册》附录5密闭式堆场类型控制效率取值99%。</w:t>
            </w:r>
          </w:p>
          <w:p w14:paraId="10B8CCF7">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cs="Times New Roman"/>
                <w:b/>
                <w:bCs/>
                <w:color w:val="000000" w:themeColor="text1"/>
                <w:spacing w:val="0"/>
                <w:sz w:val="21"/>
                <w:szCs w:val="21"/>
                <w:highlight w:val="none"/>
                <w:lang w:val="en-US" w:eastAsia="zh-CN"/>
                <w14:textFill>
                  <w14:solidFill>
                    <w14:schemeClr w14:val="tx1"/>
                  </w14:solidFill>
                </w14:textFill>
              </w:rPr>
              <w:t>物料堆场</w:t>
            </w:r>
            <w:r>
              <w:rPr>
                <w:rFonts w:hint="eastAsia" w:ascii="Times New Roman" w:hAnsi="Times New Roman" w:cs="Times New Roman"/>
                <w:b/>
                <w:bCs/>
                <w:color w:val="000000" w:themeColor="text1"/>
                <w:spacing w:val="0"/>
                <w:sz w:val="21"/>
                <w:szCs w:val="21"/>
                <w:highlight w:val="none"/>
                <w:lang w:val="en-US" w:eastAsia="zh-CN"/>
                <w14:textFill>
                  <w14:solidFill>
                    <w14:schemeClr w14:val="tx1"/>
                  </w14:solidFill>
                </w14:textFill>
              </w:rPr>
              <w:t>颗粒物</w:t>
            </w:r>
            <w:r>
              <w:rPr>
                <w:rFonts w:hint="eastAsia" w:cs="Times New Roman"/>
                <w:b/>
                <w:bCs/>
                <w:color w:val="000000" w:themeColor="text1"/>
                <w:spacing w:val="0"/>
                <w:sz w:val="21"/>
                <w:szCs w:val="21"/>
                <w:highlight w:val="none"/>
                <w:lang w:val="en-US" w:eastAsia="zh-CN"/>
                <w14:textFill>
                  <w14:solidFill>
                    <w14:schemeClr w14:val="tx1"/>
                  </w14:solidFill>
                </w14:textFill>
              </w:rPr>
              <w:t>无组织</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排放量</w:t>
            </w:r>
          </w:p>
          <w:tbl>
            <w:tblPr>
              <w:tblStyle w:val="32"/>
              <w:tblW w:w="4797"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3364"/>
              <w:gridCol w:w="1163"/>
              <w:gridCol w:w="1163"/>
              <w:gridCol w:w="1163"/>
              <w:gridCol w:w="1164"/>
            </w:tblGrid>
            <w:tr w14:paraId="7AE1D9E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13" w:hRule="atLeast"/>
                <w:jc w:val="center"/>
              </w:trPr>
              <w:tc>
                <w:tcPr>
                  <w:tcW w:w="2098" w:type="pct"/>
                  <w:tcBorders>
                    <w:tl2br w:val="nil"/>
                    <w:tr2bl w:val="nil"/>
                  </w:tcBorders>
                  <w:noWrap w:val="0"/>
                  <w:vAlign w:val="center"/>
                </w:tcPr>
                <w:p w14:paraId="16A3ACEE">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bookmarkStart w:id="4" w:name="OLE_LINK160" w:colFirst="0" w:colLast="4"/>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污染源</w:t>
                  </w:r>
                </w:p>
              </w:tc>
              <w:tc>
                <w:tcPr>
                  <w:tcW w:w="725" w:type="pct"/>
                  <w:tcBorders>
                    <w:tl2br w:val="nil"/>
                    <w:tr2bl w:val="nil"/>
                  </w:tcBorders>
                  <w:noWrap w:val="0"/>
                  <w:vAlign w:val="center"/>
                </w:tcPr>
                <w:p w14:paraId="60A3454B">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P</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t/a</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p>
              </w:tc>
              <w:tc>
                <w:tcPr>
                  <w:tcW w:w="725" w:type="pct"/>
                  <w:tcBorders>
                    <w:tl2br w:val="nil"/>
                    <w:tr2bl w:val="nil"/>
                  </w:tcBorders>
                  <w:noWrap w:val="0"/>
                  <w:vAlign w:val="center"/>
                </w:tcPr>
                <w:p w14:paraId="4ADA6A2A">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C</w:t>
                  </w:r>
                  <w:r>
                    <w:rPr>
                      <w:rFonts w:hint="default" w:ascii="Times New Roman" w:hAnsi="Times New Roman" w:eastAsia="宋体" w:cs="Times New Roman"/>
                      <w:color w:val="000000" w:themeColor="text1"/>
                      <w:kern w:val="2"/>
                      <w:sz w:val="21"/>
                      <w:szCs w:val="21"/>
                      <w:highlight w:val="none"/>
                      <w:vertAlign w:val="subscript"/>
                      <w14:textFill>
                        <w14:solidFill>
                          <w14:schemeClr w14:val="tx1"/>
                        </w14:solidFill>
                      </w14:textFill>
                    </w:rPr>
                    <w:t>m</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p>
              </w:tc>
              <w:tc>
                <w:tcPr>
                  <w:tcW w:w="725" w:type="pct"/>
                  <w:tcBorders>
                    <w:tl2br w:val="nil"/>
                    <w:tr2bl w:val="nil"/>
                  </w:tcBorders>
                  <w:noWrap w:val="0"/>
                  <w:vAlign w:val="center"/>
                </w:tcPr>
                <w:p w14:paraId="40602D57">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T</w:t>
                  </w:r>
                  <w:r>
                    <w:rPr>
                      <w:rFonts w:hint="default" w:ascii="Times New Roman" w:hAnsi="Times New Roman" w:eastAsia="宋体" w:cs="Times New Roman"/>
                      <w:color w:val="000000" w:themeColor="text1"/>
                      <w:kern w:val="2"/>
                      <w:sz w:val="21"/>
                      <w:szCs w:val="21"/>
                      <w:highlight w:val="none"/>
                      <w:vertAlign w:val="subscript"/>
                      <w14:textFill>
                        <w14:solidFill>
                          <w14:schemeClr w14:val="tx1"/>
                        </w14:solidFill>
                      </w14:textFill>
                    </w:rPr>
                    <w:t>m</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p>
              </w:tc>
              <w:tc>
                <w:tcPr>
                  <w:tcW w:w="725" w:type="pct"/>
                  <w:tcBorders>
                    <w:tl2br w:val="nil"/>
                    <w:tr2bl w:val="nil"/>
                  </w:tcBorders>
                  <w:noWrap w:val="0"/>
                  <w:vAlign w:val="center"/>
                </w:tcPr>
                <w:p w14:paraId="1275AD8C">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Uc</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t/a</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p>
              </w:tc>
            </w:tr>
            <w:tr w14:paraId="6FF2873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10" w:hRule="atLeast"/>
                <w:jc w:val="center"/>
              </w:trPr>
              <w:tc>
                <w:tcPr>
                  <w:tcW w:w="2098" w:type="pct"/>
                  <w:tcBorders>
                    <w:tl2br w:val="nil"/>
                    <w:tr2bl w:val="nil"/>
                  </w:tcBorders>
                  <w:noWrap w:val="0"/>
                  <w:vAlign w:val="center"/>
                </w:tcPr>
                <w:p w14:paraId="3E5F7853">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14:textFill>
                        <w14:solidFill>
                          <w14:schemeClr w14:val="tx1"/>
                        </w14:solidFill>
                      </w14:textFill>
                    </w:rPr>
                  </w:pPr>
                  <w:bookmarkStart w:id="5" w:name="OLE_LINK45" w:colFirst="4" w:colLast="4"/>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不合格</w:t>
                  </w:r>
                  <w:r>
                    <w:rPr>
                      <w:rFonts w:hint="eastAsia" w:cs="Times New Roman"/>
                      <w:color w:val="000000" w:themeColor="text1"/>
                      <w:sz w:val="21"/>
                      <w:szCs w:val="21"/>
                      <w:highlight w:val="none"/>
                      <w:lang w:val="en-US" w:eastAsia="zh-CN"/>
                      <w14:textFill>
                        <w14:solidFill>
                          <w14:schemeClr w14:val="tx1"/>
                        </w14:solidFill>
                      </w14:textFill>
                    </w:rPr>
                    <w:t>矿石原料</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装卸、堆存过程产生的废气</w:t>
                  </w:r>
                </w:p>
              </w:tc>
              <w:tc>
                <w:tcPr>
                  <w:tcW w:w="725" w:type="pct"/>
                  <w:tcBorders>
                    <w:tl2br w:val="nil"/>
                    <w:tr2bl w:val="nil"/>
                  </w:tcBorders>
                  <w:noWrap w:val="0"/>
                  <w:vAlign w:val="center"/>
                </w:tcPr>
                <w:p w14:paraId="5202E461">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 xml:space="preserve">14.063 </w:t>
                  </w:r>
                </w:p>
              </w:tc>
              <w:tc>
                <w:tcPr>
                  <w:tcW w:w="725" w:type="pct"/>
                  <w:tcBorders>
                    <w:tl2br w:val="nil"/>
                    <w:tr2bl w:val="nil"/>
                  </w:tcBorders>
                  <w:noWrap w:val="0"/>
                  <w:vAlign w:val="center"/>
                </w:tcPr>
                <w:p w14:paraId="792B1AFB">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78%</w:t>
                  </w:r>
                </w:p>
              </w:tc>
              <w:tc>
                <w:tcPr>
                  <w:tcW w:w="725" w:type="pct"/>
                  <w:tcBorders>
                    <w:tl2br w:val="nil"/>
                    <w:tr2bl w:val="nil"/>
                  </w:tcBorders>
                  <w:noWrap w:val="0"/>
                  <w:vAlign w:val="center"/>
                </w:tcPr>
                <w:p w14:paraId="6831E6D2">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99%</w:t>
                  </w:r>
                </w:p>
              </w:tc>
              <w:tc>
                <w:tcPr>
                  <w:tcW w:w="725" w:type="pct"/>
                  <w:tcBorders>
                    <w:tl2br w:val="nil"/>
                    <w:tr2bl w:val="nil"/>
                  </w:tcBorders>
                  <w:noWrap w:val="0"/>
                  <w:vAlign w:val="center"/>
                </w:tcPr>
                <w:p w14:paraId="1A3AEF13">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 xml:space="preserve">0.031 </w:t>
                  </w:r>
                </w:p>
              </w:tc>
            </w:tr>
            <w:tr w14:paraId="347EBB1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10" w:hRule="atLeast"/>
                <w:jc w:val="center"/>
              </w:trPr>
              <w:tc>
                <w:tcPr>
                  <w:tcW w:w="2098" w:type="pct"/>
                  <w:tcBorders>
                    <w:tl2br w:val="nil"/>
                    <w:tr2bl w:val="nil"/>
                  </w:tcBorders>
                  <w:noWrap w:val="0"/>
                  <w:vAlign w:val="center"/>
                </w:tcPr>
                <w:p w14:paraId="4DB44C0E">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合格矿石原料装卸、堆存过程产生的废气</w:t>
                  </w:r>
                </w:p>
              </w:tc>
              <w:tc>
                <w:tcPr>
                  <w:tcW w:w="725" w:type="pct"/>
                  <w:tcBorders>
                    <w:tl2br w:val="nil"/>
                    <w:tr2bl w:val="nil"/>
                  </w:tcBorders>
                  <w:noWrap w:val="0"/>
                  <w:vAlign w:val="center"/>
                </w:tcPr>
                <w:p w14:paraId="05A7E02B">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 xml:space="preserve">9.375 </w:t>
                  </w:r>
                </w:p>
              </w:tc>
              <w:tc>
                <w:tcPr>
                  <w:tcW w:w="725" w:type="pct"/>
                  <w:tcBorders>
                    <w:tl2br w:val="nil"/>
                    <w:tr2bl w:val="nil"/>
                  </w:tcBorders>
                  <w:noWrap w:val="0"/>
                  <w:vAlign w:val="center"/>
                </w:tcPr>
                <w:p w14:paraId="1F30AFB9">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78%</w:t>
                  </w:r>
                </w:p>
              </w:tc>
              <w:tc>
                <w:tcPr>
                  <w:tcW w:w="725" w:type="pct"/>
                  <w:tcBorders>
                    <w:tl2br w:val="nil"/>
                    <w:tr2bl w:val="nil"/>
                  </w:tcBorders>
                  <w:noWrap w:val="0"/>
                  <w:vAlign w:val="center"/>
                </w:tcPr>
                <w:p w14:paraId="174E92DD">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99%</w:t>
                  </w:r>
                </w:p>
              </w:tc>
              <w:tc>
                <w:tcPr>
                  <w:tcW w:w="725" w:type="pct"/>
                  <w:tcBorders>
                    <w:tl2br w:val="nil"/>
                    <w:tr2bl w:val="nil"/>
                  </w:tcBorders>
                  <w:noWrap w:val="0"/>
                  <w:vAlign w:val="center"/>
                </w:tcPr>
                <w:p w14:paraId="525C1C50">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 xml:space="preserve">0.021 </w:t>
                  </w:r>
                </w:p>
              </w:tc>
            </w:tr>
            <w:tr w14:paraId="4CC409B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10" w:hRule="atLeast"/>
                <w:jc w:val="center"/>
              </w:trPr>
              <w:tc>
                <w:tcPr>
                  <w:tcW w:w="2098" w:type="pct"/>
                  <w:tcBorders>
                    <w:tl2br w:val="nil"/>
                    <w:tr2bl w:val="nil"/>
                  </w:tcBorders>
                  <w:noWrap w:val="0"/>
                  <w:vAlign w:val="center"/>
                </w:tcPr>
                <w:p w14:paraId="3460CC7D">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土渣装卸、堆存过程产生的废气</w:t>
                  </w:r>
                </w:p>
              </w:tc>
              <w:tc>
                <w:tcPr>
                  <w:tcW w:w="725" w:type="pct"/>
                  <w:tcBorders>
                    <w:tl2br w:val="nil"/>
                    <w:tr2bl w:val="nil"/>
                  </w:tcBorders>
                  <w:noWrap w:val="0"/>
                  <w:vAlign w:val="center"/>
                </w:tcPr>
                <w:p w14:paraId="2A2A8436">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 xml:space="preserve">4.688 </w:t>
                  </w:r>
                </w:p>
              </w:tc>
              <w:tc>
                <w:tcPr>
                  <w:tcW w:w="725" w:type="pct"/>
                  <w:tcBorders>
                    <w:tl2br w:val="nil"/>
                    <w:tr2bl w:val="nil"/>
                  </w:tcBorders>
                  <w:noWrap w:val="0"/>
                  <w:vAlign w:val="center"/>
                </w:tcPr>
                <w:p w14:paraId="14766561">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78%</w:t>
                  </w:r>
                </w:p>
              </w:tc>
              <w:tc>
                <w:tcPr>
                  <w:tcW w:w="725" w:type="pct"/>
                  <w:tcBorders>
                    <w:tl2br w:val="nil"/>
                    <w:tr2bl w:val="nil"/>
                  </w:tcBorders>
                  <w:noWrap w:val="0"/>
                  <w:vAlign w:val="center"/>
                </w:tcPr>
                <w:p w14:paraId="06AA1BAA">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99%</w:t>
                  </w:r>
                </w:p>
              </w:tc>
              <w:tc>
                <w:tcPr>
                  <w:tcW w:w="725" w:type="pct"/>
                  <w:tcBorders>
                    <w:tl2br w:val="nil"/>
                    <w:tr2bl w:val="nil"/>
                  </w:tcBorders>
                  <w:noWrap w:val="0"/>
                  <w:vAlign w:val="center"/>
                </w:tcPr>
                <w:p w14:paraId="04762AEC">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 xml:space="preserve">0.010 </w:t>
                  </w:r>
                </w:p>
              </w:tc>
            </w:tr>
            <w:tr w14:paraId="4615754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36" w:hRule="atLeast"/>
                <w:jc w:val="center"/>
              </w:trPr>
              <w:tc>
                <w:tcPr>
                  <w:tcW w:w="2098" w:type="pct"/>
                  <w:tcBorders>
                    <w:tl2br w:val="nil"/>
                    <w:tr2bl w:val="nil"/>
                  </w:tcBorders>
                  <w:noWrap w:val="0"/>
                  <w:vAlign w:val="center"/>
                </w:tcPr>
                <w:p w14:paraId="6288B174">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合计</w:t>
                  </w:r>
                </w:p>
              </w:tc>
              <w:tc>
                <w:tcPr>
                  <w:tcW w:w="725" w:type="pct"/>
                  <w:tcBorders>
                    <w:tl2br w:val="nil"/>
                    <w:tr2bl w:val="nil"/>
                  </w:tcBorders>
                  <w:noWrap w:val="0"/>
                  <w:vAlign w:val="center"/>
                </w:tcPr>
                <w:p w14:paraId="2452D355">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 xml:space="preserve">28.126 </w:t>
                  </w:r>
                </w:p>
              </w:tc>
              <w:tc>
                <w:tcPr>
                  <w:tcW w:w="725" w:type="pct"/>
                  <w:tcBorders>
                    <w:tl2br w:val="nil"/>
                    <w:tr2bl w:val="nil"/>
                  </w:tcBorders>
                  <w:noWrap w:val="0"/>
                  <w:vAlign w:val="center"/>
                </w:tcPr>
                <w:p w14:paraId="522ECFD8">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p>
              </w:tc>
              <w:tc>
                <w:tcPr>
                  <w:tcW w:w="725" w:type="pct"/>
                  <w:tcBorders>
                    <w:tl2br w:val="nil"/>
                    <w:tr2bl w:val="nil"/>
                  </w:tcBorders>
                  <w:noWrap w:val="0"/>
                  <w:vAlign w:val="center"/>
                </w:tcPr>
                <w:p w14:paraId="3D3C912E">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p>
              </w:tc>
              <w:tc>
                <w:tcPr>
                  <w:tcW w:w="725" w:type="pct"/>
                  <w:tcBorders>
                    <w:tl2br w:val="nil"/>
                    <w:tr2bl w:val="nil"/>
                  </w:tcBorders>
                  <w:noWrap w:val="0"/>
                  <w:vAlign w:val="center"/>
                </w:tcPr>
                <w:p w14:paraId="209FD0F0">
                  <w:pPr>
                    <w:pStyle w:val="118"/>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 xml:space="preserve">0.062 </w:t>
                  </w:r>
                </w:p>
              </w:tc>
            </w:tr>
            <w:bookmarkEnd w:id="4"/>
            <w:bookmarkEnd w:id="5"/>
          </w:tbl>
          <w:p w14:paraId="2BA59A7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②</w:t>
            </w:r>
            <w:r>
              <w:rPr>
                <w:rFonts w:hint="eastAsia" w:cs="Times New Roman"/>
                <w:color w:val="000000" w:themeColor="text1"/>
                <w:kern w:val="0"/>
                <w:sz w:val="24"/>
                <w:szCs w:val="24"/>
                <w:highlight w:val="none"/>
                <w:lang w:val="en-US" w:eastAsia="zh-CN"/>
                <w14:textFill>
                  <w14:solidFill>
                    <w14:schemeClr w14:val="tx1"/>
                  </w14:solidFill>
                </w14:textFill>
              </w:rPr>
              <w:t>有组织未收集的废气</w:t>
            </w:r>
          </w:p>
          <w:p w14:paraId="6B60D64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b w:val="0"/>
                <w:bCs w:val="0"/>
                <w:snapToGrid w:val="0"/>
                <w:color w:val="000000" w:themeColor="text1"/>
                <w:kern w:val="0"/>
                <w:sz w:val="24"/>
                <w:szCs w:val="24"/>
                <w:highlight w:val="none"/>
                <w:lang w:val="en-US" w:eastAsia="zh-CN"/>
                <w14:textFill>
                  <w14:solidFill>
                    <w14:schemeClr w14:val="tx1"/>
                  </w14:solidFill>
                </w14:textFill>
              </w:rPr>
              <w:t>经</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计算，未收集颗粒物总产生量为</w:t>
            </w:r>
            <w:r>
              <w:rPr>
                <w:rFonts w:hint="eastAsia" w:cs="Times New Roman"/>
                <w:color w:val="000000" w:themeColor="text1"/>
                <w:kern w:val="0"/>
                <w:sz w:val="24"/>
                <w:szCs w:val="24"/>
                <w:highlight w:val="none"/>
                <w:lang w:val="en-US" w:eastAsia="zh-CN"/>
                <w14:textFill>
                  <w14:solidFill>
                    <w14:schemeClr w14:val="tx1"/>
                  </w14:solidFill>
                </w14:textFill>
              </w:rPr>
              <w:t>8.505</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t/a，生产过程全密闭，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控制效率取值</w:t>
            </w:r>
            <w:r>
              <w:rPr>
                <w:rFonts w:hint="eastAsia" w:cs="Times New Roman"/>
                <w:color w:val="000000" w:themeColor="text1"/>
                <w:sz w:val="24"/>
                <w:szCs w:val="24"/>
                <w:highlight w:val="none"/>
                <w:lang w:val="en-US" w:eastAsia="zh-CN"/>
                <w14:textFill>
                  <w14:solidFill>
                    <w14:schemeClr w14:val="tx1"/>
                  </w14:solidFill>
                </w14:textFill>
              </w:rPr>
              <w:t>90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，则排放量为</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0.</w:t>
            </w:r>
            <w:r>
              <w:rPr>
                <w:rFonts w:hint="eastAsia" w:cs="Times New Roman"/>
                <w:color w:val="000000" w:themeColor="text1"/>
                <w:kern w:val="0"/>
                <w:sz w:val="24"/>
                <w:szCs w:val="24"/>
                <w:highlight w:val="none"/>
                <w:lang w:val="en-US" w:eastAsia="zh-CN"/>
                <w14:textFill>
                  <w14:solidFill>
                    <w14:schemeClr w14:val="tx1"/>
                  </w14:solidFill>
                </w14:textFill>
              </w:rPr>
              <w:t>851</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t/a。</w:t>
            </w:r>
          </w:p>
          <w:p w14:paraId="6C17814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综上所述，本项目无组织颗粒物产生量为3</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6.631</w:t>
            </w: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t/a，颗粒物无组织排放量为0.</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913</w:t>
            </w: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t/a，</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最大</w:t>
            </w: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排放速率为0.</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387</w:t>
            </w: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kg/h。</w:t>
            </w:r>
          </w:p>
          <w:p w14:paraId="6F099AC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2" w:firstLineChars="200"/>
              <w:textAlignment w:val="auto"/>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eastAsia" w:cs="Times New Roman"/>
                <w:b/>
                <w:bCs/>
                <w:color w:val="000000" w:themeColor="text1"/>
                <w:kern w:val="0"/>
                <w:sz w:val="24"/>
                <w:szCs w:val="24"/>
                <w:highlight w:val="none"/>
                <w:lang w:val="en-US" w:eastAsia="zh-CN"/>
                <w14:textFill>
                  <w14:solidFill>
                    <w14:schemeClr w14:val="tx1"/>
                  </w14:solidFill>
                </w14:textFill>
              </w:rPr>
              <w:t>1.2</w:t>
            </w:r>
            <w:r>
              <w:rPr>
                <w:rFonts w:hint="eastAsia"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无组织管控措施</w:t>
            </w:r>
          </w:p>
          <w:p w14:paraId="6B73D6D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⑴</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装卸过程在封闭的</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预处理</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车间内进行，</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预处理车间设置</w:t>
            </w:r>
            <w:r>
              <w:rPr>
                <w:rFonts w:hint="eastAsia" w:cs="Times New Roman"/>
                <w:color w:val="000000" w:themeColor="text1"/>
                <w:kern w:val="0"/>
                <w:sz w:val="24"/>
                <w:szCs w:val="24"/>
                <w:highlight w:val="none"/>
                <w:lang w:val="en-US" w:eastAsia="zh-CN"/>
                <w14:textFill>
                  <w14:solidFill>
                    <w14:schemeClr w14:val="tx1"/>
                  </w14:solidFill>
                </w14:textFill>
              </w:rPr>
              <w:t>6台雾炮</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，保证不合格矿石原料、合格矿石原料、土渣装卸区域全部覆盖</w:t>
            </w: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，可有效降低原料区扬尘污染</w:t>
            </w:r>
            <w:r>
              <w:rPr>
                <w:rFonts w:hint="eastAsia" w:ascii="Times New Roman" w:hAnsi="Times New Roman" w:cs="Times New Roman"/>
                <w:b w:val="0"/>
                <w:bCs w:val="0"/>
                <w:snapToGrid w:val="0"/>
                <w:color w:val="000000" w:themeColor="text1"/>
                <w:kern w:val="0"/>
                <w:sz w:val="24"/>
                <w:szCs w:val="24"/>
                <w:highlight w:val="none"/>
                <w:lang w:val="en-US" w:eastAsia="zh-CN"/>
                <w14:textFill>
                  <w14:solidFill>
                    <w14:schemeClr w14:val="tx1"/>
                  </w14:solidFill>
                </w14:textFill>
              </w:rPr>
              <w:t>；</w:t>
            </w:r>
          </w:p>
          <w:p w14:paraId="4E9538C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⑵</w:t>
            </w:r>
            <w:r>
              <w:rPr>
                <w:rFonts w:hint="eastAsia" w:cs="Times New Roman"/>
                <w:color w:val="000000" w:themeColor="text1"/>
                <w:kern w:val="0"/>
                <w:sz w:val="24"/>
                <w:szCs w:val="24"/>
                <w:highlight w:val="none"/>
                <w:lang w:val="en-US" w:eastAsia="zh-CN"/>
                <w14:textFill>
                  <w14:solidFill>
                    <w14:schemeClr w14:val="tx1"/>
                  </w14:solidFill>
                </w14:textFill>
              </w:rPr>
              <w:t>不合格矿石原料上料仓设置伞状喷雾抑尘装置</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，喷雾抑尘装置范围应覆盖整个落料点（电伴热）；</w:t>
            </w:r>
            <w:r>
              <w:rPr>
                <w:rFonts w:hint="eastAsia" w:cs="Times New Roman"/>
                <w:color w:val="000000" w:themeColor="text1"/>
                <w:kern w:val="0"/>
                <w:sz w:val="24"/>
                <w:szCs w:val="24"/>
                <w:highlight w:val="none"/>
                <w:lang w:val="en-US" w:eastAsia="zh-CN"/>
                <w14:textFill>
                  <w14:solidFill>
                    <w14:schemeClr w14:val="tx1"/>
                  </w14:solidFill>
                </w14:textFill>
              </w:rPr>
              <w:t>往复式摇筛</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落料</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点（2处）分别设置伞状喷雾抑尘装置（设置电伴热装置），喷雾抑尘装置范围应覆盖整个落料点；</w:t>
            </w:r>
          </w:p>
          <w:p w14:paraId="75A3D27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⑶</w:t>
            </w:r>
            <w:r>
              <w:rPr>
                <w:rFonts w:ascii="宋体" w:hAnsi="宋体" w:eastAsia="宋体" w:cs="宋体"/>
                <w:color w:val="000000" w:themeColor="text1"/>
                <w:sz w:val="24"/>
                <w:szCs w:val="24"/>
                <w:highlight w:val="none"/>
                <w14:textFill>
                  <w14:solidFill>
                    <w14:schemeClr w14:val="tx1"/>
                  </w14:solidFill>
                </w14:textFill>
              </w:rPr>
              <w:t>预处理车间与现有工程原料库直接相连，不另行单独设置出入口，人员及物料进出均依托现有工程原料库出入口。原料库已配备自动感应门，物料输送系统采用全封闭</w:t>
            </w:r>
            <w:r>
              <w:rPr>
                <w:rFonts w:hint="eastAsia" w:ascii="宋体" w:hAnsi="宋体" w:eastAsia="宋体" w:cs="宋体"/>
                <w:color w:val="000000" w:themeColor="text1"/>
                <w:sz w:val="24"/>
                <w:szCs w:val="24"/>
                <w:highlight w:val="none"/>
                <w:lang w:eastAsia="zh-CN"/>
                <w14:textFill>
                  <w14:solidFill>
                    <w14:schemeClr w14:val="tx1"/>
                  </w14:solidFill>
                </w14:textFill>
              </w:rPr>
              <w:t>设计，可有</w:t>
            </w:r>
            <w:r>
              <w:rPr>
                <w:rFonts w:ascii="宋体" w:hAnsi="宋体" w:eastAsia="宋体" w:cs="宋体"/>
                <w:color w:val="000000" w:themeColor="text1"/>
                <w:sz w:val="24"/>
                <w:szCs w:val="24"/>
                <w:highlight w:val="none"/>
                <w14:textFill>
                  <w14:solidFill>
                    <w14:schemeClr w14:val="tx1"/>
                  </w14:solidFill>
                </w14:textFill>
              </w:rPr>
              <w:t>效控制无组织排放</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p>
          <w:p w14:paraId="2F50277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⑷</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车间及厂区道路地面全部硬化，</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未硬化的区域应采取绿化措施；</w:t>
            </w:r>
          </w:p>
          <w:p w14:paraId="334A6E3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⑸</w:t>
            </w:r>
            <w:r>
              <w:rPr>
                <w:rFonts w:hint="eastAsia" w:cs="Times New Roman"/>
                <w:color w:val="000000" w:themeColor="text1"/>
                <w:kern w:val="0"/>
                <w:sz w:val="24"/>
                <w:szCs w:val="24"/>
                <w:highlight w:val="none"/>
                <w:lang w:val="en-US" w:eastAsia="zh-CN"/>
                <w14:textFill>
                  <w14:solidFill>
                    <w14:schemeClr w14:val="tx1"/>
                  </w14:solidFill>
                </w14:textFill>
              </w:rPr>
              <w:t>运输车辆车斗采用苫布苫盖；</w:t>
            </w:r>
          </w:p>
          <w:p w14:paraId="74308B9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⑹</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现有工程已设置车辆洗车平台，并配套建设沉淀池、清水池等废水处理设施。本项目</w:t>
            </w:r>
            <w:r>
              <w:rPr>
                <w:rFonts w:hint="eastAsia" w:cs="Times New Roman"/>
                <w:color w:val="000000" w:themeColor="text1"/>
                <w:kern w:val="0"/>
                <w:sz w:val="24"/>
                <w:szCs w:val="24"/>
                <w:highlight w:val="none"/>
                <w:lang w:val="en-US" w:eastAsia="zh-CN"/>
                <w14:textFill>
                  <w14:solidFill>
                    <w14:schemeClr w14:val="tx1"/>
                  </w14:solidFill>
                </w14:textFill>
              </w:rPr>
              <w:t>新增运输车辆</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清洗作业依托现有洗车平台统一实施</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p>
          <w:p w14:paraId="406B510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无组织废气结论：综上，</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无组织颗粒物排放量共0.</w:t>
            </w:r>
            <w:r>
              <w:rPr>
                <w:rFonts w:hint="eastAsia" w:cs="Times New Roman"/>
                <w:color w:val="000000" w:themeColor="text1"/>
                <w:kern w:val="0"/>
                <w:sz w:val="24"/>
                <w:szCs w:val="24"/>
                <w:highlight w:val="none"/>
                <w:lang w:val="en-US" w:eastAsia="zh-CN"/>
                <w14:textFill>
                  <w14:solidFill>
                    <w14:schemeClr w14:val="tx1"/>
                  </w14:solidFill>
                </w14:textFill>
              </w:rPr>
              <w:t>913</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t/a。</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经预测分析，厂界无组织排放颗粒物满足</w:t>
            </w:r>
            <w:r>
              <w:rPr>
                <w:rFonts w:hint="eastAsia"/>
                <w:color w:val="000000" w:themeColor="text1"/>
                <w:szCs w:val="24"/>
                <w:highlight w:val="none"/>
                <w14:textFill>
                  <w14:solidFill>
                    <w14:schemeClr w14:val="tx1"/>
                  </w14:solidFill>
                </w14:textFill>
              </w:rPr>
              <w:t>《2019年“十项重点工作”工作方案》</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唐办发</w:t>
            </w:r>
            <w:r>
              <w:rPr>
                <w:rFonts w:hint="eastAsia"/>
                <w:color w:val="000000" w:themeColor="text1"/>
                <w:szCs w:val="24"/>
                <w:highlight w:val="none"/>
                <w:lang w:eastAsia="zh-CN"/>
                <w14:textFill>
                  <w14:solidFill>
                    <w14:schemeClr w14:val="tx1"/>
                  </w14:solidFill>
                </w14:textFill>
              </w:rPr>
              <w:t>﹝2019﹞</w:t>
            </w:r>
            <w:r>
              <w:rPr>
                <w:rFonts w:hint="eastAsia"/>
                <w:color w:val="000000" w:themeColor="text1"/>
                <w:szCs w:val="24"/>
                <w:highlight w:val="none"/>
                <w14:textFill>
                  <w14:solidFill>
                    <w14:schemeClr w14:val="tx1"/>
                  </w14:solidFill>
                </w14:textFill>
              </w:rPr>
              <w:t>3号</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排放限值要求</w:t>
            </w:r>
            <w:r>
              <w:rPr>
                <w:rFonts w:hint="eastAsia"/>
                <w:color w:val="000000" w:themeColor="text1"/>
                <w:szCs w:val="24"/>
                <w:highlight w:val="none"/>
                <w:lang w:eastAsia="zh-CN"/>
                <w14:textFill>
                  <w14:solidFill>
                    <w14:schemeClr w14:val="tx1"/>
                  </w14:solidFill>
                </w14:textFill>
              </w:rPr>
              <w:t>：厂界无组织颗粒物浓度不超过0.5mg/m</w:t>
            </w:r>
            <w:r>
              <w:rPr>
                <w:rFonts w:hint="eastAsia"/>
                <w:color w:val="000000" w:themeColor="text1"/>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生产车间外无组织颗粒物</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满足</w:t>
            </w:r>
            <w:r>
              <w:rPr>
                <w:rFonts w:hint="eastAsia"/>
                <w:color w:val="000000" w:themeColor="text1"/>
                <w:szCs w:val="24"/>
                <w:highlight w:val="none"/>
                <w14:textFill>
                  <w14:solidFill>
                    <w14:schemeClr w14:val="tx1"/>
                  </w14:solidFill>
                </w14:textFill>
              </w:rPr>
              <w:t>《</w:t>
            </w:r>
            <w:r>
              <w:rPr>
                <w:rFonts w:hint="eastAsia"/>
                <w:color w:val="000000" w:themeColor="text1"/>
                <w:szCs w:val="24"/>
                <w:highlight w:val="none"/>
                <w:lang w:eastAsia="zh-CN"/>
                <w14:textFill>
                  <w14:solidFill>
                    <w14:schemeClr w14:val="tx1"/>
                  </w14:solidFill>
                </w14:textFill>
              </w:rPr>
              <w:t>石灰工业大气污染物排放标准</w:t>
            </w:r>
            <w:r>
              <w:rPr>
                <w:rFonts w:hint="eastAsia"/>
                <w:color w:val="000000" w:themeColor="text1"/>
                <w:szCs w:val="24"/>
                <w:highlight w:val="none"/>
                <w14:textFill>
                  <w14:solidFill>
                    <w14:schemeClr w14:val="tx1"/>
                  </w14:solidFill>
                </w14:textFill>
              </w:rPr>
              <w:t>》</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DB</w:t>
            </w:r>
            <w:r>
              <w:rPr>
                <w:rFonts w:hint="eastAsia"/>
                <w:color w:val="000000" w:themeColor="text1"/>
                <w:szCs w:val="24"/>
                <w:highlight w:val="none"/>
                <w:lang w:eastAsia="zh-CN"/>
                <w14:textFill>
                  <w14:solidFill>
                    <w14:schemeClr w14:val="tx1"/>
                  </w14:solidFill>
                </w14:textFill>
              </w:rPr>
              <w:t>13/1641-2025）</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表3企业厂区内大气污染物无组织排放限值5.0mg/m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p>
          <w:p w14:paraId="300F777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2" w:firstLineChars="200"/>
              <w:textAlignment w:val="auto"/>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1.3非正常情况分析</w:t>
            </w:r>
          </w:p>
          <w:p w14:paraId="75A0E6C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结合项目工艺、设备及废气污染物产排特点，非正常生产状况主要是环保设施故障造成。作业前先开启环保设施，作业完成后再关闭环保设施，废气均能按正常操作进入环保设施，进行有效处理，废气污染物均可实现达标排放，不会对环境造成影响。</w:t>
            </w:r>
          </w:p>
          <w:p w14:paraId="5CF60144">
            <w:pPr>
              <w:keepNext w:val="0"/>
              <w:keepLines w:val="0"/>
              <w:suppressLineNumbers w:val="0"/>
              <w:shd w:val="clear"/>
              <w:spacing w:before="0" w:beforeAutospacing="0" w:after="0" w:afterAutospacing="0" w:line="480" w:lineRule="exact"/>
              <w:ind w:left="0" w:right="0" w:firstLine="464" w:firstLineChars="200"/>
              <w:jc w:val="left"/>
              <w:rPr>
                <w:rFonts w:hint="eastAsia" w:ascii="Times New Roman" w:hAnsi="Times New Roman" w:eastAsia="宋体" w:cs="Times New Roman"/>
                <w:color w:val="000000" w:themeColor="text1"/>
                <w:spacing w:val="-4"/>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4"/>
                <w:sz w:val="24"/>
                <w:highlight w:val="none"/>
                <w14:textFill>
                  <w14:solidFill>
                    <w14:schemeClr w14:val="tx1"/>
                  </w14:solidFill>
                </w14:textFill>
              </w:rPr>
              <w:t>当环保设施不正常运行时可直接导致废气中污染物浓度超标排放。一般来讲，废气处理环保设施存在多环节的故障隐患，但同时出现的概率极低，出现事故持续时间一般不会超过0.5h，可紧急抢修修复。非正常工况下持续时间短，对环境影响不大。一旦环保设施出现故障，影响废气处理效率，应立即停止当前作业。</w:t>
            </w:r>
          </w:p>
          <w:p w14:paraId="774106B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pacing w:val="0"/>
                <w:sz w:val="21"/>
                <w:szCs w:val="21"/>
                <w:highlight w:val="none"/>
                <w:lang w:val="en-US" w:eastAsia="zh-CN"/>
                <w14:textFill>
                  <w14:solidFill>
                    <w14:schemeClr w14:val="tx1"/>
                  </w14:solidFill>
                </w14:textFill>
              </w:rPr>
              <w:t>非正常排放参数调查表</w:t>
            </w:r>
          </w:p>
          <w:tbl>
            <w:tblPr>
              <w:tblStyle w:val="32"/>
              <w:tblW w:w="4948" w:type="pct"/>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1202"/>
              <w:gridCol w:w="824"/>
              <w:gridCol w:w="1425"/>
              <w:gridCol w:w="653"/>
              <w:gridCol w:w="774"/>
              <w:gridCol w:w="679"/>
              <w:gridCol w:w="784"/>
              <w:gridCol w:w="1928"/>
            </w:tblGrid>
            <w:tr w14:paraId="1503768F">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20" w:hRule="atLeast"/>
                <w:jc w:val="center"/>
              </w:trPr>
              <w:tc>
                <w:tcPr>
                  <w:tcW w:w="1202" w:type="dxa"/>
                  <w:tcBorders>
                    <w:tl2br w:val="nil"/>
                    <w:tr2bl w:val="nil"/>
                  </w:tcBorders>
                  <w:noWrap w:val="0"/>
                  <w:vAlign w:val="center"/>
                </w:tcPr>
                <w:p w14:paraId="6798CB07">
                  <w:pPr>
                    <w:keepNext w:val="0"/>
                    <w:keepLines w:val="0"/>
                    <w:suppressLineNumbers w:val="0"/>
                    <w:shd w:val="clear"/>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非正常排放源</w:t>
                  </w:r>
                </w:p>
              </w:tc>
              <w:tc>
                <w:tcPr>
                  <w:tcW w:w="824" w:type="dxa"/>
                  <w:tcBorders>
                    <w:tl2br w:val="nil"/>
                    <w:tr2bl w:val="nil"/>
                  </w:tcBorders>
                  <w:noWrap w:val="0"/>
                  <w:vAlign w:val="center"/>
                </w:tcPr>
                <w:p w14:paraId="17AD1C12">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pacing w:val="-14"/>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14"/>
                      <w:sz w:val="21"/>
                      <w:szCs w:val="21"/>
                      <w:highlight w:val="none"/>
                      <w14:textFill>
                        <w14:solidFill>
                          <w14:schemeClr w14:val="tx1"/>
                        </w14:solidFill>
                      </w14:textFill>
                    </w:rPr>
                    <w:t>污染物</w:t>
                  </w:r>
                </w:p>
              </w:tc>
              <w:tc>
                <w:tcPr>
                  <w:tcW w:w="1425" w:type="dxa"/>
                  <w:tcBorders>
                    <w:tl2br w:val="nil"/>
                    <w:tr2bl w:val="nil"/>
                  </w:tcBorders>
                  <w:noWrap w:val="0"/>
                  <w:vAlign w:val="center"/>
                </w:tcPr>
                <w:p w14:paraId="4AD048E2">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非正常排放原因</w:t>
                  </w:r>
                </w:p>
              </w:tc>
              <w:tc>
                <w:tcPr>
                  <w:tcW w:w="653" w:type="dxa"/>
                  <w:tcBorders>
                    <w:tl2br w:val="nil"/>
                    <w:tr2bl w:val="nil"/>
                  </w:tcBorders>
                  <w:noWrap w:val="0"/>
                  <w:vAlign w:val="center"/>
                </w:tcPr>
                <w:p w14:paraId="7F316630">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频次</w:t>
                  </w:r>
                </w:p>
              </w:tc>
              <w:tc>
                <w:tcPr>
                  <w:tcW w:w="774" w:type="dxa"/>
                  <w:tcBorders>
                    <w:tl2br w:val="nil"/>
                    <w:tr2bl w:val="nil"/>
                  </w:tcBorders>
                  <w:noWrap w:val="0"/>
                  <w:vAlign w:val="center"/>
                </w:tcPr>
                <w:p w14:paraId="6CD01757">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排放浓度mg/m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p>
              </w:tc>
              <w:tc>
                <w:tcPr>
                  <w:tcW w:w="679" w:type="dxa"/>
                  <w:tcBorders>
                    <w:tl2br w:val="nil"/>
                    <w:tr2bl w:val="nil"/>
                  </w:tcBorders>
                  <w:noWrap w:val="0"/>
                  <w:vAlign w:val="center"/>
                </w:tcPr>
                <w:p w14:paraId="207BB7B5">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持续</w:t>
                  </w:r>
                </w:p>
                <w:p w14:paraId="5BCB0704">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时间</w:t>
                  </w:r>
                </w:p>
              </w:tc>
              <w:tc>
                <w:tcPr>
                  <w:tcW w:w="784" w:type="dxa"/>
                  <w:tcBorders>
                    <w:tl2br w:val="nil"/>
                    <w:tr2bl w:val="nil"/>
                  </w:tcBorders>
                  <w:noWrap w:val="0"/>
                  <w:vAlign w:val="center"/>
                </w:tcPr>
                <w:p w14:paraId="5C25DE48">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排放量</w:t>
                  </w:r>
                </w:p>
                <w:p w14:paraId="39CAD506">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kg</w:t>
                  </w:r>
                </w:p>
              </w:tc>
              <w:tc>
                <w:tcPr>
                  <w:tcW w:w="1928" w:type="dxa"/>
                  <w:tcBorders>
                    <w:tl2br w:val="nil"/>
                    <w:tr2bl w:val="nil"/>
                  </w:tcBorders>
                  <w:noWrap w:val="0"/>
                  <w:vAlign w:val="center"/>
                </w:tcPr>
                <w:p w14:paraId="52B91FAF">
                  <w:pPr>
                    <w:keepNext w:val="0"/>
                    <w:keepLines w:val="0"/>
                    <w:suppressLineNumbers w:val="0"/>
                    <w:shd w:val="clear"/>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措施</w:t>
                  </w:r>
                </w:p>
              </w:tc>
            </w:tr>
            <w:tr w14:paraId="733C089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1210" w:hRule="atLeast"/>
                <w:jc w:val="center"/>
              </w:trPr>
              <w:tc>
                <w:tcPr>
                  <w:tcW w:w="1202" w:type="dxa"/>
                  <w:tcBorders>
                    <w:tl2br w:val="nil"/>
                    <w:tr2bl w:val="nil"/>
                  </w:tcBorders>
                  <w:noWrap w:val="0"/>
                  <w:vAlign w:val="center"/>
                </w:tcPr>
                <w:p w14:paraId="1A1260B5">
                  <w:pPr>
                    <w:keepNext w:val="0"/>
                    <w:keepLines w:val="0"/>
                    <w:suppressLineNumbers w:val="0"/>
                    <w:shd w:val="clear"/>
                    <w:spacing w:before="0" w:beforeAutospacing="0" w:after="0" w:afterAutospacing="0" w:line="280" w:lineRule="exact"/>
                    <w:ind w:left="-120" w:leftChars="-50" w:right="-120" w:rightChars="-50" w:firstLine="0" w:firstLineChars="0"/>
                    <w:jc w:val="cente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DA00</w:t>
                  </w:r>
                  <w:r>
                    <w:rPr>
                      <w:rFonts w:hint="eastAsia" w:cs="Times New Roman"/>
                      <w:b w:val="0"/>
                      <w:bCs w:val="0"/>
                      <w:color w:val="000000" w:themeColor="text1"/>
                      <w:sz w:val="21"/>
                      <w:szCs w:val="21"/>
                      <w:highlight w:val="none"/>
                      <w:lang w:val="en-US" w:eastAsia="zh-CN"/>
                      <w14:textFill>
                        <w14:solidFill>
                          <w14:schemeClr w14:val="tx1"/>
                        </w14:solidFill>
                      </w14:textFill>
                    </w:rPr>
                    <w:t>2</w:t>
                  </w:r>
                </w:p>
              </w:tc>
              <w:tc>
                <w:tcPr>
                  <w:tcW w:w="824" w:type="dxa"/>
                  <w:tcBorders>
                    <w:tl2br w:val="nil"/>
                    <w:tr2bl w:val="nil"/>
                  </w:tcBorders>
                  <w:noWrap w:val="0"/>
                  <w:vAlign w:val="center"/>
                </w:tcPr>
                <w:p w14:paraId="46E0D3E9">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颗粒物</w:t>
                  </w:r>
                </w:p>
              </w:tc>
              <w:tc>
                <w:tcPr>
                  <w:tcW w:w="1425" w:type="dxa"/>
                  <w:tcBorders>
                    <w:tl2br w:val="nil"/>
                    <w:tr2bl w:val="nil"/>
                  </w:tcBorders>
                  <w:noWrap w:val="0"/>
                  <w:vAlign w:val="center"/>
                </w:tcPr>
                <w:p w14:paraId="1587CD1E">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环保设施不正常运行</w:t>
                  </w:r>
                </w:p>
              </w:tc>
              <w:tc>
                <w:tcPr>
                  <w:tcW w:w="653" w:type="dxa"/>
                  <w:tcBorders>
                    <w:tl2br w:val="nil"/>
                    <w:tr2bl w:val="nil"/>
                  </w:tcBorders>
                  <w:noWrap w:val="0"/>
                  <w:vAlign w:val="center"/>
                </w:tcPr>
                <w:p w14:paraId="0F5945A7">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1次/年</w:t>
                  </w:r>
                </w:p>
              </w:tc>
              <w:tc>
                <w:tcPr>
                  <w:tcW w:w="774" w:type="dxa"/>
                  <w:tcBorders>
                    <w:tl2br w:val="nil"/>
                    <w:tr2bl w:val="nil"/>
                  </w:tcBorders>
                  <w:noWrap w:val="0"/>
                  <w:vAlign w:val="center"/>
                </w:tcPr>
                <w:p w14:paraId="3C819C5E">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1596.00</w:t>
                  </w:r>
                </w:p>
              </w:tc>
              <w:tc>
                <w:tcPr>
                  <w:tcW w:w="679" w:type="dxa"/>
                  <w:tcBorders>
                    <w:tl2br w:val="nil"/>
                    <w:tr2bl w:val="nil"/>
                  </w:tcBorders>
                  <w:noWrap w:val="0"/>
                  <w:vAlign w:val="center"/>
                </w:tcPr>
                <w:p w14:paraId="5DDFB63A">
                  <w:pPr>
                    <w:keepNext w:val="0"/>
                    <w:keepLines w:val="0"/>
                    <w:suppressLineNumbers w:val="0"/>
                    <w:shd w:val="clear"/>
                    <w:spacing w:before="0" w:beforeAutospacing="0" w:after="0" w:afterAutospacing="0" w:line="240" w:lineRule="exact"/>
                    <w:ind w:left="-120" w:leftChars="-50" w:right="-120" w:rightChars="-50"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0.5h</w:t>
                  </w:r>
                </w:p>
              </w:tc>
              <w:tc>
                <w:tcPr>
                  <w:tcW w:w="784" w:type="dxa"/>
                  <w:tcBorders>
                    <w:tl2br w:val="nil"/>
                    <w:tr2bl w:val="nil"/>
                  </w:tcBorders>
                  <w:noWrap w:val="0"/>
                  <w:vAlign w:val="center"/>
                </w:tcPr>
                <w:p w14:paraId="56AA7508">
                  <w:pPr>
                    <w:keepNext w:val="0"/>
                    <w:keepLines w:val="0"/>
                    <w:suppressLineNumbers w:val="0"/>
                    <w:shd w:val="clear"/>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35.91</w:t>
                  </w:r>
                </w:p>
              </w:tc>
              <w:tc>
                <w:tcPr>
                  <w:tcW w:w="1928" w:type="dxa"/>
                  <w:tcBorders>
                    <w:tl2br w:val="nil"/>
                    <w:tr2bl w:val="nil"/>
                  </w:tcBorders>
                  <w:noWrap w:val="0"/>
                  <w:vAlign w:val="center"/>
                </w:tcPr>
                <w:p w14:paraId="4D64FCC8">
                  <w:pPr>
                    <w:keepNext w:val="0"/>
                    <w:keepLines w:val="0"/>
                    <w:suppressLineNumbers w:val="0"/>
                    <w:shd w:val="clear"/>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故障可能导致超标排放时需立即停产，待环保设施能正常使用后再投产。</w:t>
                  </w:r>
                </w:p>
              </w:tc>
            </w:tr>
          </w:tbl>
          <w:p w14:paraId="36BEFEA5">
            <w:pPr>
              <w:keepNext w:val="0"/>
              <w:keepLines w:val="0"/>
              <w:suppressLineNumbers w:val="0"/>
              <w:shd w:val="clear"/>
              <w:spacing w:before="0" w:beforeAutospacing="0" w:after="0" w:afterAutospacing="0" w:line="480" w:lineRule="exact"/>
              <w:ind w:left="0" w:right="0" w:firstLine="464" w:firstLineChars="200"/>
              <w:jc w:val="left"/>
              <w:rPr>
                <w:rFonts w:hint="default" w:ascii="Times New Roman" w:hAnsi="Times New Roman" w:eastAsia="宋体" w:cs="Times New Roman"/>
                <w:color w:val="000000" w:themeColor="text1"/>
                <w:spacing w:val="-4"/>
                <w:sz w:val="24"/>
                <w:highlight w:val="none"/>
                <w14:textFill>
                  <w14:solidFill>
                    <w14:schemeClr w14:val="tx1"/>
                  </w14:solidFill>
                </w14:textFill>
              </w:rPr>
            </w:pPr>
            <w:r>
              <w:rPr>
                <w:rFonts w:hint="default" w:ascii="Times New Roman" w:hAnsi="Times New Roman" w:eastAsia="宋体" w:cs="Times New Roman"/>
                <w:color w:val="000000" w:themeColor="text1"/>
                <w:spacing w:val="-4"/>
                <w:sz w:val="24"/>
                <w:highlight w:val="none"/>
                <w14:textFill>
                  <w14:solidFill>
                    <w14:schemeClr w14:val="tx1"/>
                  </w14:solidFill>
                </w14:textFill>
              </w:rPr>
              <w:t>为减少非正常工况，应对设备加强日常维护，定期检修维护，确保废气</w:t>
            </w:r>
            <w:r>
              <w:rPr>
                <w:rFonts w:hint="eastAsia" w:cs="Times New Roman"/>
                <w:color w:val="000000" w:themeColor="text1"/>
                <w:spacing w:val="-4"/>
                <w:sz w:val="24"/>
                <w:highlight w:val="none"/>
                <w:lang w:eastAsia="zh-CN"/>
                <w14:textFill>
                  <w14:solidFill>
                    <w14:schemeClr w14:val="tx1"/>
                  </w14:solidFill>
                </w14:textFill>
              </w:rPr>
              <w:t>处理设施</w:t>
            </w:r>
            <w:r>
              <w:rPr>
                <w:rFonts w:hint="default" w:ascii="Times New Roman" w:hAnsi="Times New Roman" w:eastAsia="宋体" w:cs="Times New Roman"/>
                <w:color w:val="000000" w:themeColor="text1"/>
                <w:spacing w:val="-4"/>
                <w:sz w:val="24"/>
                <w:highlight w:val="none"/>
                <w14:textFill>
                  <w14:solidFill>
                    <w14:schemeClr w14:val="tx1"/>
                  </w14:solidFill>
                </w14:textFill>
              </w:rPr>
              <w:t>稳定运行，污染物达标排放。</w:t>
            </w:r>
          </w:p>
          <w:p w14:paraId="77071AB5">
            <w:pPr>
              <w:pStyle w:val="44"/>
              <w:keepNext w:val="0"/>
              <w:keepLines w:val="0"/>
              <w:pageBreakBefore w:val="0"/>
              <w:widowControl w:val="0"/>
              <w:suppressLineNumbers w:val="0"/>
              <w:shd w:val="clear"/>
              <w:tabs>
                <w:tab w:val="center" w:pos="0"/>
                <w:tab w:val="center" w:pos="4153"/>
                <w:tab w:val="right" w:pos="8306"/>
              </w:tabs>
              <w:kinsoku/>
              <w:wordWrap/>
              <w:overflowPunct/>
              <w:topLinePunct w:val="0"/>
              <w:autoSpaceDE/>
              <w:autoSpaceDN/>
              <w:bidi w:val="0"/>
              <w:adjustRightInd/>
              <w:snapToGrid/>
              <w:spacing w:before="0" w:beforeAutospacing="0" w:after="0" w:afterLines="0" w:afterAutospacing="0" w:line="500" w:lineRule="exact"/>
              <w:ind w:left="0" w:right="0" w:firstLine="480"/>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1.4</w:t>
            </w:r>
            <w:r>
              <w:rPr>
                <w:rFonts w:hint="eastAsia"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本项目</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除尘器</w:t>
            </w:r>
            <w:r>
              <w:rPr>
                <w:rFonts w:hint="eastAsia"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设置情况及</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废气治理设施风机风量合理性分析</w:t>
            </w:r>
          </w:p>
          <w:p w14:paraId="08CE29FE">
            <w:pPr>
              <w:keepNext w:val="0"/>
              <w:keepLines w:val="0"/>
              <w:pageBreakBefore w:val="0"/>
              <w:widowControl w:val="0"/>
              <w:suppressLineNumbers w:val="0"/>
              <w:shd w:val="clear"/>
              <w:kinsoku/>
              <w:wordWrap/>
              <w:overflowPunct/>
              <w:topLinePunct w:val="0"/>
              <w:autoSpaceDE/>
              <w:autoSpaceDN/>
              <w:bidi w:val="0"/>
              <w:adjustRightInd w:val="0"/>
              <w:snapToGrid/>
              <w:spacing w:before="0" w:beforeLines="0" w:beforeAutospacing="0" w:after="0" w:afterLines="0" w:afterAutospacing="0" w:line="360" w:lineRule="auto"/>
              <w:ind w:left="0" w:leftChars="0" w:right="0" w:rightChars="0" w:firstLine="480" w:firstLineChars="200"/>
              <w:textAlignment w:val="auto"/>
              <w:outlineLvl w:val="9"/>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本项目废气污染物主要为颗粒物，采用的废气治理设施主要为脉冲布袋除尘器。项目袋式除尘器主要参数情况如下表所示。</w:t>
            </w:r>
          </w:p>
          <w:p w14:paraId="32B49642">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s="Times New Roman"/>
                <w:b/>
                <w:bCs/>
                <w:color w:val="000000" w:themeColor="text1"/>
                <w:spacing w:val="0"/>
                <w:sz w:val="21"/>
                <w:szCs w:val="21"/>
                <w:highlight w:val="none"/>
                <w:lang w:val="en-US" w:eastAsia="zh-CN"/>
                <w14:textFill>
                  <w14:solidFill>
                    <w14:schemeClr w14:val="tx1"/>
                  </w14:solidFill>
                </w14:textFill>
              </w:rPr>
              <w:t>布袋</w:t>
            </w:r>
            <w:r>
              <w:rPr>
                <w:rFonts w:hint="default" w:ascii="Times New Roman" w:hAnsi="Times New Roman" w:cs="Times New Roman"/>
                <w:b/>
                <w:bCs/>
                <w:color w:val="000000" w:themeColor="text1"/>
                <w:spacing w:val="0"/>
                <w:sz w:val="21"/>
                <w:szCs w:val="21"/>
                <w:highlight w:val="none"/>
                <w:lang w:val="en-US" w:eastAsia="zh-CN"/>
                <w14:textFill>
                  <w14:solidFill>
                    <w14:schemeClr w14:val="tx1"/>
                  </w14:solidFill>
                </w14:textFill>
              </w:rPr>
              <w:t>除尘参数一览表</w:t>
            </w:r>
          </w:p>
          <w:tbl>
            <w:tblPr>
              <w:tblStyle w:val="32"/>
              <w:tblW w:w="4950"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432"/>
              <w:gridCol w:w="1142"/>
              <w:gridCol w:w="1189"/>
              <w:gridCol w:w="1366"/>
              <w:gridCol w:w="983"/>
              <w:gridCol w:w="1365"/>
              <w:gridCol w:w="794"/>
            </w:tblGrid>
            <w:tr w14:paraId="6C4C94B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62" w:hRule="atLeast"/>
                <w:jc w:val="center"/>
              </w:trPr>
              <w:tc>
                <w:tcPr>
                  <w:tcW w:w="1133" w:type="dxa"/>
                  <w:tcBorders>
                    <w:tl2br w:val="nil"/>
                    <w:tr2bl w:val="nil"/>
                  </w:tcBorders>
                  <w:noWrap w:val="0"/>
                  <w:vAlign w:val="center"/>
                </w:tcPr>
                <w:p w14:paraId="41D30CFA">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eastAsia" w:ascii="Times New Roman" w:hAnsi="Times New Roman" w:eastAsia="宋体" w:cs="Times New Roman"/>
                      <w:b w:val="0"/>
                      <w:bCs/>
                      <w:snapToGrid w:val="0"/>
                      <w:color w:val="000000" w:themeColor="text1"/>
                      <w:kern w:val="24"/>
                      <w:sz w:val="21"/>
                      <w:szCs w:val="21"/>
                      <w:highlight w:val="none"/>
                      <w:lang w:eastAsia="zh-CN"/>
                      <w14:textFill>
                        <w14:solidFill>
                          <w14:schemeClr w14:val="tx1"/>
                        </w14:solidFill>
                      </w14:textFill>
                    </w:rPr>
                  </w:pPr>
                  <w:r>
                    <w:rPr>
                      <w:rFonts w:hint="eastAsia" w:ascii="Times New Roman" w:hAnsi="Times New Roman" w:cs="Times New Roman"/>
                      <w:b w:val="0"/>
                      <w:bCs/>
                      <w:snapToGrid w:val="0"/>
                      <w:color w:val="000000" w:themeColor="text1"/>
                      <w:kern w:val="24"/>
                      <w:sz w:val="21"/>
                      <w:szCs w:val="21"/>
                      <w:highlight w:val="none"/>
                      <w:lang w:eastAsia="zh-CN"/>
                      <w14:textFill>
                        <w14:solidFill>
                          <w14:schemeClr w14:val="tx1"/>
                        </w14:solidFill>
                      </w14:textFill>
                    </w:rPr>
                    <w:t>设施名称</w:t>
                  </w:r>
                </w:p>
              </w:tc>
              <w:tc>
                <w:tcPr>
                  <w:tcW w:w="905" w:type="dxa"/>
                  <w:tcBorders>
                    <w:tl2br w:val="nil"/>
                    <w:tr2bl w:val="nil"/>
                  </w:tcBorders>
                  <w:noWrap w:val="0"/>
                  <w:vAlign w:val="center"/>
                </w:tcPr>
                <w:p w14:paraId="0A9DC6C7">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pPr>
                  <w: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t>单台风机风量</w:t>
                  </w:r>
                </w:p>
              </w:tc>
              <w:tc>
                <w:tcPr>
                  <w:tcW w:w="942" w:type="dxa"/>
                  <w:tcBorders>
                    <w:tl2br w:val="nil"/>
                    <w:tr2bl w:val="nil"/>
                  </w:tcBorders>
                  <w:noWrap w:val="0"/>
                  <w:vAlign w:val="center"/>
                </w:tcPr>
                <w:p w14:paraId="1EC55DD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pPr>
                  <w: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t>滤袋材质</w:t>
                  </w:r>
                </w:p>
              </w:tc>
              <w:tc>
                <w:tcPr>
                  <w:tcW w:w="1082" w:type="dxa"/>
                  <w:tcBorders>
                    <w:tl2br w:val="nil"/>
                    <w:tr2bl w:val="nil"/>
                  </w:tcBorders>
                  <w:noWrap w:val="0"/>
                  <w:vAlign w:val="center"/>
                </w:tcPr>
                <w:p w14:paraId="131FA5B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pPr>
                  <w: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t>过滤风速</w:t>
                  </w:r>
                </w:p>
              </w:tc>
              <w:tc>
                <w:tcPr>
                  <w:tcW w:w="777" w:type="dxa"/>
                  <w:tcBorders>
                    <w:tl2br w:val="nil"/>
                    <w:tr2bl w:val="nil"/>
                  </w:tcBorders>
                  <w:noWrap w:val="0"/>
                  <w:vAlign w:val="center"/>
                </w:tcPr>
                <w:p w14:paraId="381E708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pPr>
                  <w: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t>过滤面积</w:t>
                  </w:r>
                </w:p>
              </w:tc>
              <w:tc>
                <w:tcPr>
                  <w:tcW w:w="1081" w:type="dxa"/>
                  <w:tcBorders>
                    <w:tl2br w:val="nil"/>
                    <w:tr2bl w:val="nil"/>
                  </w:tcBorders>
                  <w:noWrap w:val="0"/>
                  <w:vAlign w:val="center"/>
                </w:tcPr>
                <w:p w14:paraId="3E3E10B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t>处理效率</w:t>
                  </w:r>
                </w:p>
              </w:tc>
              <w:tc>
                <w:tcPr>
                  <w:tcW w:w="628" w:type="dxa"/>
                  <w:tcBorders>
                    <w:tl2br w:val="nil"/>
                    <w:tr2bl w:val="nil"/>
                  </w:tcBorders>
                  <w:noWrap w:val="0"/>
                  <w:vAlign w:val="center"/>
                </w:tcPr>
                <w:p w14:paraId="17C2C9F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eastAsia" w:ascii="Times New Roman" w:hAnsi="Times New Roman" w:eastAsia="宋体" w:cs="Times New Roman"/>
                      <w:b w:val="0"/>
                      <w:bCs/>
                      <w:snapToGrid w:val="0"/>
                      <w:color w:val="000000" w:themeColor="text1"/>
                      <w:kern w:val="24"/>
                      <w:sz w:val="21"/>
                      <w:szCs w:val="21"/>
                      <w:highlight w:val="none"/>
                      <w:lang w:eastAsia="zh-CN"/>
                      <w14:textFill>
                        <w14:solidFill>
                          <w14:schemeClr w14:val="tx1"/>
                        </w14:solidFill>
                      </w14:textFill>
                    </w:rPr>
                  </w:pPr>
                  <w:r>
                    <w:rPr>
                      <w:rFonts w:hint="eastAsia" w:ascii="Times New Roman" w:hAnsi="Times New Roman" w:cs="Times New Roman"/>
                      <w:b w:val="0"/>
                      <w:bCs/>
                      <w:snapToGrid w:val="0"/>
                      <w:color w:val="000000" w:themeColor="text1"/>
                      <w:kern w:val="24"/>
                      <w:sz w:val="21"/>
                      <w:szCs w:val="21"/>
                      <w:highlight w:val="none"/>
                      <w:lang w:eastAsia="zh-CN"/>
                      <w14:textFill>
                        <w14:solidFill>
                          <w14:schemeClr w14:val="tx1"/>
                        </w14:solidFill>
                      </w14:textFill>
                    </w:rPr>
                    <w:t>数量</w:t>
                  </w:r>
                </w:p>
              </w:tc>
            </w:tr>
            <w:tr w14:paraId="0EA016B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2" w:hRule="atLeast"/>
                <w:jc w:val="center"/>
              </w:trPr>
              <w:tc>
                <w:tcPr>
                  <w:tcW w:w="1133" w:type="dxa"/>
                  <w:tcBorders>
                    <w:tl2br w:val="nil"/>
                    <w:tr2bl w:val="nil"/>
                  </w:tcBorders>
                  <w:noWrap w:val="0"/>
                  <w:vAlign w:val="center"/>
                </w:tcPr>
                <w:p w14:paraId="39BE7D3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000000" w:themeColor="text1"/>
                      <w:kern w:val="24"/>
                      <w:sz w:val="21"/>
                      <w:szCs w:val="21"/>
                      <w:highlight w:val="none"/>
                      <w:lang w:val="en-US" w:eastAsia="zh-CN" w:bidi="ar-SA"/>
                      <w14:textFill>
                        <w14:solidFill>
                          <w14:schemeClr w14:val="tx1"/>
                        </w14:solidFill>
                      </w14:textFill>
                    </w:rPr>
                  </w:pPr>
                  <w:r>
                    <w:rPr>
                      <w:rFonts w:hint="default" w:ascii="Times New Roman" w:hAnsi="Times New Roman" w:cs="Times New Roman"/>
                      <w:b w:val="0"/>
                      <w:bCs/>
                      <w:snapToGrid w:val="0"/>
                      <w:color w:val="000000" w:themeColor="text1"/>
                      <w:kern w:val="24"/>
                      <w:sz w:val="21"/>
                      <w:szCs w:val="21"/>
                      <w:highlight w:val="none"/>
                      <w:lang w:val="en-US" w:eastAsia="zh-CN"/>
                      <w14:textFill>
                        <w14:solidFill>
                          <w14:schemeClr w14:val="tx1"/>
                        </w14:solidFill>
                      </w14:textFill>
                    </w:rPr>
                    <w:t>脉冲布袋除尘器</w:t>
                  </w:r>
                </w:p>
              </w:tc>
              <w:tc>
                <w:tcPr>
                  <w:tcW w:w="905" w:type="dxa"/>
                  <w:tcBorders>
                    <w:tl2br w:val="nil"/>
                    <w:tr2bl w:val="nil"/>
                  </w:tcBorders>
                  <w:noWrap w:val="0"/>
                  <w:vAlign w:val="center"/>
                </w:tcPr>
                <w:p w14:paraId="343E69B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eastAsia" w:ascii="Times New Roman" w:hAnsi="Times New Roman" w:cs="Times New Roman"/>
                      <w:b w:val="0"/>
                      <w:bCs/>
                      <w:snapToGrid w:val="0"/>
                      <w:color w:val="000000" w:themeColor="text1"/>
                      <w:kern w:val="24"/>
                      <w:sz w:val="21"/>
                      <w:szCs w:val="21"/>
                      <w:highlight w:val="none"/>
                      <w:lang w:val="en-US" w:eastAsia="zh-CN" w:bidi="ar-SA"/>
                      <w14:textFill>
                        <w14:solidFill>
                          <w14:schemeClr w14:val="tx1"/>
                        </w14:solidFill>
                      </w14:textFill>
                    </w:rPr>
                  </w:pPr>
                  <w:r>
                    <w:rPr>
                      <w:rFonts w:hint="eastAsia" w:cs="Times New Roman"/>
                      <w:b w:val="0"/>
                      <w:bCs/>
                      <w:snapToGrid w:val="0"/>
                      <w:color w:val="000000" w:themeColor="text1"/>
                      <w:kern w:val="24"/>
                      <w:sz w:val="21"/>
                      <w:szCs w:val="21"/>
                      <w:highlight w:val="none"/>
                      <w:lang w:val="en-US" w:eastAsia="zh-CN"/>
                      <w14:textFill>
                        <w14:solidFill>
                          <w14:schemeClr w14:val="tx1"/>
                        </w14:solidFill>
                      </w14:textFill>
                    </w:rPr>
                    <w:t>45000</w:t>
                  </w:r>
                  <w:r>
                    <w:rPr>
                      <w:rFonts w:hint="default" w:ascii="Times New Roman" w:hAnsi="Times New Roman" w:cs="Times New Roman"/>
                      <w:b w:val="0"/>
                      <w:bCs/>
                      <w:color w:val="000000" w:themeColor="text1"/>
                      <w:sz w:val="21"/>
                      <w:szCs w:val="21"/>
                      <w:highlight w:val="none"/>
                      <w14:textFill>
                        <w14:solidFill>
                          <w14:schemeClr w14:val="tx1"/>
                        </w14:solidFill>
                      </w14:textFill>
                    </w:rPr>
                    <w:t>m</w:t>
                  </w:r>
                  <w:r>
                    <w:rPr>
                      <w:rFonts w:hint="default" w:ascii="Times New Roman" w:hAnsi="Times New Roman" w:cs="Times New Roman"/>
                      <w:b w:val="0"/>
                      <w:bCs/>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b w:val="0"/>
                      <w:bCs/>
                      <w:color w:val="000000" w:themeColor="text1"/>
                      <w:sz w:val="21"/>
                      <w:szCs w:val="21"/>
                      <w:highlight w:val="none"/>
                      <w14:textFill>
                        <w14:solidFill>
                          <w14:schemeClr w14:val="tx1"/>
                        </w14:solidFill>
                      </w14:textFill>
                    </w:rPr>
                    <w:t>/h</w:t>
                  </w:r>
                </w:p>
              </w:tc>
              <w:tc>
                <w:tcPr>
                  <w:tcW w:w="942" w:type="dxa"/>
                  <w:tcBorders>
                    <w:tl2br w:val="nil"/>
                    <w:tr2bl w:val="nil"/>
                  </w:tcBorders>
                  <w:noWrap w:val="0"/>
                  <w:vAlign w:val="center"/>
                </w:tcPr>
                <w:p w14:paraId="78B972B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000000" w:themeColor="text1"/>
                      <w:kern w:val="24"/>
                      <w:sz w:val="21"/>
                      <w:szCs w:val="21"/>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sz w:val="21"/>
                      <w:szCs w:val="21"/>
                      <w:highlight w:val="none"/>
                      <w:lang w:eastAsia="zh-CN"/>
                      <w14:textFill>
                        <w14:solidFill>
                          <w14:schemeClr w14:val="tx1"/>
                        </w14:solidFill>
                      </w14:textFill>
                    </w:rPr>
                    <w:t>覆膜</w:t>
                  </w:r>
                  <w:r>
                    <w:rPr>
                      <w:rFonts w:hint="default" w:ascii="Times New Roman" w:hAnsi="Times New Roman" w:cs="Times New Roman"/>
                      <w:b w:val="0"/>
                      <w:bCs/>
                      <w:color w:val="000000" w:themeColor="text1"/>
                      <w:sz w:val="21"/>
                      <w:szCs w:val="21"/>
                      <w:highlight w:val="none"/>
                      <w14:textFill>
                        <w14:solidFill>
                          <w14:schemeClr w14:val="tx1"/>
                        </w14:solidFill>
                      </w14:textFill>
                    </w:rPr>
                    <w:t>涤纶针刺毡</w:t>
                  </w:r>
                </w:p>
              </w:tc>
              <w:tc>
                <w:tcPr>
                  <w:tcW w:w="1082" w:type="dxa"/>
                  <w:tcBorders>
                    <w:tl2br w:val="nil"/>
                    <w:tr2bl w:val="nil"/>
                  </w:tcBorders>
                  <w:noWrap w:val="0"/>
                  <w:vAlign w:val="center"/>
                </w:tcPr>
                <w:p w14:paraId="26FC801E">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000000" w:themeColor="text1"/>
                      <w:kern w:val="24"/>
                      <w:sz w:val="21"/>
                      <w:szCs w:val="21"/>
                      <w:highlight w:val="none"/>
                      <w:lang w:val="en-US" w:eastAsia="zh-CN" w:bidi="ar-SA"/>
                      <w14:textFill>
                        <w14:solidFill>
                          <w14:schemeClr w14:val="tx1"/>
                        </w14:solidFill>
                      </w14:textFill>
                    </w:rPr>
                  </w:pPr>
                  <w:r>
                    <w:rPr>
                      <w:rFonts w:hint="eastAsia" w:ascii="Times New Roman" w:hAnsi="Times New Roman" w:cs="Times New Roman"/>
                      <w:b w:val="0"/>
                      <w:bCs/>
                      <w:snapToGrid w:val="0"/>
                      <w:color w:val="000000" w:themeColor="text1"/>
                      <w:kern w:val="24"/>
                      <w:sz w:val="21"/>
                      <w:szCs w:val="21"/>
                      <w:highlight w:val="none"/>
                      <w:lang w:eastAsia="zh-CN"/>
                      <w14:textFill>
                        <w14:solidFill>
                          <w14:schemeClr w14:val="tx1"/>
                        </w14:solidFill>
                      </w14:textFill>
                    </w:rPr>
                    <w:t>≤</w:t>
                  </w:r>
                  <w: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t>0.8m/min</w:t>
                  </w:r>
                </w:p>
              </w:tc>
              <w:tc>
                <w:tcPr>
                  <w:tcW w:w="777" w:type="dxa"/>
                  <w:tcBorders>
                    <w:tl2br w:val="nil"/>
                    <w:tr2bl w:val="nil"/>
                  </w:tcBorders>
                  <w:noWrap w:val="0"/>
                  <w:vAlign w:val="center"/>
                </w:tcPr>
                <w:p w14:paraId="587A0C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textAlignment w:val="center"/>
                    <w:rPr>
                      <w:rFonts w:hint="eastAsia" w:ascii="Times New Roman" w:hAnsi="Times New Roman" w:cs="Times New Roman"/>
                      <w:b w:val="0"/>
                      <w:bCs/>
                      <w:snapToGrid w:val="0"/>
                      <w:color w:val="000000" w:themeColor="text1"/>
                      <w:kern w:val="24"/>
                      <w:sz w:val="21"/>
                      <w:szCs w:val="21"/>
                      <w:highlight w:val="none"/>
                      <w:lang w:val="en-US" w:eastAsia="zh-CN" w:bidi="ar-SA"/>
                      <w14:textFill>
                        <w14:solidFill>
                          <w14:schemeClr w14:val="tx1"/>
                        </w14:solidFill>
                      </w14:textFill>
                    </w:rPr>
                  </w:pPr>
                  <w:r>
                    <w:rPr>
                      <w:rFonts w:hint="eastAsia" w:cs="Times New Roman"/>
                      <w:b w:val="0"/>
                      <w:bCs/>
                      <w:i w:val="0"/>
                      <w:iCs w:val="0"/>
                      <w:color w:val="000000" w:themeColor="text1"/>
                      <w:kern w:val="0"/>
                      <w:sz w:val="21"/>
                      <w:szCs w:val="21"/>
                      <w:highlight w:val="none"/>
                      <w:u w:val="none"/>
                      <w:lang w:val="en-US" w:eastAsia="zh-CN" w:bidi="ar"/>
                      <w14:textFill>
                        <w14:solidFill>
                          <w14:schemeClr w14:val="tx1"/>
                        </w14:solidFill>
                      </w14:textFill>
                    </w:rPr>
                    <w:t>937.5</w:t>
                  </w:r>
                  <w:r>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m</w:t>
                  </w:r>
                  <w:r>
                    <w:rPr>
                      <w:rFonts w:hint="default" w:ascii="Times New Roman" w:hAnsi="Times New Roman" w:eastAsia="宋体" w:cs="Times New Roman"/>
                      <w:b w:val="0"/>
                      <w:bCs/>
                      <w:i w:val="0"/>
                      <w:iCs w:val="0"/>
                      <w:color w:val="000000" w:themeColor="text1"/>
                      <w:kern w:val="0"/>
                      <w:sz w:val="21"/>
                      <w:szCs w:val="21"/>
                      <w:highlight w:val="none"/>
                      <w:u w:val="none"/>
                      <w:vertAlign w:val="superscript"/>
                      <w:lang w:val="en-US" w:eastAsia="zh-CN" w:bidi="ar"/>
                      <w14:textFill>
                        <w14:solidFill>
                          <w14:schemeClr w14:val="tx1"/>
                        </w14:solidFill>
                      </w14:textFill>
                    </w:rPr>
                    <w:t>2</w:t>
                  </w:r>
                </w:p>
              </w:tc>
              <w:tc>
                <w:tcPr>
                  <w:tcW w:w="1081" w:type="dxa"/>
                  <w:tcBorders>
                    <w:tl2br w:val="nil"/>
                    <w:tr2bl w:val="nil"/>
                  </w:tcBorders>
                  <w:noWrap w:val="0"/>
                  <w:vAlign w:val="center"/>
                </w:tcPr>
                <w:p w14:paraId="1D1F85A2">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t>9</w:t>
                  </w:r>
                  <w:r>
                    <w:rPr>
                      <w:rFonts w:hint="eastAsia" w:ascii="Times New Roman" w:hAnsi="Times New Roman" w:cs="Times New Roman"/>
                      <w:b w:val="0"/>
                      <w:bCs/>
                      <w:snapToGrid w:val="0"/>
                      <w:color w:val="000000" w:themeColor="text1"/>
                      <w:kern w:val="24"/>
                      <w:sz w:val="21"/>
                      <w:szCs w:val="21"/>
                      <w:highlight w:val="none"/>
                      <w:lang w:val="en-US" w:eastAsia="zh-CN"/>
                      <w14:textFill>
                        <w14:solidFill>
                          <w14:schemeClr w14:val="tx1"/>
                        </w14:solidFill>
                      </w14:textFill>
                    </w:rPr>
                    <w:t>9</w:t>
                  </w:r>
                  <w:r>
                    <w:rPr>
                      <w:rFonts w:hint="eastAsia" w:cs="Times New Roman"/>
                      <w:b w:val="0"/>
                      <w:bCs/>
                      <w:snapToGrid w:val="0"/>
                      <w:color w:val="000000" w:themeColor="text1"/>
                      <w:kern w:val="24"/>
                      <w:sz w:val="21"/>
                      <w:szCs w:val="21"/>
                      <w:highlight w:val="none"/>
                      <w:lang w:val="en-US" w:eastAsia="zh-CN"/>
                      <w14:textFill>
                        <w14:solidFill>
                          <w14:schemeClr w14:val="tx1"/>
                        </w14:solidFill>
                      </w14:textFill>
                    </w:rPr>
                    <w:t>.50</w:t>
                  </w:r>
                  <w:r>
                    <w:rPr>
                      <w:rFonts w:hint="default" w:ascii="Times New Roman" w:hAnsi="Times New Roman" w:cs="Times New Roman"/>
                      <w:b w:val="0"/>
                      <w:bCs/>
                      <w:snapToGrid w:val="0"/>
                      <w:color w:val="000000" w:themeColor="text1"/>
                      <w:kern w:val="24"/>
                      <w:sz w:val="21"/>
                      <w:szCs w:val="21"/>
                      <w:highlight w:val="none"/>
                      <w14:textFill>
                        <w14:solidFill>
                          <w14:schemeClr w14:val="tx1"/>
                        </w14:solidFill>
                      </w14:textFill>
                    </w:rPr>
                    <w:t>%</w:t>
                  </w:r>
                </w:p>
              </w:tc>
              <w:tc>
                <w:tcPr>
                  <w:tcW w:w="628" w:type="dxa"/>
                  <w:tcBorders>
                    <w:tl2br w:val="nil"/>
                    <w:tr2bl w:val="nil"/>
                  </w:tcBorders>
                  <w:noWrap w:val="0"/>
                  <w:vAlign w:val="center"/>
                </w:tcPr>
                <w:p w14:paraId="6A56B18E">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center"/>
                    <w:rPr>
                      <w:rFonts w:hint="default" w:ascii="Times New Roman" w:hAnsi="Times New Roman" w:cs="Times New Roman"/>
                      <w:b w:val="0"/>
                      <w:bCs/>
                      <w:snapToGrid w:val="0"/>
                      <w:color w:val="000000" w:themeColor="text1"/>
                      <w:kern w:val="24"/>
                      <w:sz w:val="21"/>
                      <w:szCs w:val="21"/>
                      <w:highlight w:val="no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24"/>
                      <w:sz w:val="21"/>
                      <w:szCs w:val="21"/>
                      <w:highlight w:val="none"/>
                      <w:lang w:val="en-US" w:eastAsia="zh-CN"/>
                      <w14:textFill>
                        <w14:solidFill>
                          <w14:schemeClr w14:val="tx1"/>
                        </w14:solidFill>
                      </w14:textFill>
                    </w:rPr>
                    <w:t>1台</w:t>
                  </w:r>
                </w:p>
              </w:tc>
            </w:tr>
          </w:tbl>
          <w:p w14:paraId="75AA35D1">
            <w:pPr>
              <w:pStyle w:val="45"/>
              <w:keepNext w:val="0"/>
              <w:keepLines w:val="0"/>
              <w:widowControl w:val="0"/>
              <w:numPr>
                <w:ilvl w:val="0"/>
                <w:numId w:val="0"/>
              </w:numPr>
              <w:suppressLineNumbers w:val="0"/>
              <w:shd w:val="clear"/>
              <w:autoSpaceDE w:val="0"/>
              <w:autoSpaceDN w:val="0"/>
              <w:adjustRightInd w:val="0"/>
              <w:spacing w:before="0" w:beforeLines="0" w:beforeAutospacing="0" w:after="0" w:afterLines="0" w:afterAutospacing="0" w:line="360" w:lineRule="auto"/>
              <w:ind w:left="0" w:right="0" w:firstLine="480" w:firstLineChars="200"/>
              <w:jc w:val="left"/>
              <w:rPr>
                <w:rFonts w:hint="eastAsia" w:hAnsi="Times New Roman"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根据项目原料、工艺等特点，本次参照</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根据《排污许可证申请与核发技术规范</w:t>
            </w:r>
            <w:r>
              <w:rPr>
                <w:rFonts w:hint="eastAsia" w:ascii="Times New Roman"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石墨及其他非金属矿物制品制造》（HJ1119-2020）中</w:t>
            </w:r>
            <w:r>
              <w:rPr>
                <w:rFonts w:hint="eastAsia"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附录</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A.1石墨、碳素制品生产排污单位废气污染防治可行技术参考表</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，袋式除尘器属于颗粒物废气治理可行性技术</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因此，本项目采用的废气治理设施可行。</w:t>
            </w:r>
          </w:p>
          <w:p w14:paraId="01FAB4C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Autospacing="0" w:line="500" w:lineRule="exact"/>
              <w:ind w:left="0" w:right="0" w:firstLine="482" w:firstLineChars="200"/>
              <w:jc w:val="both"/>
              <w:textAlignment w:val="auto"/>
              <w:rPr>
                <w:rFonts w:hint="default"/>
                <w:bCs/>
                <w:color w:val="000000" w:themeColor="text1"/>
                <w:sz w:val="24"/>
                <w:szCs w:val="24"/>
                <w:highlight w:val="none"/>
                <w:lang w:val="en-US" w:eastAsia="zh-CN"/>
                <w14:textFill>
                  <w14:solidFill>
                    <w14:schemeClr w14:val="tx1"/>
                  </w14:solidFill>
                </w14:textFill>
              </w:rPr>
            </w:pPr>
            <w:r>
              <w:rPr>
                <w:rFonts w:hint="eastAsia"/>
                <w:b/>
                <w:bCs w:val="0"/>
                <w:color w:val="000000" w:themeColor="text1"/>
                <w:sz w:val="24"/>
                <w:szCs w:val="24"/>
                <w:highlight w:val="none"/>
                <w:lang w:val="en-US" w:eastAsia="zh-CN"/>
                <w14:textFill>
                  <w14:solidFill>
                    <w14:schemeClr w14:val="tx1"/>
                  </w14:solidFill>
                </w14:textFill>
              </w:rPr>
              <w:t>1.4.1</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除尘器原理</w:t>
            </w:r>
          </w:p>
          <w:p w14:paraId="2DC8A0D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Autospacing="0" w:line="520" w:lineRule="exact"/>
              <w:ind w:left="0" w:right="0" w:firstLine="480" w:firstLineChars="200"/>
              <w:jc w:val="both"/>
              <w:textAlignment w:val="auto"/>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脉冲布袋除尘器工作原理：</w:t>
            </w:r>
            <w:r>
              <w:rPr>
                <w:rFonts w:hint="eastAsia"/>
                <w:bCs/>
                <w:color w:val="000000" w:themeColor="text1"/>
                <w:sz w:val="24"/>
                <w:szCs w:val="24"/>
                <w:highlight w:val="none"/>
                <w:lang w:eastAsia="zh-CN"/>
                <w14:textFill>
                  <w14:solidFill>
                    <w14:schemeClr w14:val="tx1"/>
                  </w14:solidFill>
                </w14:textFill>
              </w:rPr>
              <w:t>本体结构主要由上部箱体、中部箱体、下部箱体（灰斗）、清灰系统和排灰机构等部分组成。袋式除尘器是一种干式滤尘装置。滤料使用一段时间后，由于筛滤、碰撞、滞留、扩散、静电等效应，滤袋表面积聚了一层颗粒物，这层颗粒物称为初层，在此以后的运动过程中，初层成了滤料的主要过滤层，依靠初层的作用，网孔较大的滤料也能获得较高的过滤效率。随着颗粒物在滤料表面的积聚，除尘器的效率和阻力都相应的增加，当滤料两侧的压力差很大时，会把有些已附着在滤料上的细小尘粒挤压过去，使收尘器效率下降。另外，收尘器的阻力过高会使收尘系统的风量显著下降。因此，收尘器的阻力达到一定数值后，要及时清灰。清灰时不能破坏初层，以免效率下降。</w:t>
            </w:r>
            <w:r>
              <w:rPr>
                <w:rFonts w:hint="eastAsia"/>
                <w:bCs/>
                <w:color w:val="000000" w:themeColor="text1"/>
                <w:sz w:val="24"/>
                <w:szCs w:val="24"/>
                <w:highlight w:val="none"/>
                <w:lang w:val="en-US" w:eastAsia="zh-CN"/>
                <w14:textFill>
                  <w14:solidFill>
                    <w14:schemeClr w14:val="tx1"/>
                  </w14:solidFill>
                </w14:textFill>
              </w:rPr>
              <w:t>除尘器布袋材质均为覆膜涤纶针刺毡，过滤风速≤0.8m/min，过滤面积937.5m</w:t>
            </w:r>
            <w:r>
              <w:rPr>
                <w:rFonts w:hint="eastAsia"/>
                <w:bCs/>
                <w:color w:val="000000" w:themeColor="text1"/>
                <w:sz w:val="24"/>
                <w:szCs w:val="24"/>
                <w:highlight w:val="none"/>
                <w:vertAlign w:val="superscript"/>
                <w:lang w:val="en-US" w:eastAsia="zh-CN"/>
                <w14:textFill>
                  <w14:solidFill>
                    <w14:schemeClr w14:val="tx1"/>
                  </w14:solidFill>
                </w14:textFill>
              </w:rPr>
              <w:t>2</w:t>
            </w:r>
            <w:r>
              <w:rPr>
                <w:rFonts w:hint="eastAsia"/>
                <w:bCs/>
                <w:color w:val="000000" w:themeColor="text1"/>
                <w:sz w:val="24"/>
                <w:szCs w:val="24"/>
                <w:highlight w:val="none"/>
                <w:lang w:val="en-US" w:eastAsia="zh-CN"/>
                <w14:textFill>
                  <w14:solidFill>
                    <w14:schemeClr w14:val="tx1"/>
                  </w14:solidFill>
                </w14:textFill>
              </w:rPr>
              <w:t>，去除效率≥99%，本项目源强分析按99.50%计。</w:t>
            </w:r>
          </w:p>
          <w:p w14:paraId="577A04A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Autospacing="0" w:line="520" w:lineRule="exact"/>
              <w:ind w:left="0" w:right="0" w:firstLine="482" w:firstLineChars="200"/>
              <w:jc w:val="both"/>
              <w:textAlignment w:val="auto"/>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1.4.2废气治理设施风机风量核算</w:t>
            </w:r>
          </w:p>
          <w:p w14:paraId="179D85F4">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根据建设单位提供的该项目生产及环保设计资料，该项目生产线各产尘工序经各自集气装置收集，对应除尘器处理后排气筒排放。</w:t>
            </w:r>
          </w:p>
          <w:p w14:paraId="2EFBFD88">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both"/>
              <w:textAlignment w:val="auto"/>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集气设施收集废气量核算公式如下：</w:t>
            </w:r>
          </w:p>
          <w:p w14:paraId="6E615CD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⑴集气罩收集废气量核算公式如下：</w:t>
            </w:r>
          </w:p>
          <w:p w14:paraId="412B729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Q =3600AV</w:t>
            </w:r>
            <w:r>
              <w:rPr>
                <w:rFonts w:hint="eastAsia" w:cs="Times New Roman"/>
                <w:b w:val="0"/>
                <w:bCs w:val="0"/>
                <w:snapToGrid w:val="0"/>
                <w:color w:val="000000" w:themeColor="text1"/>
                <w:kern w:val="0"/>
                <w:sz w:val="24"/>
                <w:szCs w:val="24"/>
                <w:highlight w:val="none"/>
                <w:vertAlign w:val="subscript"/>
                <w:lang w:val="en-US" w:eastAsia="zh-CN"/>
                <w14:textFill>
                  <w14:solidFill>
                    <w14:schemeClr w14:val="tx1"/>
                  </w14:solidFill>
                </w14:textFill>
              </w:rPr>
              <w:t>P</w:t>
            </w:r>
          </w:p>
          <w:p w14:paraId="5F4BF3A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Q：吸风量，m</w:t>
            </w:r>
            <w:r>
              <w:rPr>
                <w:rFonts w:hint="eastAsia" w:cs="Times New Roman"/>
                <w:b w:val="0"/>
                <w:bCs w:val="0"/>
                <w:snapToGrid w:val="0"/>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/h；</w:t>
            </w:r>
          </w:p>
          <w:p w14:paraId="0FE3B95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A：罩口面积，m</w:t>
            </w:r>
            <w:r>
              <w:rPr>
                <w:rFonts w:hint="eastAsia" w:cs="Times New Roman"/>
                <w:b w:val="0"/>
                <w:bCs w:val="0"/>
                <w:snapToGrid w:val="0"/>
                <w:color w:val="000000" w:themeColor="text1"/>
                <w:kern w:val="0"/>
                <w:sz w:val="24"/>
                <w:szCs w:val="24"/>
                <w:highlight w:val="none"/>
                <w:vertAlign w:val="superscript"/>
                <w:lang w:val="en-US" w:eastAsia="zh-CN"/>
                <w14:textFill>
                  <w14:solidFill>
                    <w14:schemeClr w14:val="tx1"/>
                  </w14:solidFill>
                </w14:textFill>
              </w:rPr>
              <w:t>2</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w:t>
            </w:r>
          </w:p>
          <w:p w14:paraId="6BD40E2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V</w:t>
            </w:r>
            <w:r>
              <w:rPr>
                <w:rFonts w:hint="eastAsia" w:cs="Times New Roman"/>
                <w:b w:val="0"/>
                <w:bCs w:val="0"/>
                <w:snapToGrid w:val="0"/>
                <w:color w:val="000000" w:themeColor="text1"/>
                <w:kern w:val="0"/>
                <w:sz w:val="24"/>
                <w:szCs w:val="24"/>
                <w:highlight w:val="none"/>
                <w:vertAlign w:val="subscript"/>
                <w:lang w:val="en-US" w:eastAsia="zh-CN"/>
                <w14:textFill>
                  <w14:solidFill>
                    <w14:schemeClr w14:val="tx1"/>
                  </w14:solidFill>
                </w14:textFill>
              </w:rPr>
              <w:t>P</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：罩口平均风速，取1m/s，</w:t>
            </w: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配备喷淋系统的集气罩，罩口平均设计风速按 0.</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8</w:t>
            </w: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m/s选取。</w:t>
            </w:r>
          </w:p>
          <w:p w14:paraId="06326B8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⑵集气管道收集废气量核算公式如下：</w:t>
            </w:r>
          </w:p>
          <w:p w14:paraId="51D429F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废气收集管道单孔的风量废气量核算公式如下：</w:t>
            </w:r>
          </w:p>
          <w:p w14:paraId="23AE664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 xml:space="preserve">L=3600Fvβ </w:t>
            </w:r>
          </w:p>
          <w:p w14:paraId="49FB0AA5">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式中：</w:t>
            </w:r>
          </w:p>
          <w:p w14:paraId="3564810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L</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：排气量，</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m</w:t>
            </w:r>
            <w:r>
              <w:rPr>
                <w:rFonts w:hint="default" w:cs="Times New Roman"/>
                <w:b w:val="0"/>
                <w:bCs w:val="0"/>
                <w:snapToGrid w:val="0"/>
                <w:color w:val="000000" w:themeColor="text1"/>
                <w:kern w:val="0"/>
                <w:sz w:val="24"/>
                <w:szCs w:val="24"/>
                <w:highlight w:val="none"/>
                <w:vertAlign w:val="superscript"/>
                <w:lang w:val="en-US" w:eastAsia="zh-CN"/>
                <w14:textFill>
                  <w14:solidFill>
                    <w14:schemeClr w14:val="tx1"/>
                  </w14:solidFill>
                </w14:textFill>
              </w:rPr>
              <w:t>3</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 xml:space="preserve"> /h</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 xml:space="preserve">； </w:t>
            </w:r>
          </w:p>
          <w:p w14:paraId="735830A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F</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：工作孔的面积，</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m</w:t>
            </w:r>
            <w:r>
              <w:rPr>
                <w:rFonts w:hint="default" w:cs="Times New Roman"/>
                <w:b w:val="0"/>
                <w:bCs w:val="0"/>
                <w:snapToGrid w:val="0"/>
                <w:color w:val="000000" w:themeColor="text1"/>
                <w:kern w:val="0"/>
                <w:sz w:val="24"/>
                <w:szCs w:val="24"/>
                <w:highlight w:val="none"/>
                <w:vertAlign w:val="superscript"/>
                <w:lang w:val="en-US" w:eastAsia="zh-CN"/>
                <w14:textFill>
                  <w14:solidFill>
                    <w14:schemeClr w14:val="tx1"/>
                  </w14:solidFill>
                </w14:textFill>
              </w:rPr>
              <w:t>2</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w:t>
            </w:r>
          </w:p>
          <w:p w14:paraId="15E27B6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V</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：工作孔空气的吸入速度，</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m/s</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 xml:space="preserve">，本次环评取15m/s； </w:t>
            </w:r>
          </w:p>
          <w:p w14:paraId="4DE20DE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β</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—安全系数，本次环评取</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1.05</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w:t>
            </w:r>
          </w:p>
          <w:p w14:paraId="53A04FF3">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⑶空间换气法</w:t>
            </w:r>
          </w:p>
          <w:p w14:paraId="3084C8E2">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空间换气法废气量核算公式如下：</w:t>
            </w:r>
          </w:p>
          <w:p w14:paraId="7AACAB9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Q=V×n</w:t>
            </w:r>
          </w:p>
          <w:p w14:paraId="5FBCFB9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V：筛体封闭空间体积（m</w:t>
            </w:r>
            <w:r>
              <w:rPr>
                <w:rFonts w:hint="eastAsia" w:cs="Times New Roman"/>
                <w:b w:val="0"/>
                <w:bCs w:val="0"/>
                <w:snapToGrid w:val="0"/>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w:t>
            </w:r>
          </w:p>
          <w:p w14:paraId="02DF2F7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color w:val="000000" w:themeColor="text1"/>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n：换气次数（20~30 次 /h，高粉尘取上限）。</w:t>
            </w:r>
          </w:p>
        </w:tc>
      </w:tr>
    </w:tbl>
    <w:p w14:paraId="7337DACD">
      <w:pPr>
        <w:pStyle w:val="7"/>
        <w:keepNext w:val="0"/>
        <w:keepLines w:val="0"/>
        <w:pageBreakBefore w:val="0"/>
        <w:widowControl w:val="0"/>
        <w:shd w:val="clear"/>
        <w:kinsoku/>
        <w:wordWrap/>
        <w:overflowPunct/>
        <w:topLinePunct w:val="0"/>
        <w:autoSpaceDE/>
        <w:autoSpaceDN/>
        <w:bidi w:val="0"/>
        <w:adjustRightInd/>
        <w:snapToGrid/>
        <w:spacing w:line="0" w:lineRule="atLeast"/>
        <w:textAlignment w:val="auto"/>
        <w:rPr>
          <w:rFonts w:hint="default"/>
          <w:color w:val="000000" w:themeColor="text1"/>
          <w:highlight w:val="none"/>
          <w14:textFill>
            <w14:solidFill>
              <w14:schemeClr w14:val="tx1"/>
            </w14:solidFill>
          </w14:textFill>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930"/>
        <w:gridCol w:w="13244"/>
      </w:tblGrid>
      <w:tr w14:paraId="3F6EF248">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c>
          <w:tcPr>
            <w:tcW w:w="930" w:type="dxa"/>
            <w:tcBorders>
              <w:tl2br w:val="nil"/>
              <w:tr2bl w:val="nil"/>
            </w:tcBorders>
          </w:tcPr>
          <w:p w14:paraId="2D8843F6">
            <w:pPr>
              <w:pStyle w:val="40"/>
              <w:shd w:val="clear"/>
              <w:rPr>
                <w:rFonts w:hint="default"/>
                <w:color w:val="000000" w:themeColor="text1"/>
                <w:highlight w:val="none"/>
                <w:vertAlign w:val="baseline"/>
                <w14:textFill>
                  <w14:solidFill>
                    <w14:schemeClr w14:val="tx1"/>
                  </w14:solidFill>
                </w14:textFill>
              </w:rPr>
            </w:pPr>
          </w:p>
        </w:tc>
        <w:tc>
          <w:tcPr>
            <w:tcW w:w="13244" w:type="dxa"/>
            <w:tcBorders>
              <w:tl2br w:val="nil"/>
              <w:tr2bl w:val="nil"/>
            </w:tcBorders>
          </w:tcPr>
          <w:p w14:paraId="6BD3F99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pacing w:val="0"/>
                <w:sz w:val="21"/>
                <w:szCs w:val="21"/>
                <w:highlight w:val="none"/>
                <w:lang w:val="en-US" w:eastAsia="zh-CN"/>
                <w14:textFill>
                  <w14:solidFill>
                    <w14:schemeClr w14:val="tx1"/>
                  </w14:solidFill>
                </w14:textFill>
              </w:rPr>
              <w:t>废气收集方式及风机合理性核算一览表</w:t>
            </w:r>
          </w:p>
          <w:tbl>
            <w:tblPr>
              <w:tblStyle w:val="33"/>
              <w:tblW w:w="4792" w:type="pct"/>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990"/>
              <w:gridCol w:w="1214"/>
              <w:gridCol w:w="5175"/>
              <w:gridCol w:w="1422"/>
              <w:gridCol w:w="1442"/>
              <w:gridCol w:w="1064"/>
              <w:gridCol w:w="1151"/>
            </w:tblGrid>
            <w:tr w14:paraId="58ED794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79" w:hRule="atLeast"/>
                <w:jc w:val="center"/>
              </w:trPr>
              <w:tc>
                <w:tcPr>
                  <w:tcW w:w="884" w:type="pct"/>
                  <w:gridSpan w:val="2"/>
                  <w:tcBorders>
                    <w:tl2br w:val="nil"/>
                    <w:tr2bl w:val="nil"/>
                  </w:tcBorders>
                  <w:noWrap w:val="0"/>
                  <w:vAlign w:val="center"/>
                </w:tcPr>
                <w:p w14:paraId="6FBE0CD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产废</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节点</w:t>
                  </w:r>
                </w:p>
              </w:tc>
              <w:tc>
                <w:tcPr>
                  <w:tcW w:w="2076" w:type="pct"/>
                  <w:tcBorders>
                    <w:tl2br w:val="nil"/>
                    <w:tr2bl w:val="nil"/>
                  </w:tcBorders>
                  <w:noWrap w:val="0"/>
                  <w:vAlign w:val="center"/>
                </w:tcPr>
                <w:p w14:paraId="5C92557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收集方式</w:t>
                  </w:r>
                </w:p>
              </w:tc>
              <w:tc>
                <w:tcPr>
                  <w:tcW w:w="570" w:type="pct"/>
                  <w:tcBorders>
                    <w:tl2br w:val="nil"/>
                    <w:tr2bl w:val="nil"/>
                  </w:tcBorders>
                  <w:noWrap w:val="0"/>
                  <w:vAlign w:val="center"/>
                </w:tcPr>
                <w:p w14:paraId="12825D26">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尺寸</w:t>
                  </w:r>
                </w:p>
              </w:tc>
              <w:tc>
                <w:tcPr>
                  <w:tcW w:w="578" w:type="pct"/>
                  <w:tcBorders>
                    <w:tl2br w:val="nil"/>
                    <w:tr2bl w:val="nil"/>
                  </w:tcBorders>
                  <w:noWrap w:val="0"/>
                  <w:vAlign w:val="center"/>
                </w:tcPr>
                <w:p w14:paraId="17D7FA7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核算依据</w:t>
                  </w:r>
                </w:p>
              </w:tc>
              <w:tc>
                <w:tcPr>
                  <w:tcW w:w="427" w:type="pct"/>
                  <w:tcBorders>
                    <w:tl2br w:val="nil"/>
                    <w:tr2bl w:val="nil"/>
                  </w:tcBorders>
                  <w:noWrap w:val="0"/>
                  <w:vAlign w:val="center"/>
                </w:tcPr>
                <w:p w14:paraId="3D94419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数量（个）</w:t>
                  </w:r>
                </w:p>
              </w:tc>
              <w:tc>
                <w:tcPr>
                  <w:tcW w:w="461" w:type="pct"/>
                  <w:tcBorders>
                    <w:tl2br w:val="nil"/>
                    <w:tr2bl w:val="nil"/>
                  </w:tcBorders>
                  <w:noWrap w:val="0"/>
                  <w:vAlign w:val="center"/>
                </w:tcPr>
                <w:p w14:paraId="4D58BC22">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风量m</w:t>
                  </w:r>
                  <w:r>
                    <w:rPr>
                      <w:rFonts w:hint="default" w:cs="Times New Roman"/>
                      <w:b w:val="0"/>
                      <w:bCs w:val="0"/>
                      <w:snapToGrid w:val="0"/>
                      <w:color w:val="000000" w:themeColor="text1"/>
                      <w:kern w:val="0"/>
                      <w:sz w:val="21"/>
                      <w:szCs w:val="21"/>
                      <w:highlight w:val="none"/>
                      <w:vertAlign w:val="superscript"/>
                      <w:lang w:val="en-US" w:eastAsia="zh-CN" w:bidi="ar-SA"/>
                      <w14:textFill>
                        <w14:solidFill>
                          <w14:schemeClr w14:val="tx1"/>
                        </w14:solidFill>
                      </w14:textFill>
                    </w:rPr>
                    <w:t>3</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/h</w:t>
                  </w:r>
                </w:p>
              </w:tc>
            </w:tr>
            <w:tr w14:paraId="43951AE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89" w:hRule="atLeast"/>
                <w:jc w:val="center"/>
              </w:trPr>
              <w:tc>
                <w:tcPr>
                  <w:tcW w:w="884" w:type="pct"/>
                  <w:gridSpan w:val="2"/>
                  <w:tcBorders>
                    <w:tl2br w:val="nil"/>
                    <w:tr2bl w:val="nil"/>
                  </w:tcBorders>
                  <w:noWrap w:val="0"/>
                  <w:vAlign w:val="center"/>
                </w:tcPr>
                <w:p w14:paraId="54AE7F42">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不合格矿石原料过程</w:t>
                  </w:r>
                </w:p>
              </w:tc>
              <w:tc>
                <w:tcPr>
                  <w:tcW w:w="2076" w:type="pct"/>
                  <w:tcBorders>
                    <w:tl2br w:val="nil"/>
                    <w:tr2bl w:val="nil"/>
                  </w:tcBorders>
                  <w:noWrap w:val="0"/>
                  <w:vAlign w:val="center"/>
                </w:tcPr>
                <w:p w14:paraId="7C0855D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仓</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三面及顶部围挡，</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入料口上</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面设置软帘</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（软帘下高度1.5m）</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入料口下方用彩钢板封闭，顶部设置集气管</w:t>
                  </w:r>
                  <w:r>
                    <w:rPr>
                      <w:rFonts w:hint="eastAsia" w:cs="Times New Roman"/>
                      <w:b w:val="0"/>
                      <w:bCs w:val="0"/>
                      <w:strike/>
                      <w:dstrike w:val="0"/>
                      <w:snapToGrid w:val="0"/>
                      <w:color w:val="000000" w:themeColor="text1"/>
                      <w:kern w:val="0"/>
                      <w:sz w:val="21"/>
                      <w:szCs w:val="21"/>
                      <w:highlight w:val="none"/>
                      <w:vertAlign w:val="baseline"/>
                      <w:lang w:val="en-US" w:eastAsia="zh-CN" w:bidi="ar-SA"/>
                      <w14:textFill>
                        <w14:solidFill>
                          <w14:schemeClr w14:val="tx1"/>
                        </w14:solidFill>
                      </w14:textFill>
                    </w:rPr>
                    <w:t>罩</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；设置伞状喷雾抑尘装置，喷雾抑尘装置范围应覆盖整个落料点（电伴热）</w:t>
                  </w:r>
                </w:p>
              </w:tc>
              <w:tc>
                <w:tcPr>
                  <w:tcW w:w="570" w:type="pct"/>
                  <w:tcBorders>
                    <w:tl2br w:val="nil"/>
                    <w:tr2bl w:val="nil"/>
                  </w:tcBorders>
                  <w:shd w:val="clear" w:color="auto" w:fill="auto"/>
                  <w:noWrap w:val="0"/>
                  <w:vAlign w:val="center"/>
                </w:tcPr>
                <w:p w14:paraId="2F4740B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上料口进料口尺寸3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578" w:type="pct"/>
                  <w:tcBorders>
                    <w:tl2br w:val="nil"/>
                    <w:tr2bl w:val="nil"/>
                  </w:tcBorders>
                  <w:shd w:val="clear" w:color="auto" w:fill="auto"/>
                  <w:noWrap w:val="0"/>
                  <w:vAlign w:val="center"/>
                </w:tcPr>
                <w:p w14:paraId="02401D7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Q =3600AV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p>
                <w:p w14:paraId="5A3FF917">
                  <w:pPr>
                    <w:pStyle w:val="31"/>
                    <w:keepNext w:val="0"/>
                    <w:keepLines w:val="0"/>
                    <w:pageBreakBefore w:val="0"/>
                    <w:kinsoku/>
                    <w:wordWrap/>
                    <w:overflowPunct/>
                    <w:topLinePunct w:val="0"/>
                    <w:autoSpaceDE/>
                    <w:autoSpaceDN/>
                    <w:bidi w:val="0"/>
                    <w:adjustRightInd/>
                    <w:snapToGrid/>
                    <w:spacing w:line="0" w:lineRule="atLeast"/>
                    <w:ind w:left="0" w:leftChars="0" w:firstLine="0" w:firstLineChars="0"/>
                    <w:jc w:val="center"/>
                    <w:rPr>
                      <w:rFonts w:hint="default"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取</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0.8</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m/s</w:t>
                  </w:r>
                </w:p>
              </w:tc>
              <w:tc>
                <w:tcPr>
                  <w:tcW w:w="427" w:type="pct"/>
                  <w:tcBorders>
                    <w:tl2br w:val="nil"/>
                    <w:tr2bl w:val="nil"/>
                  </w:tcBorders>
                  <w:shd w:val="clear" w:color="auto" w:fill="auto"/>
                  <w:noWrap w:val="0"/>
                  <w:vAlign w:val="center"/>
                </w:tcPr>
                <w:p w14:paraId="3091C35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1</w:t>
                  </w:r>
                </w:p>
              </w:tc>
              <w:tc>
                <w:tcPr>
                  <w:tcW w:w="461" w:type="pct"/>
                  <w:tcBorders>
                    <w:tl2br w:val="nil"/>
                    <w:tr2bl w:val="nil"/>
                  </w:tcBorders>
                  <w:shd w:val="clear" w:color="auto" w:fill="auto"/>
                  <w:noWrap w:val="0"/>
                  <w:vAlign w:val="center"/>
                </w:tcPr>
                <w:p w14:paraId="2A28FDD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trike w:val="0"/>
                      <w:dstrike w:val="0"/>
                      <w:snapToGrid w:val="0"/>
                      <w:color w:val="000000" w:themeColor="text1"/>
                      <w:kern w:val="0"/>
                      <w:sz w:val="21"/>
                      <w:szCs w:val="21"/>
                      <w:highlight w:val="none"/>
                      <w:vertAlign w:val="baseline"/>
                      <w:lang w:val="en-US" w:eastAsia="zh-CN" w:bidi="ar-SA"/>
                      <w14:textFill>
                        <w14:solidFill>
                          <w14:schemeClr w14:val="tx1"/>
                        </w14:solidFill>
                      </w14:textFill>
                    </w:rPr>
                    <w:t>12960</w:t>
                  </w:r>
                </w:p>
              </w:tc>
            </w:tr>
            <w:tr w14:paraId="6FACC39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71" w:hRule="atLeast"/>
                <w:jc w:val="center"/>
              </w:trPr>
              <w:tc>
                <w:tcPr>
                  <w:tcW w:w="397" w:type="pct"/>
                  <w:vMerge w:val="restart"/>
                  <w:tcBorders>
                    <w:tl2br w:val="nil"/>
                    <w:tr2bl w:val="nil"/>
                  </w:tcBorders>
                  <w:noWrap w:val="0"/>
                  <w:vAlign w:val="center"/>
                </w:tcPr>
                <w:p w14:paraId="70DF4D85">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颚式破碎机</w:t>
                  </w:r>
                </w:p>
              </w:tc>
              <w:tc>
                <w:tcPr>
                  <w:tcW w:w="487" w:type="pct"/>
                  <w:tcBorders>
                    <w:tl2br w:val="nil"/>
                    <w:tr2bl w:val="nil"/>
                  </w:tcBorders>
                  <w:noWrap w:val="0"/>
                  <w:vAlign w:val="center"/>
                </w:tcPr>
                <w:p w14:paraId="55AC5D4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上料、破碎</w:t>
                  </w:r>
                </w:p>
              </w:tc>
              <w:tc>
                <w:tcPr>
                  <w:tcW w:w="2076" w:type="pct"/>
                  <w:tcBorders>
                    <w:tl2br w:val="nil"/>
                    <w:tr2bl w:val="nil"/>
                  </w:tcBorders>
                  <w:noWrap w:val="0"/>
                  <w:vAlign w:val="center"/>
                </w:tcPr>
                <w:p w14:paraId="3EC080F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上料仓</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落料点以及</w:t>
                  </w: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颚式破碎机入料口</w:t>
                  </w: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上方设置集气罩</w:t>
                  </w:r>
                </w:p>
              </w:tc>
              <w:tc>
                <w:tcPr>
                  <w:tcW w:w="570" w:type="pct"/>
                  <w:tcBorders>
                    <w:tl2br w:val="nil"/>
                    <w:tr2bl w:val="nil"/>
                  </w:tcBorders>
                  <w:shd w:val="clear" w:color="auto" w:fill="auto"/>
                  <w:noWrap w:val="0"/>
                  <w:vAlign w:val="center"/>
                </w:tcPr>
                <w:p w14:paraId="6585C09C">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集气罩0.6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578" w:type="pct"/>
                  <w:tcBorders>
                    <w:tl2br w:val="nil"/>
                    <w:tr2bl w:val="nil"/>
                  </w:tcBorders>
                  <w:shd w:val="clear" w:color="auto" w:fill="auto"/>
                  <w:noWrap w:val="0"/>
                  <w:vAlign w:val="center"/>
                </w:tcPr>
                <w:p w14:paraId="2DC7C9DB">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Q =3600AV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p>
                <w:p w14:paraId="2E8F82CE">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取1m/s</w:t>
                  </w:r>
                </w:p>
              </w:tc>
              <w:tc>
                <w:tcPr>
                  <w:tcW w:w="427" w:type="pct"/>
                  <w:tcBorders>
                    <w:tl2br w:val="nil"/>
                    <w:tr2bl w:val="nil"/>
                  </w:tcBorders>
                  <w:shd w:val="clear" w:color="auto" w:fill="auto"/>
                  <w:noWrap w:val="0"/>
                  <w:vAlign w:val="center"/>
                </w:tcPr>
                <w:p w14:paraId="56EB716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461" w:type="pct"/>
                  <w:tcBorders>
                    <w:tl2br w:val="nil"/>
                    <w:tr2bl w:val="nil"/>
                  </w:tcBorders>
                  <w:shd w:val="clear" w:color="auto" w:fill="auto"/>
                  <w:noWrap w:val="0"/>
                  <w:vAlign w:val="center"/>
                </w:tcPr>
                <w:p w14:paraId="736813B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trike w:val="0"/>
                      <w:dstrike w:val="0"/>
                      <w:snapToGrid w:val="0"/>
                      <w:color w:val="000000" w:themeColor="text1"/>
                      <w:kern w:val="0"/>
                      <w:sz w:val="21"/>
                      <w:szCs w:val="21"/>
                      <w:highlight w:val="none"/>
                      <w:vertAlign w:val="baseline"/>
                      <w:lang w:val="en-US" w:eastAsia="zh-CN" w:bidi="ar-SA"/>
                      <w14:textFill>
                        <w14:solidFill>
                          <w14:schemeClr w14:val="tx1"/>
                        </w14:solidFill>
                      </w14:textFill>
                    </w:rPr>
                    <w:t>1296</w:t>
                  </w:r>
                </w:p>
              </w:tc>
            </w:tr>
            <w:tr w14:paraId="303FE63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06" w:hRule="atLeast"/>
                <w:jc w:val="center"/>
              </w:trPr>
              <w:tc>
                <w:tcPr>
                  <w:tcW w:w="397" w:type="pct"/>
                  <w:vMerge w:val="continue"/>
                  <w:tcBorders>
                    <w:tl2br w:val="nil"/>
                    <w:tr2bl w:val="nil"/>
                  </w:tcBorders>
                  <w:noWrap w:val="0"/>
                  <w:vAlign w:val="center"/>
                </w:tcPr>
                <w:p w14:paraId="236388E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p>
              </w:tc>
              <w:tc>
                <w:tcPr>
                  <w:tcW w:w="487" w:type="pct"/>
                  <w:tcBorders>
                    <w:tl2br w:val="nil"/>
                    <w:tr2bl w:val="nil"/>
                  </w:tcBorders>
                  <w:noWrap w:val="0"/>
                  <w:vAlign w:val="center"/>
                </w:tcPr>
                <w:p w14:paraId="7ED091E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落料</w:t>
                  </w:r>
                </w:p>
              </w:tc>
              <w:tc>
                <w:tcPr>
                  <w:tcW w:w="2076" w:type="pct"/>
                  <w:tcBorders>
                    <w:tl2br w:val="nil"/>
                    <w:tr2bl w:val="nil"/>
                  </w:tcBorders>
                  <w:noWrap w:val="0"/>
                  <w:vAlign w:val="center"/>
                </w:tcPr>
                <w:p w14:paraId="67E34FA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物料落料处全封闭，落料点上方设置集气引风口</w:t>
                  </w:r>
                </w:p>
              </w:tc>
              <w:tc>
                <w:tcPr>
                  <w:tcW w:w="570" w:type="pct"/>
                  <w:tcBorders>
                    <w:tl2br w:val="nil"/>
                    <w:tr2bl w:val="nil"/>
                  </w:tcBorders>
                  <w:noWrap w:val="0"/>
                  <w:vAlign w:val="center"/>
                </w:tcPr>
                <w:p w14:paraId="48AE51C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Φ0.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578" w:type="pct"/>
                  <w:tcBorders>
                    <w:tl2br w:val="nil"/>
                    <w:tr2bl w:val="nil"/>
                  </w:tcBorders>
                  <w:noWrap w:val="0"/>
                  <w:vAlign w:val="center"/>
                </w:tcPr>
                <w:p w14:paraId="6B9D7092">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L=3600Fvβ</w:t>
                  </w:r>
                </w:p>
              </w:tc>
              <w:tc>
                <w:tcPr>
                  <w:tcW w:w="427" w:type="pct"/>
                  <w:tcBorders>
                    <w:tl2br w:val="nil"/>
                    <w:tr2bl w:val="nil"/>
                  </w:tcBorders>
                  <w:noWrap w:val="0"/>
                  <w:vAlign w:val="center"/>
                </w:tcPr>
                <w:p w14:paraId="5760F192">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461" w:type="pct"/>
                  <w:tcBorders>
                    <w:tl2br w:val="nil"/>
                    <w:tr2bl w:val="nil"/>
                  </w:tcBorders>
                  <w:noWrap w:val="0"/>
                  <w:vAlign w:val="center"/>
                </w:tcPr>
                <w:p w14:paraId="20DE8B40">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4005.86</w:t>
                  </w:r>
                </w:p>
              </w:tc>
            </w:tr>
            <w:tr w14:paraId="0123695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99" w:hRule="atLeast"/>
                <w:jc w:val="center"/>
              </w:trPr>
              <w:tc>
                <w:tcPr>
                  <w:tcW w:w="397" w:type="pct"/>
                  <w:vMerge w:val="restart"/>
                  <w:tcBorders>
                    <w:tl2br w:val="nil"/>
                    <w:tr2bl w:val="nil"/>
                  </w:tcBorders>
                  <w:noWrap w:val="0"/>
                  <w:vAlign w:val="center"/>
                </w:tcPr>
                <w:p w14:paraId="66B4A046">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圆锥破碎机</w:t>
                  </w:r>
                </w:p>
              </w:tc>
              <w:tc>
                <w:tcPr>
                  <w:tcW w:w="487" w:type="pct"/>
                  <w:tcBorders>
                    <w:tl2br w:val="nil"/>
                    <w:tr2bl w:val="nil"/>
                  </w:tcBorders>
                  <w:noWrap w:val="0"/>
                  <w:vAlign w:val="center"/>
                </w:tcPr>
                <w:p w14:paraId="6BC546B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上料、破碎</w:t>
                  </w:r>
                </w:p>
              </w:tc>
              <w:tc>
                <w:tcPr>
                  <w:tcW w:w="2076" w:type="pct"/>
                  <w:tcBorders>
                    <w:tl2br w:val="nil"/>
                    <w:tr2bl w:val="nil"/>
                  </w:tcBorders>
                  <w:noWrap w:val="0"/>
                  <w:vAlign w:val="center"/>
                </w:tcPr>
                <w:p w14:paraId="2187827E">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皮带输送机与圆锥破碎机封闭相连，圆锥破碎机入料口上方设置集气罩</w:t>
                  </w:r>
                </w:p>
              </w:tc>
              <w:tc>
                <w:tcPr>
                  <w:tcW w:w="570" w:type="pct"/>
                  <w:tcBorders>
                    <w:tl2br w:val="nil"/>
                    <w:tr2bl w:val="nil"/>
                  </w:tcBorders>
                  <w:noWrap w:val="0"/>
                  <w:vAlign w:val="center"/>
                </w:tcPr>
                <w:p w14:paraId="2DEE4850">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集气罩</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578" w:type="pct"/>
                  <w:tcBorders>
                    <w:tl2br w:val="nil"/>
                    <w:tr2bl w:val="nil"/>
                  </w:tcBorders>
                  <w:noWrap w:val="0"/>
                  <w:vAlign w:val="center"/>
                </w:tcPr>
                <w:p w14:paraId="54440B45">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Q =3600AV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p>
                <w:p w14:paraId="3E84A0A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取1m/s</w:t>
                  </w:r>
                </w:p>
              </w:tc>
              <w:tc>
                <w:tcPr>
                  <w:tcW w:w="427" w:type="pct"/>
                  <w:tcBorders>
                    <w:tl2br w:val="nil"/>
                    <w:tr2bl w:val="nil"/>
                  </w:tcBorders>
                  <w:noWrap w:val="0"/>
                  <w:vAlign w:val="center"/>
                </w:tcPr>
                <w:p w14:paraId="6DFCE820">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461" w:type="pct"/>
                  <w:tcBorders>
                    <w:tl2br w:val="nil"/>
                    <w:tr2bl w:val="nil"/>
                  </w:tcBorders>
                  <w:noWrap w:val="0"/>
                  <w:vAlign w:val="center"/>
                </w:tcPr>
                <w:p w14:paraId="0825B56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trike w:val="0"/>
                      <w:dstrike w:val="0"/>
                      <w:snapToGrid w:val="0"/>
                      <w:color w:val="000000" w:themeColor="text1"/>
                      <w:kern w:val="0"/>
                      <w:sz w:val="21"/>
                      <w:szCs w:val="21"/>
                      <w:highlight w:val="none"/>
                      <w:vertAlign w:val="baseline"/>
                      <w:lang w:val="en-US" w:eastAsia="zh-CN" w:bidi="ar-SA"/>
                      <w14:textFill>
                        <w14:solidFill>
                          <w14:schemeClr w14:val="tx1"/>
                        </w14:solidFill>
                      </w14:textFill>
                    </w:rPr>
                    <w:t>1296</w:t>
                  </w:r>
                </w:p>
              </w:tc>
            </w:tr>
            <w:tr w14:paraId="729F110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06" w:hRule="atLeast"/>
                <w:jc w:val="center"/>
              </w:trPr>
              <w:tc>
                <w:tcPr>
                  <w:tcW w:w="397" w:type="pct"/>
                  <w:vMerge w:val="continue"/>
                  <w:tcBorders>
                    <w:tl2br w:val="nil"/>
                    <w:tr2bl w:val="nil"/>
                  </w:tcBorders>
                  <w:noWrap w:val="0"/>
                  <w:vAlign w:val="center"/>
                </w:tcPr>
                <w:p w14:paraId="5163CE5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p>
              </w:tc>
              <w:tc>
                <w:tcPr>
                  <w:tcW w:w="487" w:type="pct"/>
                  <w:tcBorders>
                    <w:tl2br w:val="nil"/>
                    <w:tr2bl w:val="nil"/>
                  </w:tcBorders>
                  <w:noWrap w:val="0"/>
                  <w:vAlign w:val="center"/>
                </w:tcPr>
                <w:p w14:paraId="7B903A0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落料</w:t>
                  </w:r>
                </w:p>
              </w:tc>
              <w:tc>
                <w:tcPr>
                  <w:tcW w:w="2076" w:type="pct"/>
                  <w:tcBorders>
                    <w:tl2br w:val="nil"/>
                    <w:tr2bl w:val="nil"/>
                  </w:tcBorders>
                  <w:noWrap w:val="0"/>
                  <w:vAlign w:val="center"/>
                </w:tcPr>
                <w:p w14:paraId="3D632B8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物料落料处全封闭，落料点上方设置集气引风口</w:t>
                  </w:r>
                </w:p>
              </w:tc>
              <w:tc>
                <w:tcPr>
                  <w:tcW w:w="570" w:type="pct"/>
                  <w:tcBorders>
                    <w:tl2br w:val="nil"/>
                    <w:tr2bl w:val="nil"/>
                  </w:tcBorders>
                  <w:noWrap w:val="0"/>
                  <w:vAlign w:val="center"/>
                </w:tcPr>
                <w:p w14:paraId="1F053E88">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Φ0.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578" w:type="pct"/>
                  <w:tcBorders>
                    <w:tl2br w:val="nil"/>
                    <w:tr2bl w:val="nil"/>
                  </w:tcBorders>
                  <w:noWrap w:val="0"/>
                  <w:vAlign w:val="center"/>
                </w:tcPr>
                <w:p w14:paraId="724C6AE3">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L=3600Fvβ</w:t>
                  </w:r>
                </w:p>
              </w:tc>
              <w:tc>
                <w:tcPr>
                  <w:tcW w:w="427" w:type="pct"/>
                  <w:tcBorders>
                    <w:tl2br w:val="nil"/>
                    <w:tr2bl w:val="nil"/>
                  </w:tcBorders>
                  <w:noWrap w:val="0"/>
                  <w:vAlign w:val="center"/>
                </w:tcPr>
                <w:p w14:paraId="307E6D0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461" w:type="pct"/>
                  <w:tcBorders>
                    <w:tl2br w:val="nil"/>
                    <w:tr2bl w:val="nil"/>
                  </w:tcBorders>
                  <w:noWrap w:val="0"/>
                  <w:vAlign w:val="center"/>
                </w:tcPr>
                <w:p w14:paraId="336F1935">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4005.86</w:t>
                  </w:r>
                </w:p>
              </w:tc>
            </w:tr>
            <w:tr w14:paraId="1304075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45" w:hRule="atLeast"/>
                <w:jc w:val="center"/>
              </w:trPr>
              <w:tc>
                <w:tcPr>
                  <w:tcW w:w="397" w:type="pct"/>
                  <w:vMerge w:val="restart"/>
                  <w:tcBorders>
                    <w:tl2br w:val="nil"/>
                    <w:tr2bl w:val="nil"/>
                  </w:tcBorders>
                  <w:noWrap w:val="0"/>
                  <w:vAlign w:val="center"/>
                </w:tcPr>
                <w:p w14:paraId="2A668F4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往复式摇筛</w:t>
                  </w:r>
                </w:p>
              </w:tc>
              <w:tc>
                <w:tcPr>
                  <w:tcW w:w="487" w:type="pct"/>
                  <w:tcBorders>
                    <w:tl2br w:val="nil"/>
                    <w:tr2bl w:val="nil"/>
                  </w:tcBorders>
                  <w:noWrap w:val="0"/>
                  <w:vAlign w:val="center"/>
                </w:tcPr>
                <w:p w14:paraId="482B1458">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上料、筛分</w:t>
                  </w:r>
                </w:p>
              </w:tc>
              <w:tc>
                <w:tcPr>
                  <w:tcW w:w="2076" w:type="pct"/>
                  <w:tcBorders>
                    <w:tl2br w:val="nil"/>
                    <w:tr2bl w:val="nil"/>
                  </w:tcBorders>
                  <w:noWrap w:val="0"/>
                  <w:vAlign w:val="center"/>
                </w:tcPr>
                <w:p w14:paraId="3BCD5D3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本次配套建设全密闭筛分间，物料上料转运、筛分分级等产污工序均置于密闭空间内实施，在筛分间顶部开设集气引风口</w:t>
                  </w:r>
                </w:p>
              </w:tc>
              <w:tc>
                <w:tcPr>
                  <w:tcW w:w="570" w:type="pct"/>
                  <w:tcBorders>
                    <w:tl2br w:val="nil"/>
                    <w:tr2bl w:val="nil"/>
                  </w:tcBorders>
                  <w:noWrap w:val="0"/>
                  <w:vAlign w:val="center"/>
                </w:tcPr>
                <w:p w14:paraId="273F804B">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筛分间规格为</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5m</w:t>
                  </w:r>
                </w:p>
              </w:tc>
              <w:tc>
                <w:tcPr>
                  <w:tcW w:w="578" w:type="pct"/>
                  <w:tcBorders>
                    <w:tl2br w:val="nil"/>
                    <w:tr2bl w:val="nil"/>
                  </w:tcBorders>
                  <w:noWrap w:val="0"/>
                  <w:vAlign w:val="center"/>
                </w:tcPr>
                <w:p w14:paraId="4642F4ED">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Q=V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n</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，换气次数为</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次</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t>
                  </w:r>
                </w:p>
              </w:tc>
              <w:tc>
                <w:tcPr>
                  <w:tcW w:w="427" w:type="pct"/>
                  <w:tcBorders>
                    <w:tl2br w:val="nil"/>
                    <w:tr2bl w:val="nil"/>
                  </w:tcBorders>
                  <w:noWrap w:val="0"/>
                  <w:vAlign w:val="center"/>
                </w:tcPr>
                <w:p w14:paraId="55B816D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461" w:type="pct"/>
                  <w:tcBorders>
                    <w:tl2br w:val="nil"/>
                    <w:tr2bl w:val="nil"/>
                  </w:tcBorders>
                  <w:noWrap w:val="0"/>
                  <w:vAlign w:val="center"/>
                </w:tcPr>
                <w:p w14:paraId="54258362">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4800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w:t>
                  </w:r>
                </w:p>
              </w:tc>
            </w:tr>
            <w:tr w14:paraId="3A23BFB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80" w:hRule="atLeast"/>
                <w:jc w:val="center"/>
              </w:trPr>
              <w:tc>
                <w:tcPr>
                  <w:tcW w:w="397" w:type="pct"/>
                  <w:vMerge w:val="continue"/>
                  <w:tcBorders>
                    <w:tl2br w:val="nil"/>
                    <w:tr2bl w:val="nil"/>
                  </w:tcBorders>
                  <w:noWrap w:val="0"/>
                  <w:vAlign w:val="center"/>
                </w:tcPr>
                <w:p w14:paraId="6AE5F625">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p>
              </w:tc>
              <w:tc>
                <w:tcPr>
                  <w:tcW w:w="487" w:type="pct"/>
                  <w:vMerge w:val="restart"/>
                  <w:tcBorders>
                    <w:tl2br w:val="nil"/>
                    <w:tr2bl w:val="nil"/>
                  </w:tcBorders>
                  <w:noWrap w:val="0"/>
                  <w:vAlign w:val="center"/>
                </w:tcPr>
                <w:p w14:paraId="7CF1CD9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落料</w:t>
                  </w:r>
                </w:p>
              </w:tc>
              <w:tc>
                <w:tcPr>
                  <w:tcW w:w="2076" w:type="pct"/>
                  <w:tcBorders>
                    <w:tl2br w:val="nil"/>
                    <w:tr2bl w:val="nil"/>
                  </w:tcBorders>
                  <w:noWrap w:val="0"/>
                  <w:vAlign w:val="center"/>
                </w:tcPr>
                <w:p w14:paraId="7092FCA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土渣直接落料至往复式摇筛出料口下方皮带输送机（此落料点位于封闭的筛分间内，通过筛分间集气措施收集落料点产生的颗粒物），通过皮带机输送至筛分间外（预处理车间内），此落料点上方设置集气罩，并设置伞状喷雾抑尘装置（设置电伴热装置），喷雾抑尘装置范围覆盖整个落料点</w:t>
                  </w:r>
                </w:p>
              </w:tc>
              <w:tc>
                <w:tcPr>
                  <w:tcW w:w="570" w:type="pct"/>
                  <w:tcBorders>
                    <w:tl2br w:val="nil"/>
                    <w:tr2bl w:val="nil"/>
                  </w:tcBorders>
                  <w:shd w:val="clear" w:color="auto" w:fill="auto"/>
                  <w:noWrap w:val="0"/>
                  <w:vAlign w:val="center"/>
                </w:tcPr>
                <w:p w14:paraId="257D47DD">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集气罩</w:t>
                  </w:r>
                </w:p>
                <w:p w14:paraId="329608B4">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578" w:type="pct"/>
                  <w:tcBorders>
                    <w:tl2br w:val="nil"/>
                    <w:tr2bl w:val="nil"/>
                  </w:tcBorders>
                  <w:shd w:val="clear" w:color="auto" w:fill="auto"/>
                  <w:noWrap w:val="0"/>
                  <w:vAlign w:val="center"/>
                </w:tcPr>
                <w:p w14:paraId="44607002">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Q =3600AV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p>
                <w:p w14:paraId="77B73484">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取</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0.8</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m/s</w:t>
                  </w:r>
                </w:p>
              </w:tc>
              <w:tc>
                <w:tcPr>
                  <w:tcW w:w="427" w:type="pct"/>
                  <w:tcBorders>
                    <w:tl2br w:val="nil"/>
                    <w:tr2bl w:val="nil"/>
                  </w:tcBorders>
                  <w:shd w:val="clear" w:color="auto" w:fill="auto"/>
                  <w:noWrap w:val="0"/>
                  <w:vAlign w:val="center"/>
                </w:tcPr>
                <w:p w14:paraId="286448C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461" w:type="pct"/>
                  <w:tcBorders>
                    <w:tl2br w:val="nil"/>
                    <w:tr2bl w:val="nil"/>
                  </w:tcBorders>
                  <w:shd w:val="clear" w:color="auto" w:fill="auto"/>
                  <w:noWrap w:val="0"/>
                  <w:vAlign w:val="center"/>
                </w:tcPr>
                <w:p w14:paraId="3B6BF19E">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i w:val="0"/>
                      <w:iCs w:val="0"/>
                      <w:strike/>
                      <w:dstrike w:val="0"/>
                      <w:color w:val="000000" w:themeColor="text1"/>
                      <w:kern w:val="0"/>
                      <w:sz w:val="21"/>
                      <w:szCs w:val="21"/>
                      <w:highlight w:val="none"/>
                      <w:u w:val="none"/>
                      <w:lang w:val="en-US" w:eastAsia="zh-CN" w:bidi="ar"/>
                      <w14:textFill>
                        <w14:solidFill>
                          <w14:schemeClr w14:val="tx1"/>
                        </w14:solidFill>
                      </w14:textFill>
                    </w:rPr>
                  </w:pPr>
                </w:p>
                <w:p w14:paraId="1336D1E4">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strike w:val="0"/>
                      <w:dstrike w:val="0"/>
                      <w:color w:val="000000" w:themeColor="text1"/>
                      <w:kern w:val="0"/>
                      <w:sz w:val="21"/>
                      <w:szCs w:val="21"/>
                      <w:highlight w:val="none"/>
                      <w:u w:val="none"/>
                      <w:lang w:val="en-US" w:eastAsia="zh-CN" w:bidi="ar"/>
                      <w14:textFill>
                        <w14:solidFill>
                          <w14:schemeClr w14:val="tx1"/>
                        </w14:solidFill>
                      </w14:textFill>
                    </w:rPr>
                    <w:t>5644.80</w:t>
                  </w:r>
                </w:p>
              </w:tc>
            </w:tr>
            <w:tr w14:paraId="2B0A854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55" w:hRule="atLeast"/>
                <w:jc w:val="center"/>
              </w:trPr>
              <w:tc>
                <w:tcPr>
                  <w:tcW w:w="397" w:type="pct"/>
                  <w:vMerge w:val="continue"/>
                  <w:tcBorders>
                    <w:tl2br w:val="nil"/>
                    <w:tr2bl w:val="nil"/>
                  </w:tcBorders>
                  <w:noWrap w:val="0"/>
                  <w:vAlign w:val="center"/>
                </w:tcPr>
                <w:p w14:paraId="4A8807EC">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p>
              </w:tc>
              <w:tc>
                <w:tcPr>
                  <w:tcW w:w="487" w:type="pct"/>
                  <w:vMerge w:val="continue"/>
                  <w:tcBorders>
                    <w:tl2br w:val="nil"/>
                    <w:tr2bl w:val="nil"/>
                  </w:tcBorders>
                  <w:noWrap w:val="0"/>
                  <w:vAlign w:val="center"/>
                </w:tcPr>
                <w:p w14:paraId="1C836057">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p>
              </w:tc>
              <w:tc>
                <w:tcPr>
                  <w:tcW w:w="2076" w:type="pct"/>
                  <w:tcBorders>
                    <w:tl2br w:val="nil"/>
                    <w:tr2bl w:val="nil"/>
                  </w:tcBorders>
                  <w:noWrap w:val="0"/>
                  <w:vAlign w:val="center"/>
                </w:tcPr>
                <w:p w14:paraId="2EC5B220">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合格矿石原料落料至筛分间外（预处理车间内），落料点上方设置集气罩，并设置伞状喷雾抑尘装置（设置电伴热装置），喷雾抑尘装置范围覆盖整个落料点</w:t>
                  </w:r>
                </w:p>
              </w:tc>
              <w:tc>
                <w:tcPr>
                  <w:tcW w:w="570" w:type="pct"/>
                  <w:tcBorders>
                    <w:tl2br w:val="nil"/>
                    <w:tr2bl w:val="nil"/>
                  </w:tcBorders>
                  <w:noWrap w:val="0"/>
                  <w:vAlign w:val="center"/>
                </w:tcPr>
                <w:p w14:paraId="6A0F77FC">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集气罩</w:t>
                  </w:r>
                </w:p>
                <w:p w14:paraId="5B901E2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578" w:type="pct"/>
                  <w:tcBorders>
                    <w:tl2br w:val="nil"/>
                    <w:tr2bl w:val="nil"/>
                  </w:tcBorders>
                  <w:shd w:val="clear" w:color="auto" w:fill="auto"/>
                  <w:noWrap w:val="0"/>
                  <w:vAlign w:val="center"/>
                </w:tcPr>
                <w:p w14:paraId="6F109A1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Q =3600AV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p>
                <w:p w14:paraId="540B68AF">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V</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P</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取</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0.8</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m/s</w:t>
                  </w:r>
                </w:p>
              </w:tc>
              <w:tc>
                <w:tcPr>
                  <w:tcW w:w="427" w:type="pct"/>
                  <w:tcBorders>
                    <w:tl2br w:val="nil"/>
                    <w:tr2bl w:val="nil"/>
                  </w:tcBorders>
                  <w:shd w:val="clear" w:color="auto" w:fill="auto"/>
                  <w:noWrap w:val="0"/>
                  <w:vAlign w:val="center"/>
                </w:tcPr>
                <w:p w14:paraId="6C11AD8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461" w:type="pct"/>
                  <w:tcBorders>
                    <w:tl2br w:val="nil"/>
                    <w:tr2bl w:val="nil"/>
                  </w:tcBorders>
                  <w:shd w:val="clear" w:color="auto" w:fill="auto"/>
                  <w:noWrap w:val="0"/>
                  <w:vAlign w:val="center"/>
                </w:tcPr>
                <w:p w14:paraId="053C1583">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i w:val="0"/>
                      <w:iCs w:val="0"/>
                      <w:strike/>
                      <w:dstrike w:val="0"/>
                      <w:color w:val="000000" w:themeColor="text1"/>
                      <w:kern w:val="0"/>
                      <w:sz w:val="21"/>
                      <w:szCs w:val="21"/>
                      <w:highlight w:val="none"/>
                      <w:u w:val="none"/>
                      <w:lang w:val="en-US" w:eastAsia="zh-CN" w:bidi="ar"/>
                      <w14:textFill>
                        <w14:solidFill>
                          <w14:schemeClr w14:val="tx1"/>
                        </w14:solidFill>
                      </w14:textFill>
                    </w:rPr>
                  </w:pPr>
                </w:p>
                <w:p w14:paraId="514E698A">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strike w:val="0"/>
                      <w:dstrike w:val="0"/>
                      <w:color w:val="000000" w:themeColor="text1"/>
                      <w:kern w:val="0"/>
                      <w:sz w:val="21"/>
                      <w:szCs w:val="21"/>
                      <w:highlight w:val="none"/>
                      <w:u w:val="none"/>
                      <w:lang w:val="en-US" w:eastAsia="zh-CN" w:bidi="ar"/>
                      <w14:textFill>
                        <w14:solidFill>
                          <w14:schemeClr w14:val="tx1"/>
                        </w14:solidFill>
                      </w14:textFill>
                    </w:rPr>
                    <w:t>5644.80</w:t>
                  </w:r>
                </w:p>
              </w:tc>
            </w:tr>
            <w:tr w14:paraId="6C82D3C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15" w:hRule="atLeast"/>
                <w:jc w:val="center"/>
              </w:trPr>
              <w:tc>
                <w:tcPr>
                  <w:tcW w:w="397" w:type="pct"/>
                  <w:tcBorders>
                    <w:tl2br w:val="nil"/>
                    <w:tr2bl w:val="nil"/>
                  </w:tcBorders>
                  <w:noWrap w:val="0"/>
                  <w:vAlign w:val="center"/>
                </w:tcPr>
                <w:p w14:paraId="3E55C63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w:t>
                  </w:r>
                </w:p>
              </w:tc>
              <w:tc>
                <w:tcPr>
                  <w:tcW w:w="487" w:type="pct"/>
                  <w:tcBorders>
                    <w:tl2br w:val="nil"/>
                    <w:tr2bl w:val="nil"/>
                  </w:tcBorders>
                  <w:noWrap w:val="0"/>
                  <w:vAlign w:val="center"/>
                </w:tcPr>
                <w:p w14:paraId="2DBA1DE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合计</w:t>
                  </w:r>
                </w:p>
              </w:tc>
              <w:tc>
                <w:tcPr>
                  <w:tcW w:w="2076" w:type="pct"/>
                  <w:tcBorders>
                    <w:tl2br w:val="nil"/>
                    <w:tr2bl w:val="nil"/>
                  </w:tcBorders>
                  <w:noWrap w:val="0"/>
                  <w:vAlign w:val="center"/>
                </w:tcPr>
                <w:p w14:paraId="6977C4C8">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t>/</w:t>
                  </w:r>
                </w:p>
              </w:tc>
              <w:tc>
                <w:tcPr>
                  <w:tcW w:w="570" w:type="pct"/>
                  <w:tcBorders>
                    <w:tl2br w:val="nil"/>
                    <w:tr2bl w:val="nil"/>
                  </w:tcBorders>
                  <w:noWrap w:val="0"/>
                  <w:vAlign w:val="center"/>
                </w:tcPr>
                <w:p w14:paraId="1E1EB635">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578" w:type="pct"/>
                  <w:tcBorders>
                    <w:tl2br w:val="nil"/>
                    <w:tr2bl w:val="nil"/>
                  </w:tcBorders>
                  <w:noWrap w:val="0"/>
                  <w:vAlign w:val="center"/>
                </w:tcPr>
                <w:p w14:paraId="272442F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cs="Times New Roman"/>
                      <w:b w:val="0"/>
                      <w:bCs w:val="0"/>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427" w:type="pct"/>
                  <w:tcBorders>
                    <w:tl2br w:val="nil"/>
                    <w:tr2bl w:val="nil"/>
                  </w:tcBorders>
                  <w:noWrap w:val="0"/>
                  <w:vAlign w:val="center"/>
                </w:tcPr>
                <w:p w14:paraId="33D87DE1">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461" w:type="pct"/>
                  <w:tcBorders>
                    <w:tl2br w:val="nil"/>
                    <w:tr2bl w:val="nil"/>
                  </w:tcBorders>
                  <w:noWrap w:val="0"/>
                  <w:vAlign w:val="center"/>
                </w:tcPr>
                <w:p w14:paraId="61FBB827">
                  <w:pPr>
                    <w:keepNext w:val="0"/>
                    <w:keepLines w:val="0"/>
                    <w:pageBreakBefore w:val="0"/>
                    <w:widowControl/>
                    <w:suppressLineNumbers w:val="0"/>
                    <w:shd w:val="clear"/>
                    <w:kinsoku/>
                    <w:wordWrap/>
                    <w:overflowPunct/>
                    <w:topLinePunct w:val="0"/>
                    <w:autoSpaceDE/>
                    <w:autoSpaceDN/>
                    <w:bidi w:val="0"/>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strike w:val="0"/>
                      <w:dstrike w:val="0"/>
                      <w:color w:val="000000" w:themeColor="text1"/>
                      <w:kern w:val="0"/>
                      <w:sz w:val="21"/>
                      <w:szCs w:val="21"/>
                      <w:highlight w:val="none"/>
                      <w:u w:val="none"/>
                      <w:lang w:val="en-US" w:eastAsia="zh-CN" w:bidi="ar"/>
                      <w14:textFill>
                        <w14:solidFill>
                          <w14:schemeClr w14:val="tx1"/>
                        </w14:solidFill>
                      </w14:textFill>
                    </w:rPr>
                    <w:t>40661.32</w:t>
                  </w:r>
                </w:p>
              </w:tc>
            </w:tr>
          </w:tbl>
          <w:p w14:paraId="4C73874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经上表分析，除尘器风机风量核算为40661.32</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m</w:t>
            </w:r>
            <w:r>
              <w:rPr>
                <w:rFonts w:hint="default" w:cs="Times New Roman"/>
                <w:b w:val="0"/>
                <w:bCs w:val="0"/>
                <w:snapToGrid w:val="0"/>
                <w:color w:val="000000" w:themeColor="text1"/>
                <w:kern w:val="0"/>
                <w:sz w:val="24"/>
                <w:szCs w:val="24"/>
                <w:highlight w:val="none"/>
                <w:vertAlign w:val="superscript"/>
                <w:lang w:val="en-US" w:eastAsia="zh-CN"/>
                <w14:textFill>
                  <w14:solidFill>
                    <w14:schemeClr w14:val="tx1"/>
                  </w14:solidFill>
                </w14:textFill>
              </w:rPr>
              <w:t>3</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/h</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，同时考虑引风损耗，损耗系数约10%~20%，则风量设计为45000</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m</w:t>
            </w:r>
            <w:r>
              <w:rPr>
                <w:rFonts w:hint="default" w:cs="Times New Roman"/>
                <w:b w:val="0"/>
                <w:bCs w:val="0"/>
                <w:snapToGrid w:val="0"/>
                <w:color w:val="000000" w:themeColor="text1"/>
                <w:kern w:val="0"/>
                <w:sz w:val="24"/>
                <w:szCs w:val="24"/>
                <w:highlight w:val="none"/>
                <w:vertAlign w:val="superscript"/>
                <w:lang w:val="en-US" w:eastAsia="zh-CN"/>
                <w14:textFill>
                  <w14:solidFill>
                    <w14:schemeClr w14:val="tx1"/>
                  </w14:solidFill>
                </w14:textFill>
              </w:rPr>
              <w:t>3</w:t>
            </w:r>
            <w:r>
              <w:rPr>
                <w:rFonts w:hint="default" w:cs="Times New Roman"/>
                <w:b w:val="0"/>
                <w:bCs w:val="0"/>
                <w:snapToGrid w:val="0"/>
                <w:color w:val="000000" w:themeColor="text1"/>
                <w:kern w:val="0"/>
                <w:sz w:val="24"/>
                <w:szCs w:val="24"/>
                <w:highlight w:val="none"/>
                <w:lang w:val="en-US" w:eastAsia="zh-CN"/>
                <w14:textFill>
                  <w14:solidFill>
                    <w14:schemeClr w14:val="tx1"/>
                  </w14:solidFill>
                </w14:textFill>
              </w:rPr>
              <w:t>/h</w:t>
            </w:r>
            <w:r>
              <w:rPr>
                <w:rFonts w:hint="eastAsia" w:cs="Times New Roman"/>
                <w:b w:val="0"/>
                <w:bCs w:val="0"/>
                <w:snapToGrid w:val="0"/>
                <w:color w:val="000000" w:themeColor="text1"/>
                <w:kern w:val="0"/>
                <w:sz w:val="24"/>
                <w:szCs w:val="24"/>
                <w:highlight w:val="none"/>
                <w:lang w:val="en-US" w:eastAsia="zh-CN"/>
                <w14:textFill>
                  <w14:solidFill>
                    <w14:schemeClr w14:val="tx1"/>
                  </w14:solidFill>
                </w14:textFill>
              </w:rPr>
              <w:t>，能够满足所需风量需求。</w:t>
            </w:r>
          </w:p>
        </w:tc>
      </w:tr>
    </w:tbl>
    <w:p w14:paraId="0386B16A">
      <w:pPr>
        <w:shd w:val="clear"/>
        <w:ind w:left="0" w:leftChars="0" w:firstLine="0" w:firstLineChars="0"/>
        <w:rPr>
          <w:color w:val="000000" w:themeColor="text1"/>
          <w:highlight w:val="none"/>
          <w14:textFill>
            <w14:solidFill>
              <w14:schemeClr w14:val="tx1"/>
            </w14:solidFill>
          </w14:textFill>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2"/>
        <w:tblW w:w="9347"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746"/>
        <w:gridCol w:w="8601"/>
      </w:tblGrid>
      <w:tr w14:paraId="13A17DE3">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13585" w:hRule="atLeast"/>
          <w:jc w:val="center"/>
        </w:trPr>
        <w:tc>
          <w:tcPr>
            <w:tcW w:w="746" w:type="dxa"/>
            <w:tcBorders>
              <w:tl2br w:val="nil"/>
              <w:tr2bl w:val="nil"/>
            </w:tcBorders>
            <w:shd w:val="clear" w:color="auto" w:fill="FFFFFF"/>
            <w:noWrap w:val="0"/>
            <w:tcMar>
              <w:left w:w="28" w:type="dxa"/>
              <w:right w:w="28" w:type="dxa"/>
            </w:tcMar>
            <w:vAlign w:val="center"/>
          </w:tcPr>
          <w:p w14:paraId="5033E0C9">
            <w:pPr>
              <w:pStyle w:val="43"/>
              <w:keepNext w:val="0"/>
              <w:keepLines w:val="0"/>
              <w:pageBreakBefore w:val="0"/>
              <w:widowControl w:val="0"/>
              <w:shd w:val="clear"/>
              <w:kinsoku/>
              <w:wordWrap/>
              <w:overflowPunct/>
              <w:topLinePunct w:val="0"/>
              <w:autoSpaceDE/>
              <w:autoSpaceDN/>
              <w:bidi w:val="0"/>
              <w:adjustRightInd/>
              <w:snapToGrid/>
              <w:spacing w:before="0" w:after="0"/>
              <w:ind w:firstLine="0" w:firstLineChars="0"/>
              <w:textAlignment w:val="auto"/>
              <w:rPr>
                <w:rFonts w:hint="default" w:ascii="Times New Roman" w:hAnsi="Times New Roman" w:cs="Times New Roman"/>
                <w:color w:val="000000" w:themeColor="text1"/>
                <w:highlight w:val="none"/>
                <w14:textFill>
                  <w14:solidFill>
                    <w14:schemeClr w14:val="tx1"/>
                  </w14:solidFill>
                </w14:textFill>
              </w:rPr>
            </w:pPr>
          </w:p>
        </w:tc>
        <w:tc>
          <w:tcPr>
            <w:tcW w:w="8601" w:type="dxa"/>
            <w:tcBorders>
              <w:tl2br w:val="nil"/>
              <w:tr2bl w:val="nil"/>
            </w:tcBorders>
            <w:shd w:val="clear" w:color="auto" w:fill="FFFFFF"/>
            <w:noWrap w:val="0"/>
            <w:vAlign w:val="top"/>
          </w:tcPr>
          <w:p w14:paraId="274358B3">
            <w:pPr>
              <w:keepNext w:val="0"/>
              <w:keepLines w:val="0"/>
              <w:pageBreakBefore w:val="0"/>
              <w:widowControl/>
              <w:suppressLineNumbers w:val="0"/>
              <w:shd w:val="clear"/>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Times New Roman" w:eastAsia="宋体" w:cs="Times New Roman"/>
                <w:b/>
                <w:bCs/>
                <w:smallCaps w:val="0"/>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b/>
                <w:bCs/>
                <w:smallCaps w:val="0"/>
                <w:color w:val="000000" w:themeColor="text1"/>
                <w:spacing w:val="0"/>
                <w:kern w:val="0"/>
                <w:position w:val="0"/>
                <w:sz w:val="24"/>
                <w:szCs w:val="24"/>
                <w:highlight w:val="none"/>
                <w:lang w:val="en-US" w:eastAsia="zh-CN" w:bidi="ar"/>
                <w14:textFill>
                  <w14:solidFill>
                    <w14:schemeClr w14:val="tx1"/>
                  </w14:solidFill>
                </w14:textFill>
              </w:rPr>
              <w:t>1.</w:t>
            </w:r>
            <w:r>
              <w:rPr>
                <w:rFonts w:hint="eastAsia" w:cs="Times New Roman"/>
                <w:b/>
                <w:bCs/>
                <w:smallCaps w:val="0"/>
                <w:color w:val="000000" w:themeColor="text1"/>
                <w:spacing w:val="0"/>
                <w:kern w:val="0"/>
                <w:position w:val="0"/>
                <w:sz w:val="24"/>
                <w:szCs w:val="24"/>
                <w:highlight w:val="none"/>
                <w:lang w:val="en-US" w:eastAsia="zh-CN" w:bidi="ar"/>
                <w14:textFill>
                  <w14:solidFill>
                    <w14:schemeClr w14:val="tx1"/>
                  </w14:solidFill>
                </w14:textFill>
              </w:rPr>
              <w:t>5</w:t>
            </w:r>
            <w:r>
              <w:rPr>
                <w:rFonts w:hint="default" w:ascii="Times New Roman" w:hAnsi="Times New Roman" w:eastAsia="宋体" w:cs="Times New Roman"/>
                <w:b/>
                <w:bCs/>
                <w:smallCaps w:val="0"/>
                <w:color w:val="000000" w:themeColor="text1"/>
                <w:spacing w:val="0"/>
                <w:kern w:val="0"/>
                <w:position w:val="0"/>
                <w:sz w:val="24"/>
                <w:szCs w:val="24"/>
                <w:highlight w:val="none"/>
                <w:lang w:val="en-US" w:eastAsia="zh-CN" w:bidi="ar"/>
                <w14:textFill>
                  <w14:solidFill>
                    <w14:schemeClr w14:val="tx1"/>
                  </w14:solidFill>
                </w14:textFill>
              </w:rPr>
              <w:t>排放量核算</w:t>
            </w:r>
          </w:p>
          <w:p w14:paraId="76E90AD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大气污染物年排放量核算表</w:t>
            </w:r>
          </w:p>
          <w:tbl>
            <w:tblPr>
              <w:tblStyle w:val="32"/>
              <w:tblW w:w="7838"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Layout w:type="fixed"/>
              <w:tblCellMar>
                <w:top w:w="0" w:type="dxa"/>
                <w:left w:w="108" w:type="dxa"/>
                <w:bottom w:w="0" w:type="dxa"/>
                <w:right w:w="108" w:type="dxa"/>
              </w:tblCellMar>
            </w:tblPr>
            <w:tblGrid>
              <w:gridCol w:w="822"/>
              <w:gridCol w:w="1417"/>
              <w:gridCol w:w="1977"/>
              <w:gridCol w:w="1977"/>
              <w:gridCol w:w="1645"/>
            </w:tblGrid>
            <w:tr w14:paraId="312FC3AA">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503" w:hRule="atLeast"/>
                <w:jc w:val="center"/>
              </w:trPr>
              <w:tc>
                <w:tcPr>
                  <w:tcW w:w="822" w:type="dxa"/>
                  <w:tcBorders>
                    <w:tl2br w:val="nil"/>
                    <w:tr2bl w:val="nil"/>
                  </w:tcBorders>
                  <w:shd w:val="clear" w:color="auto" w:fill="auto"/>
                  <w:noWrap/>
                  <w:vAlign w:val="center"/>
                </w:tcPr>
                <w:p w14:paraId="72A64CD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序号</w:t>
                  </w:r>
                </w:p>
              </w:tc>
              <w:tc>
                <w:tcPr>
                  <w:tcW w:w="1417" w:type="dxa"/>
                  <w:tcBorders>
                    <w:tl2br w:val="nil"/>
                    <w:tr2bl w:val="nil"/>
                  </w:tcBorders>
                  <w:shd w:val="clear" w:color="auto" w:fill="auto"/>
                  <w:noWrap/>
                  <w:vAlign w:val="center"/>
                </w:tcPr>
                <w:p w14:paraId="3831BA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污染物</w:t>
                  </w:r>
                </w:p>
              </w:tc>
              <w:tc>
                <w:tcPr>
                  <w:tcW w:w="1977" w:type="dxa"/>
                  <w:tcBorders>
                    <w:tl2br w:val="nil"/>
                    <w:tr2bl w:val="nil"/>
                  </w:tcBorders>
                  <w:shd w:val="clear" w:color="auto" w:fill="auto"/>
                  <w:noWrap/>
                  <w:vAlign w:val="center"/>
                </w:tcPr>
                <w:p w14:paraId="312390D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有</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组织排放量（t/a）</w:t>
                  </w:r>
                </w:p>
              </w:tc>
              <w:tc>
                <w:tcPr>
                  <w:tcW w:w="1977" w:type="dxa"/>
                  <w:tcBorders>
                    <w:tl2br w:val="nil"/>
                    <w:tr2bl w:val="nil"/>
                  </w:tcBorders>
                  <w:shd w:val="clear" w:color="auto" w:fill="auto"/>
                  <w:noWrap/>
                  <w:vAlign w:val="center"/>
                </w:tcPr>
                <w:p w14:paraId="3B7B0AA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组织排放量（t/a）</w:t>
                  </w:r>
                </w:p>
              </w:tc>
              <w:tc>
                <w:tcPr>
                  <w:tcW w:w="1645" w:type="dxa"/>
                  <w:tcBorders>
                    <w:tl2br w:val="nil"/>
                    <w:tr2bl w:val="nil"/>
                  </w:tcBorders>
                  <w:shd w:val="clear" w:color="auto" w:fill="auto"/>
                  <w:noWrap/>
                  <w:vAlign w:val="center"/>
                </w:tcPr>
                <w:p w14:paraId="5A9AC5F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年排放量（t/a）</w:t>
                  </w:r>
                </w:p>
              </w:tc>
            </w:tr>
            <w:tr w14:paraId="11B27BC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512" w:hRule="atLeast"/>
                <w:jc w:val="center"/>
              </w:trPr>
              <w:tc>
                <w:tcPr>
                  <w:tcW w:w="822" w:type="dxa"/>
                  <w:tcBorders>
                    <w:tl2br w:val="nil"/>
                    <w:tr2bl w:val="nil"/>
                  </w:tcBorders>
                  <w:shd w:val="clear" w:color="auto" w:fill="auto"/>
                  <w:noWrap/>
                  <w:vAlign w:val="center"/>
                </w:tcPr>
                <w:p w14:paraId="1F1426B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417" w:type="dxa"/>
                  <w:tcBorders>
                    <w:tl2br w:val="nil"/>
                    <w:tr2bl w:val="nil"/>
                  </w:tcBorders>
                  <w:shd w:val="clear" w:color="auto" w:fill="auto"/>
                  <w:noWrap/>
                  <w:vAlign w:val="center"/>
                </w:tcPr>
                <w:p w14:paraId="068225D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颗粒物</w:t>
                  </w:r>
                </w:p>
              </w:tc>
              <w:tc>
                <w:tcPr>
                  <w:tcW w:w="1977" w:type="dxa"/>
                  <w:tcBorders>
                    <w:tl2br w:val="nil"/>
                    <w:tr2bl w:val="nil"/>
                  </w:tcBorders>
                  <w:shd w:val="clear" w:color="auto" w:fill="auto"/>
                  <w:noWrap/>
                  <w:vAlign w:val="center"/>
                </w:tcPr>
                <w:p w14:paraId="0DA17B5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0.808</w:t>
                  </w:r>
                </w:p>
              </w:tc>
              <w:tc>
                <w:tcPr>
                  <w:tcW w:w="1977" w:type="dxa"/>
                  <w:tcBorders>
                    <w:tl2br w:val="nil"/>
                    <w:tr2bl w:val="nil"/>
                  </w:tcBorders>
                  <w:shd w:val="clear" w:color="auto" w:fill="auto"/>
                  <w:noWrap/>
                  <w:vAlign w:val="center"/>
                </w:tcPr>
                <w:p w14:paraId="03EE2B0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0.913</w:t>
                  </w:r>
                </w:p>
              </w:tc>
              <w:tc>
                <w:tcPr>
                  <w:tcW w:w="1645" w:type="dxa"/>
                  <w:tcBorders>
                    <w:tl2br w:val="nil"/>
                    <w:tr2bl w:val="nil"/>
                  </w:tcBorders>
                  <w:shd w:val="clear" w:color="auto" w:fill="auto"/>
                  <w:noWrap/>
                  <w:vAlign w:val="center"/>
                </w:tcPr>
                <w:p w14:paraId="4F8C02C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1.721</w:t>
                  </w:r>
                </w:p>
              </w:tc>
            </w:tr>
          </w:tbl>
          <w:p w14:paraId="323FC0AF">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本项目建成后全厂大气污染物变化量（单位：t/a）</w:t>
            </w:r>
          </w:p>
          <w:tbl>
            <w:tblPr>
              <w:tblStyle w:val="32"/>
              <w:tblW w:w="7795"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658"/>
              <w:gridCol w:w="1038"/>
              <w:gridCol w:w="993"/>
              <w:gridCol w:w="918"/>
              <w:gridCol w:w="1292"/>
              <w:gridCol w:w="1292"/>
              <w:gridCol w:w="1604"/>
            </w:tblGrid>
            <w:tr w14:paraId="5F9E8A99">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559" w:hRule="atLeast"/>
                <w:jc w:val="center"/>
              </w:trPr>
              <w:tc>
                <w:tcPr>
                  <w:tcW w:w="658" w:type="dxa"/>
                  <w:tcBorders>
                    <w:tl2br w:val="nil"/>
                    <w:tr2bl w:val="nil"/>
                  </w:tcBorders>
                  <w:noWrap/>
                  <w:vAlign w:val="center"/>
                </w:tcPr>
                <w:p w14:paraId="43D241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序号</w:t>
                  </w:r>
                </w:p>
              </w:tc>
              <w:tc>
                <w:tcPr>
                  <w:tcW w:w="1038" w:type="dxa"/>
                  <w:tcBorders>
                    <w:tl2br w:val="nil"/>
                    <w:tr2bl w:val="nil"/>
                  </w:tcBorders>
                  <w:noWrap/>
                  <w:vAlign w:val="center"/>
                </w:tcPr>
                <w:p w14:paraId="212A882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污染物</w:t>
                  </w:r>
                </w:p>
              </w:tc>
              <w:tc>
                <w:tcPr>
                  <w:tcW w:w="993" w:type="dxa"/>
                  <w:tcBorders>
                    <w:tl2br w:val="nil"/>
                    <w:tr2bl w:val="nil"/>
                  </w:tcBorders>
                  <w:noWrap w:val="0"/>
                  <w:vAlign w:val="center"/>
                </w:tcPr>
                <w:p w14:paraId="0F311B3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现有工程</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p>
              </w:tc>
              <w:tc>
                <w:tcPr>
                  <w:tcW w:w="918" w:type="dxa"/>
                  <w:tcBorders>
                    <w:tl2br w:val="nil"/>
                    <w:tr2bl w:val="nil"/>
                  </w:tcBorders>
                  <w:noWrap w:val="0"/>
                  <w:vAlign w:val="center"/>
                </w:tcPr>
                <w:p w14:paraId="7A405A1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本项目</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p>
              </w:tc>
              <w:tc>
                <w:tcPr>
                  <w:tcW w:w="1292" w:type="dxa"/>
                  <w:tcBorders>
                    <w:tl2br w:val="nil"/>
                    <w:tr2bl w:val="nil"/>
                  </w:tcBorders>
                  <w:noWrap w:val="0"/>
                  <w:vAlign w:val="center"/>
                </w:tcPr>
                <w:p w14:paraId="596FCB9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以新带老削减量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p>
              </w:tc>
              <w:tc>
                <w:tcPr>
                  <w:tcW w:w="1292" w:type="dxa"/>
                  <w:tcBorders>
                    <w:tl2br w:val="nil"/>
                    <w:tr2bl w:val="nil"/>
                  </w:tcBorders>
                  <w:noWrap w:val="0"/>
                  <w:vAlign w:val="center"/>
                </w:tcPr>
                <w:p w14:paraId="2A2560A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技改后全厂</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p>
              </w:tc>
              <w:tc>
                <w:tcPr>
                  <w:tcW w:w="1604" w:type="dxa"/>
                  <w:tcBorders>
                    <w:tl2br w:val="nil"/>
                    <w:tr2bl w:val="nil"/>
                  </w:tcBorders>
                  <w:noWrap w:val="0"/>
                  <w:vAlign w:val="center"/>
                </w:tcPr>
                <w:p w14:paraId="38838F5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技改前后增减量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p>
              </w:tc>
            </w:tr>
            <w:tr w14:paraId="4DF7C760">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95" w:hRule="atLeast"/>
                <w:jc w:val="center"/>
              </w:trPr>
              <w:tc>
                <w:tcPr>
                  <w:tcW w:w="658" w:type="dxa"/>
                  <w:tcBorders>
                    <w:tl2br w:val="nil"/>
                    <w:tr2bl w:val="nil"/>
                  </w:tcBorders>
                  <w:noWrap/>
                  <w:vAlign w:val="center"/>
                </w:tcPr>
                <w:p w14:paraId="0F50FE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038" w:type="dxa"/>
                  <w:tcBorders>
                    <w:tl2br w:val="nil"/>
                    <w:tr2bl w:val="nil"/>
                  </w:tcBorders>
                  <w:noWrap/>
                  <w:vAlign w:val="center"/>
                </w:tcPr>
                <w:p w14:paraId="5EE2D3D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颗粒物</w:t>
                  </w:r>
                </w:p>
              </w:tc>
              <w:tc>
                <w:tcPr>
                  <w:tcW w:w="993" w:type="dxa"/>
                  <w:tcBorders>
                    <w:tl2br w:val="nil"/>
                    <w:tr2bl w:val="nil"/>
                  </w:tcBorders>
                  <w:noWrap/>
                  <w:vAlign w:val="center"/>
                </w:tcPr>
                <w:p w14:paraId="4F2B054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0.560</w:t>
                  </w:r>
                </w:p>
              </w:tc>
              <w:tc>
                <w:tcPr>
                  <w:tcW w:w="918" w:type="dxa"/>
                  <w:tcBorders>
                    <w:tl2br w:val="nil"/>
                    <w:tr2bl w:val="nil"/>
                  </w:tcBorders>
                  <w:noWrap/>
                  <w:vAlign w:val="center"/>
                </w:tcPr>
                <w:p w14:paraId="61943BD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1.721</w:t>
                  </w:r>
                </w:p>
              </w:tc>
              <w:tc>
                <w:tcPr>
                  <w:tcW w:w="1292" w:type="dxa"/>
                  <w:tcBorders>
                    <w:tl2br w:val="nil"/>
                    <w:tr2bl w:val="nil"/>
                  </w:tcBorders>
                  <w:noWrap/>
                  <w:vAlign w:val="center"/>
                </w:tcPr>
                <w:p w14:paraId="0A005DF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0.097</w:t>
                  </w:r>
                </w:p>
              </w:tc>
              <w:tc>
                <w:tcPr>
                  <w:tcW w:w="1292" w:type="dxa"/>
                  <w:tcBorders>
                    <w:tl2br w:val="nil"/>
                    <w:tr2bl w:val="nil"/>
                  </w:tcBorders>
                  <w:noWrap/>
                  <w:vAlign w:val="center"/>
                </w:tcPr>
                <w:p w14:paraId="62B1A15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2.184</w:t>
                  </w:r>
                </w:p>
              </w:tc>
              <w:tc>
                <w:tcPr>
                  <w:tcW w:w="1604" w:type="dxa"/>
                  <w:tcBorders>
                    <w:tl2br w:val="nil"/>
                    <w:tr2bl w:val="nil"/>
                  </w:tcBorders>
                  <w:noWrap/>
                  <w:vAlign w:val="center"/>
                </w:tcPr>
                <w:p w14:paraId="6B886A4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+1.624</w:t>
                  </w:r>
                </w:p>
              </w:tc>
            </w:tr>
            <w:tr w14:paraId="128ABD29">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95" w:hRule="atLeast"/>
                <w:jc w:val="center"/>
              </w:trPr>
              <w:tc>
                <w:tcPr>
                  <w:tcW w:w="7795" w:type="dxa"/>
                  <w:gridSpan w:val="7"/>
                  <w:tcBorders>
                    <w:tl2br w:val="nil"/>
                    <w:tr2bl w:val="nil"/>
                  </w:tcBorders>
                  <w:noWrap/>
                  <w:vAlign w:val="center"/>
                </w:tcPr>
                <w:p w14:paraId="1A94277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left"/>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备注：本次技改完成后，现有工程设计处理规模仍为12万t/a。本项目预处理后的6万t/a原料无需再破碎加工处理，仅利用现有上料仓及输送皮带作为输送通道转运至中间仓，经过现有工程颚式破碎机和圆锥破碎机时，仅保持设备进出口畅通即可，其余工序正常运行。在此工况下，现有工程有组织颗粒物排放量较原排放量削减25%；按现有工程颗粒物有组织排放量0.386t/a核算，可实现减排量0.097t/a。</w:t>
                  </w:r>
                </w:p>
              </w:tc>
            </w:tr>
          </w:tbl>
          <w:p w14:paraId="064DE032">
            <w:pPr>
              <w:keepNext w:val="0"/>
              <w:keepLines w:val="0"/>
              <w:pageBreakBefore w:val="0"/>
              <w:widowControl/>
              <w:suppressLineNumbers w:val="0"/>
              <w:shd w:val="clear"/>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b/>
                <w:bCs w:val="0"/>
                <w:i w:val="0"/>
                <w:snapToGrid w:val="0"/>
                <w:color w:val="000000" w:themeColor="text1"/>
                <w:kern w:val="0"/>
                <w:sz w:val="24"/>
                <w:szCs w:val="24"/>
                <w:highlight w:val="none"/>
                <w:lang w:val="en-US" w:eastAsia="zh-CN" w:bidi="ar"/>
                <w14:textFill>
                  <w14:solidFill>
                    <w14:schemeClr w14:val="tx1"/>
                  </w14:solidFill>
                </w14:textFill>
              </w:rPr>
            </w:pPr>
            <w:r>
              <w:rPr>
                <w:rFonts w:hint="eastAsia" w:cs="Times New Roman"/>
                <w:b/>
                <w:bCs w:val="0"/>
                <w:i w:val="0"/>
                <w:snapToGrid w:val="0"/>
                <w:color w:val="000000" w:themeColor="text1"/>
                <w:kern w:val="0"/>
                <w:sz w:val="24"/>
                <w:szCs w:val="24"/>
                <w:highlight w:val="none"/>
                <w:lang w:val="en-US" w:eastAsia="zh-CN" w:bidi="ar"/>
                <w14:textFill>
                  <w14:solidFill>
                    <w14:schemeClr w14:val="tx1"/>
                  </w14:solidFill>
                </w14:textFill>
              </w:rPr>
              <w:t>1.6监测计划</w:t>
            </w:r>
          </w:p>
          <w:p w14:paraId="39801C8D">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《排污许可证申请与核发技术规范 石墨及其他非金属矿物制品制造》（HJ1119-2020）中未规定</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其他非金属矿物制品制造</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行业监测要求，因此，本项目按照</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instrText xml:space="preserve"> HYPERLINK "http://www.mee.gov.cn/ywgz/fgbz/bz/bzwb/shjbh/xgbzh/201705/W020170511332490849000.pdf" </w:instrTex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separate"/>
            </w:r>
            <w:bookmarkStart w:id="6" w:name="OLE_LINK46"/>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排污单位自行监测技术指南</w:t>
            </w:r>
            <w:bookmarkEnd w:id="6"/>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总则</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HJ 819-2017</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）要求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制定本项目的监测计划和工作方案，监测工作可委托有资质的环境监测</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机构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承担。</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本次技改完成后，全厂废气污染源监测计划如下：</w:t>
            </w:r>
          </w:p>
          <w:p w14:paraId="3DF2FA47">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污染源自行监测计划一览表</w:t>
            </w:r>
          </w:p>
          <w:tbl>
            <w:tblPr>
              <w:tblStyle w:val="32"/>
              <w:tblW w:w="779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470"/>
              <w:gridCol w:w="901"/>
              <w:gridCol w:w="1395"/>
              <w:gridCol w:w="972"/>
              <w:gridCol w:w="855"/>
              <w:gridCol w:w="3204"/>
            </w:tblGrid>
            <w:tr w14:paraId="2CBA76F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23" w:hRule="atLeast"/>
                <w:jc w:val="center"/>
              </w:trPr>
              <w:tc>
                <w:tcPr>
                  <w:tcW w:w="1371" w:type="dxa"/>
                  <w:gridSpan w:val="2"/>
                  <w:tcBorders>
                    <w:tl2br w:val="nil"/>
                    <w:tr2bl w:val="nil"/>
                  </w:tcBorders>
                  <w:noWrap w:val="0"/>
                  <w:vAlign w:val="center"/>
                </w:tcPr>
                <w:p w14:paraId="34A8A3E8">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环境要素</w:t>
                  </w:r>
                </w:p>
              </w:tc>
              <w:tc>
                <w:tcPr>
                  <w:tcW w:w="1395" w:type="dxa"/>
                  <w:tcBorders>
                    <w:tl2br w:val="nil"/>
                    <w:tr2bl w:val="nil"/>
                  </w:tcBorders>
                  <w:noWrap w:val="0"/>
                  <w:vAlign w:val="center"/>
                </w:tcPr>
                <w:p w14:paraId="4DA055AD">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监测点位</w:t>
                  </w:r>
                </w:p>
              </w:tc>
              <w:tc>
                <w:tcPr>
                  <w:tcW w:w="972" w:type="dxa"/>
                  <w:tcBorders>
                    <w:tl2br w:val="nil"/>
                    <w:tr2bl w:val="nil"/>
                  </w:tcBorders>
                  <w:noWrap w:val="0"/>
                  <w:vAlign w:val="center"/>
                </w:tcPr>
                <w:p w14:paraId="04595C14">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监测因子</w:t>
                  </w:r>
                </w:p>
              </w:tc>
              <w:tc>
                <w:tcPr>
                  <w:tcW w:w="855" w:type="dxa"/>
                  <w:tcBorders>
                    <w:tl2br w:val="nil"/>
                    <w:tr2bl w:val="nil"/>
                  </w:tcBorders>
                  <w:noWrap w:val="0"/>
                  <w:vAlign w:val="center"/>
                </w:tcPr>
                <w:p w14:paraId="0DB204C8">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监测频次</w:t>
                  </w:r>
                </w:p>
              </w:tc>
              <w:tc>
                <w:tcPr>
                  <w:tcW w:w="3204" w:type="dxa"/>
                  <w:tcBorders>
                    <w:tl2br w:val="nil"/>
                    <w:tr2bl w:val="nil"/>
                  </w:tcBorders>
                  <w:noWrap w:val="0"/>
                  <w:vAlign w:val="center"/>
                </w:tcPr>
                <w:p w14:paraId="18BF9CC5">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执行排放标准</w:t>
                  </w:r>
                </w:p>
              </w:tc>
            </w:tr>
            <w:tr w14:paraId="36B968D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70" w:hRule="atLeast"/>
                <w:jc w:val="center"/>
              </w:trPr>
              <w:tc>
                <w:tcPr>
                  <w:tcW w:w="470" w:type="dxa"/>
                  <w:vMerge w:val="restart"/>
                  <w:tcBorders>
                    <w:tl2br w:val="nil"/>
                    <w:tr2bl w:val="nil"/>
                  </w:tcBorders>
                  <w:noWrap w:val="0"/>
                  <w:vAlign w:val="center"/>
                </w:tcPr>
                <w:p w14:paraId="74E8B9D3">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废气</w:t>
                  </w:r>
                </w:p>
              </w:tc>
              <w:tc>
                <w:tcPr>
                  <w:tcW w:w="901" w:type="dxa"/>
                  <w:vMerge w:val="restart"/>
                  <w:tcBorders>
                    <w:tl2br w:val="nil"/>
                    <w:tr2bl w:val="nil"/>
                  </w:tcBorders>
                  <w:noWrap w:val="0"/>
                  <w:vAlign w:val="center"/>
                </w:tcPr>
                <w:p w14:paraId="0B77C69E">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有组织</w:t>
                  </w:r>
                </w:p>
              </w:tc>
              <w:tc>
                <w:tcPr>
                  <w:tcW w:w="1395" w:type="dxa"/>
                  <w:tcBorders>
                    <w:tl2br w:val="nil"/>
                    <w:tr2bl w:val="nil"/>
                  </w:tcBorders>
                  <w:shd w:val="clear" w:color="auto" w:fill="auto"/>
                  <w:noWrap w:val="0"/>
                  <w:vAlign w:val="center"/>
                </w:tcPr>
                <w:p w14:paraId="2D6D9F12">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排气筒</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w:t>
                  </w:r>
                  <w:r>
                    <w:rPr>
                      <w:rFonts w:hint="eastAsia" w:cs="Times New Roman"/>
                      <w:b w:val="0"/>
                      <w:bCs w:val="0"/>
                      <w:color w:val="000000" w:themeColor="text1"/>
                      <w:sz w:val="21"/>
                      <w:szCs w:val="21"/>
                      <w:highlight w:val="none"/>
                      <w:lang w:val="en-US" w:eastAsia="zh-CN"/>
                      <w14:textFill>
                        <w14:solidFill>
                          <w14:schemeClr w14:val="tx1"/>
                        </w14:solidFill>
                      </w14:textFill>
                    </w:rPr>
                    <w:t>1</w:t>
                  </w:r>
                </w:p>
                <w:p w14:paraId="7FCE0AE7">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（现有工程）</w:t>
                  </w:r>
                </w:p>
              </w:tc>
              <w:tc>
                <w:tcPr>
                  <w:tcW w:w="972" w:type="dxa"/>
                  <w:tcBorders>
                    <w:tl2br w:val="nil"/>
                    <w:tr2bl w:val="nil"/>
                  </w:tcBorders>
                  <w:shd w:val="clear" w:color="auto" w:fill="auto"/>
                  <w:noWrap w:val="0"/>
                  <w:vAlign w:val="center"/>
                </w:tcPr>
                <w:p w14:paraId="631EEC2D">
                  <w:pPr>
                    <w:keepNext w:val="0"/>
                    <w:keepLines w:val="0"/>
                    <w:pageBreakBefore w:val="0"/>
                    <w:widowControl w:val="0"/>
                    <w:shd w:val="clear"/>
                    <w:kinsoku w:val="0"/>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颗粒物</w:t>
                  </w:r>
                </w:p>
              </w:tc>
              <w:tc>
                <w:tcPr>
                  <w:tcW w:w="855" w:type="dxa"/>
                  <w:tcBorders>
                    <w:tl2br w:val="nil"/>
                    <w:tr2bl w:val="nil"/>
                  </w:tcBorders>
                  <w:shd w:val="clear" w:color="auto" w:fill="auto"/>
                  <w:noWrap w:val="0"/>
                  <w:vAlign w:val="center"/>
                </w:tcPr>
                <w:p w14:paraId="4E41C5F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
                      <w14:textFill>
                        <w14:solidFill>
                          <w14:schemeClr w14:val="tx1"/>
                        </w14:solidFill>
                      </w14:textFill>
                    </w:rPr>
                    <w:t>1次/年</w:t>
                  </w:r>
                </w:p>
              </w:tc>
              <w:tc>
                <w:tcPr>
                  <w:tcW w:w="3204" w:type="dxa"/>
                  <w:vMerge w:val="restart"/>
                  <w:tcBorders>
                    <w:tl2br w:val="nil"/>
                    <w:tr2bl w:val="nil"/>
                  </w:tcBorders>
                  <w:shd w:val="clear" w:color="auto" w:fill="auto"/>
                  <w:noWrap w:val="0"/>
                  <w:vAlign w:val="center"/>
                </w:tcPr>
                <w:p w14:paraId="0E18773A">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石灰工业大气污染物排放标准</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》（DB</w:t>
                  </w:r>
                  <w:r>
                    <w:rPr>
                      <w:rFonts w:hint="eastAsia" w:cs="Times New Roman"/>
                      <w:color w:val="000000" w:themeColor="text1"/>
                      <w:sz w:val="21"/>
                      <w:szCs w:val="21"/>
                      <w:highlight w:val="none"/>
                      <w:lang w:val="en-US" w:eastAsia="zh-CN"/>
                      <w14:textFill>
                        <w14:solidFill>
                          <w14:schemeClr w14:val="tx1"/>
                        </w14:solidFill>
                      </w14:textFill>
                    </w:rPr>
                    <w:t>13/1641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-2025）及《2019年“十项重点工作”工作方案》（唐办发﹝2019﹞3号）颗粒物有组织排放限值要求：10mg/m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103D12A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70" w:hRule="atLeast"/>
                <w:jc w:val="center"/>
              </w:trPr>
              <w:tc>
                <w:tcPr>
                  <w:tcW w:w="470" w:type="dxa"/>
                  <w:vMerge w:val="continue"/>
                  <w:tcBorders>
                    <w:tl2br w:val="nil"/>
                    <w:tr2bl w:val="nil"/>
                  </w:tcBorders>
                  <w:noWrap w:val="0"/>
                  <w:vAlign w:val="center"/>
                </w:tcPr>
                <w:p w14:paraId="561365E5">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901" w:type="dxa"/>
                  <w:vMerge w:val="continue"/>
                  <w:tcBorders>
                    <w:tl2br w:val="nil"/>
                    <w:tr2bl w:val="nil"/>
                  </w:tcBorders>
                  <w:noWrap w:val="0"/>
                  <w:vAlign w:val="center"/>
                </w:tcPr>
                <w:p w14:paraId="4BA36A65">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1395" w:type="dxa"/>
                  <w:tcBorders>
                    <w:tl2br w:val="nil"/>
                    <w:tr2bl w:val="nil"/>
                  </w:tcBorders>
                  <w:shd w:val="clear" w:color="auto" w:fill="auto"/>
                  <w:noWrap w:val="0"/>
                  <w:vAlign w:val="center"/>
                </w:tcPr>
                <w:p w14:paraId="135F2547">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排气筒</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w:t>
                  </w:r>
                  <w:r>
                    <w:rPr>
                      <w:rFonts w:hint="eastAsia" w:cs="Times New Roman"/>
                      <w:b w:val="0"/>
                      <w:bCs w:val="0"/>
                      <w:color w:val="000000" w:themeColor="text1"/>
                      <w:sz w:val="21"/>
                      <w:szCs w:val="21"/>
                      <w:highlight w:val="none"/>
                      <w:lang w:val="en-US" w:eastAsia="zh-CN"/>
                      <w14:textFill>
                        <w14:solidFill>
                          <w14:schemeClr w14:val="tx1"/>
                        </w14:solidFill>
                      </w14:textFill>
                    </w:rPr>
                    <w:t>2</w:t>
                  </w:r>
                </w:p>
                <w:p w14:paraId="469FF960">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kern w:val="0"/>
                      <w:sz w:val="21"/>
                      <w:szCs w:val="21"/>
                      <w:highlight w:val="none"/>
                      <w:lang w:val="en-US" w:eastAsia="zh-CN" w:bidi="ar"/>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（本项目）</w:t>
                  </w:r>
                </w:p>
              </w:tc>
              <w:tc>
                <w:tcPr>
                  <w:tcW w:w="972" w:type="dxa"/>
                  <w:tcBorders>
                    <w:tl2br w:val="nil"/>
                    <w:tr2bl w:val="nil"/>
                  </w:tcBorders>
                  <w:shd w:val="clear" w:color="auto" w:fill="auto"/>
                  <w:noWrap w:val="0"/>
                  <w:vAlign w:val="center"/>
                </w:tcPr>
                <w:p w14:paraId="5A78C514">
                  <w:pPr>
                    <w:keepNext w:val="0"/>
                    <w:keepLines w:val="0"/>
                    <w:pageBreakBefore w:val="0"/>
                    <w:widowControl w:val="0"/>
                    <w:shd w:val="clear"/>
                    <w:kinsoku w:val="0"/>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颗粒物</w:t>
                  </w:r>
                </w:p>
              </w:tc>
              <w:tc>
                <w:tcPr>
                  <w:tcW w:w="855" w:type="dxa"/>
                  <w:tcBorders>
                    <w:tl2br w:val="nil"/>
                    <w:tr2bl w:val="nil"/>
                  </w:tcBorders>
                  <w:shd w:val="clear" w:color="auto" w:fill="auto"/>
                  <w:noWrap w:val="0"/>
                  <w:vAlign w:val="center"/>
                </w:tcPr>
                <w:p w14:paraId="4285E5C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
                      <w14:textFill>
                        <w14:solidFill>
                          <w14:schemeClr w14:val="tx1"/>
                        </w14:solidFill>
                      </w14:textFill>
                    </w:rPr>
                    <w:t>1次/年</w:t>
                  </w:r>
                </w:p>
              </w:tc>
              <w:tc>
                <w:tcPr>
                  <w:tcW w:w="3204" w:type="dxa"/>
                  <w:vMerge w:val="continue"/>
                  <w:tcBorders>
                    <w:tl2br w:val="nil"/>
                    <w:tr2bl w:val="nil"/>
                  </w:tcBorders>
                  <w:shd w:val="clear" w:color="auto" w:fill="auto"/>
                  <w:noWrap w:val="0"/>
                  <w:vAlign w:val="center"/>
                </w:tcPr>
                <w:p w14:paraId="11174756">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p>
              </w:tc>
            </w:tr>
            <w:tr w14:paraId="789E746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40" w:hRule="atLeast"/>
                <w:jc w:val="center"/>
              </w:trPr>
              <w:tc>
                <w:tcPr>
                  <w:tcW w:w="470" w:type="dxa"/>
                  <w:vMerge w:val="continue"/>
                  <w:tcBorders>
                    <w:tl2br w:val="nil"/>
                    <w:tr2bl w:val="nil"/>
                  </w:tcBorders>
                  <w:noWrap w:val="0"/>
                  <w:vAlign w:val="center"/>
                </w:tcPr>
                <w:p w14:paraId="3F0E88D6">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901" w:type="dxa"/>
                  <w:vMerge w:val="restart"/>
                  <w:tcBorders>
                    <w:tl2br w:val="nil"/>
                    <w:tr2bl w:val="nil"/>
                  </w:tcBorders>
                  <w:noWrap w:val="0"/>
                  <w:vAlign w:val="center"/>
                </w:tcPr>
                <w:p w14:paraId="1B9301A0">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无组织</w:t>
                  </w:r>
                </w:p>
              </w:tc>
              <w:tc>
                <w:tcPr>
                  <w:tcW w:w="1395" w:type="dxa"/>
                  <w:tcBorders>
                    <w:tl2br w:val="nil"/>
                    <w:tr2bl w:val="nil"/>
                  </w:tcBorders>
                  <w:noWrap w:val="0"/>
                  <w:vAlign w:val="center"/>
                </w:tcPr>
                <w:p w14:paraId="13582A04">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厂界</w:t>
                  </w:r>
                </w:p>
              </w:tc>
              <w:tc>
                <w:tcPr>
                  <w:tcW w:w="972" w:type="dxa"/>
                  <w:tcBorders>
                    <w:tl2br w:val="nil"/>
                    <w:tr2bl w:val="nil"/>
                  </w:tcBorders>
                  <w:noWrap w:val="0"/>
                  <w:vAlign w:val="center"/>
                </w:tcPr>
                <w:p w14:paraId="67822284">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颗粒物</w:t>
                  </w:r>
                </w:p>
              </w:tc>
              <w:tc>
                <w:tcPr>
                  <w:tcW w:w="855" w:type="dxa"/>
                  <w:tcBorders>
                    <w:tl2br w:val="nil"/>
                    <w:tr2bl w:val="nil"/>
                  </w:tcBorders>
                  <w:noWrap w:val="0"/>
                  <w:vAlign w:val="center"/>
                </w:tcPr>
                <w:p w14:paraId="35446717">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
                      <w14:textFill>
                        <w14:solidFill>
                          <w14:schemeClr w14:val="tx1"/>
                        </w14:solidFill>
                      </w14:textFill>
                    </w:rPr>
                    <w:t>1次/年</w:t>
                  </w:r>
                </w:p>
              </w:tc>
              <w:tc>
                <w:tcPr>
                  <w:tcW w:w="3204" w:type="dxa"/>
                  <w:vMerge w:val="restart"/>
                  <w:tcBorders>
                    <w:tl2br w:val="nil"/>
                    <w:tr2bl w:val="nil"/>
                  </w:tcBorders>
                  <w:noWrap w:val="0"/>
                  <w:vAlign w:val="center"/>
                </w:tcPr>
                <w:p w14:paraId="0CF82CD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leftChars="0" w:right="0" w:firstLine="0" w:firstLineChars="0"/>
                    <w:textAlignment w:val="auto"/>
                    <w:rPr>
                      <w:rFonts w:hint="default"/>
                      <w:b w:val="0"/>
                      <w:bCs w:val="0"/>
                      <w:snapToGrid w:val="0"/>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厂界无组织颗粒物浓度执行</w:t>
                  </w:r>
                  <w:r>
                    <w:rPr>
                      <w:rFonts w:hint="eastAsia"/>
                      <w:color w:val="000000" w:themeColor="text1"/>
                      <w:sz w:val="21"/>
                      <w:szCs w:val="21"/>
                      <w:highlight w:val="none"/>
                      <w14:textFill>
                        <w14:solidFill>
                          <w14:schemeClr w14:val="tx1"/>
                        </w14:solidFill>
                      </w14:textFill>
                    </w:rPr>
                    <w:t>《2019年“十项重点工作”工作方案》</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唐办发</w:t>
                  </w:r>
                  <w:r>
                    <w:rPr>
                      <w:rFonts w:hint="eastAsia"/>
                      <w:color w:val="000000" w:themeColor="text1"/>
                      <w:sz w:val="21"/>
                      <w:szCs w:val="21"/>
                      <w:highlight w:val="none"/>
                      <w:lang w:eastAsia="zh-CN"/>
                      <w14:textFill>
                        <w14:solidFill>
                          <w14:schemeClr w14:val="tx1"/>
                        </w14:solidFill>
                      </w14:textFill>
                    </w:rPr>
                    <w:t>﹝2019﹞</w:t>
                  </w:r>
                  <w:r>
                    <w:rPr>
                      <w:rFonts w:hint="eastAsia"/>
                      <w:color w:val="000000" w:themeColor="text1"/>
                      <w:sz w:val="21"/>
                      <w:szCs w:val="21"/>
                      <w:highlight w:val="none"/>
                      <w14:textFill>
                        <w14:solidFill>
                          <w14:schemeClr w14:val="tx1"/>
                        </w14:solidFill>
                      </w14:textFill>
                    </w:rPr>
                    <w:t>3号</w:t>
                  </w:r>
                  <w:r>
                    <w:rPr>
                      <w:rFonts w:hint="eastAsia"/>
                      <w:color w:val="000000" w:themeColor="text1"/>
                      <w:sz w:val="21"/>
                      <w:szCs w:val="21"/>
                      <w:highlight w:val="none"/>
                      <w:lang w:eastAsia="zh-CN"/>
                      <w14:textFill>
                        <w14:solidFill>
                          <w14:schemeClr w14:val="tx1"/>
                        </w14:solidFill>
                      </w14:textFill>
                    </w:rPr>
                    <w:t>）：厂界无组织颗粒物浓度不超过0.5mg/m</w:t>
                  </w:r>
                  <w:r>
                    <w:rPr>
                      <w:rFonts w:hint="eastAsia"/>
                      <w:color w:val="000000" w:themeColor="text1"/>
                      <w:sz w:val="21"/>
                      <w:szCs w:val="21"/>
                      <w:highlight w:val="none"/>
                      <w:vertAlign w:val="superscript"/>
                      <w:lang w:val="en-US" w:eastAsia="zh-CN"/>
                      <w14:textFill>
                        <w14:solidFill>
                          <w14:schemeClr w14:val="tx1"/>
                        </w14:solidFill>
                      </w14:textFill>
                    </w:rPr>
                    <w:t>3</w:t>
                  </w:r>
                  <w:r>
                    <w:rPr>
                      <w:rFonts w:hint="eastAsia" w:cs="Times New Roman"/>
                      <w:color w:val="000000" w:themeColor="text1"/>
                      <w:kern w:val="0"/>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生产车间外无组织颗粒物</w:t>
                  </w:r>
                  <w:r>
                    <w:rPr>
                      <w:rFonts w:hint="eastAsia" w:cs="Times New Roman"/>
                      <w:color w:val="000000" w:themeColor="text1"/>
                      <w:kern w:val="0"/>
                      <w:sz w:val="21"/>
                      <w:szCs w:val="21"/>
                      <w:highlight w:val="none"/>
                      <w:lang w:val="en-US" w:eastAsia="zh-CN"/>
                      <w14:textFill>
                        <w14:solidFill>
                          <w14:schemeClr w14:val="tx1"/>
                        </w14:solidFill>
                      </w14:textFill>
                    </w:rPr>
                    <w:t>排放浓度执行</w:t>
                  </w:r>
                  <w:r>
                    <w:rPr>
                      <w:rFonts w:hint="eastAsia"/>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eastAsia="zh-CN"/>
                      <w14:textFill>
                        <w14:solidFill>
                          <w14:schemeClr w14:val="tx1"/>
                        </w14:solidFill>
                      </w14:textFill>
                    </w:rPr>
                    <w:t>石灰工业大气污染物排放标准</w:t>
                  </w:r>
                  <w:r>
                    <w:rPr>
                      <w:rFonts w:hint="eastAsia"/>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DB</w:t>
                  </w:r>
                  <w:r>
                    <w:rPr>
                      <w:rFonts w:hint="eastAsia"/>
                      <w:color w:val="000000" w:themeColor="text1"/>
                      <w:sz w:val="21"/>
                      <w:szCs w:val="21"/>
                      <w:highlight w:val="none"/>
                      <w:lang w:eastAsia="zh-CN"/>
                      <w14:textFill>
                        <w14:solidFill>
                          <w14:schemeClr w14:val="tx1"/>
                        </w14:solidFill>
                      </w14:textFill>
                    </w:rPr>
                    <w:t>13/1641-2025）</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表3企业厂区内大气污染物无组织排放限值5.0mg/m</w:t>
                  </w:r>
                  <w:r>
                    <w:rPr>
                      <w:rFonts w:hint="default"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tc>
            </w:tr>
            <w:tr w14:paraId="074DB3F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86" w:hRule="atLeast"/>
                <w:jc w:val="center"/>
              </w:trPr>
              <w:tc>
                <w:tcPr>
                  <w:tcW w:w="470" w:type="dxa"/>
                  <w:vMerge w:val="continue"/>
                  <w:tcBorders>
                    <w:tl2br w:val="nil"/>
                    <w:tr2bl w:val="nil"/>
                  </w:tcBorders>
                  <w:noWrap w:val="0"/>
                  <w:vAlign w:val="center"/>
                </w:tcPr>
                <w:p w14:paraId="19CBD4E3">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901" w:type="dxa"/>
                  <w:vMerge w:val="continue"/>
                  <w:tcBorders>
                    <w:tl2br w:val="nil"/>
                    <w:tr2bl w:val="nil"/>
                  </w:tcBorders>
                  <w:noWrap w:val="0"/>
                  <w:vAlign w:val="center"/>
                </w:tcPr>
                <w:p w14:paraId="0A36EBF0">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1395" w:type="dxa"/>
                  <w:tcBorders>
                    <w:tl2br w:val="nil"/>
                    <w:tr2bl w:val="nil"/>
                  </w:tcBorders>
                  <w:noWrap w:val="0"/>
                  <w:vAlign w:val="center"/>
                </w:tcPr>
                <w:p w14:paraId="742B110D">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车间外</w:t>
                  </w:r>
                </w:p>
              </w:tc>
              <w:tc>
                <w:tcPr>
                  <w:tcW w:w="972" w:type="dxa"/>
                  <w:tcBorders>
                    <w:tl2br w:val="nil"/>
                    <w:tr2bl w:val="nil"/>
                  </w:tcBorders>
                  <w:noWrap w:val="0"/>
                  <w:vAlign w:val="center"/>
                </w:tcPr>
                <w:p w14:paraId="7EE237EE">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颗粒物</w:t>
                  </w:r>
                </w:p>
              </w:tc>
              <w:tc>
                <w:tcPr>
                  <w:tcW w:w="855" w:type="dxa"/>
                  <w:tcBorders>
                    <w:tl2br w:val="nil"/>
                    <w:tr2bl w:val="nil"/>
                  </w:tcBorders>
                  <w:noWrap w:val="0"/>
                  <w:vAlign w:val="center"/>
                </w:tcPr>
                <w:p w14:paraId="47D8A620">
                  <w:pPr>
                    <w:keepNext w:val="0"/>
                    <w:keepLines w:val="0"/>
                    <w:pageBreakBefore w:val="0"/>
                    <w:widowControl w:val="0"/>
                    <w:shd w:val="clear"/>
                    <w:kinsoku w:val="0"/>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
                      <w14:textFill>
                        <w14:solidFill>
                          <w14:schemeClr w14:val="tx1"/>
                        </w14:solidFill>
                      </w14:textFill>
                    </w:rPr>
                    <w:t>1次/年</w:t>
                  </w:r>
                </w:p>
              </w:tc>
              <w:tc>
                <w:tcPr>
                  <w:tcW w:w="3204" w:type="dxa"/>
                  <w:vMerge w:val="continue"/>
                  <w:tcBorders>
                    <w:tl2br w:val="nil"/>
                    <w:tr2bl w:val="nil"/>
                  </w:tcBorders>
                  <w:noWrap w:val="0"/>
                  <w:vAlign w:val="center"/>
                </w:tcPr>
                <w:p w14:paraId="5F9F7DA6">
                  <w:pPr>
                    <w:pStyle w:val="119"/>
                    <w:keepNext w:val="0"/>
                    <w:keepLines w:val="0"/>
                    <w:pageBreakBefore w:val="0"/>
                    <w:widowControl w:val="0"/>
                    <w:shd w:val="clear"/>
                    <w:wordWrap/>
                    <w:overflowPunct/>
                    <w:topLinePunct w:val="0"/>
                    <w:autoSpaceDE/>
                    <w:autoSpaceDN/>
                    <w:bidi w:val="0"/>
                    <w:adjustRightInd/>
                    <w:snapToGrid/>
                    <w:spacing w:line="0" w:lineRule="atLeast"/>
                    <w:ind w:firstLine="0" w:firstLineChars="0"/>
                    <w:textAlignment w:val="auto"/>
                    <w:rPr>
                      <w:b w:val="0"/>
                      <w:bCs w:val="0"/>
                      <w:color w:val="000000" w:themeColor="text1"/>
                      <w:sz w:val="21"/>
                      <w:szCs w:val="21"/>
                      <w:highlight w:val="none"/>
                      <w14:textFill>
                        <w14:solidFill>
                          <w14:schemeClr w14:val="tx1"/>
                        </w14:solidFill>
                      </w14:textFill>
                    </w:rPr>
                  </w:pPr>
                </w:p>
              </w:tc>
            </w:tr>
          </w:tbl>
          <w:p w14:paraId="1CBD53CD">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Autospacing="0" w:line="500" w:lineRule="exact"/>
              <w:ind w:left="0" w:right="0" w:firstLine="482" w:firstLineChars="20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1.7</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大气环境评价结论</w:t>
            </w:r>
          </w:p>
          <w:p w14:paraId="6C4FF640">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Autospacing="0" w:line="500" w:lineRule="exact"/>
              <w:ind w:left="0" w:leftChars="0" w:right="0" w:rightChars="0" w:firstLine="480" w:firstLineChars="200"/>
              <w:jc w:val="both"/>
              <w:textAlignment w:val="auto"/>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项目所在区域环境空气质量属于不达标区。特征污染物TSP24小时平均浓度满足</w:t>
            </w:r>
            <w:r>
              <w:rPr>
                <w:rFonts w:hint="eastAsia"/>
                <w:color w:val="000000" w:themeColor="text1"/>
                <w:sz w:val="24"/>
                <w:szCs w:val="24"/>
                <w:highlight w:val="none"/>
                <w:lang w:eastAsia="zh-CN"/>
                <w14:textFill>
                  <w14:solidFill>
                    <w14:schemeClr w14:val="tx1"/>
                  </w14:solidFill>
                </w14:textFill>
              </w:rPr>
              <w:t>《环境空气质量标准》（GB3095-2026）</w:t>
            </w: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。本项目</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废气污染物</w:t>
            </w: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颗粒物采用</w:t>
            </w:r>
            <w:r>
              <w:rPr>
                <w:rFonts w:hint="eastAsia" w:cs="Times New Roman"/>
                <w:color w:val="000000" w:themeColor="text1"/>
                <w:kern w:val="2"/>
                <w:sz w:val="24"/>
                <w:szCs w:val="24"/>
                <w:highlight w:val="none"/>
                <w:lang w:val="en-US" w:eastAsia="zh-CN" w:bidi="ar"/>
                <w14:textFill>
                  <w14:solidFill>
                    <w14:schemeClr w14:val="tx1"/>
                  </w14:solidFill>
                </w14:textFill>
              </w:rPr>
              <w:t>袋式</w:t>
            </w: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除尘器处理后，通过排气筒排放至大气</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，同时采取车间封闭、</w:t>
            </w:r>
            <w:r>
              <w:rPr>
                <w:rFonts w:hint="eastAsia" w:cs="Times New Roman"/>
                <w:color w:val="000000" w:themeColor="text1"/>
                <w:kern w:val="2"/>
                <w:sz w:val="24"/>
                <w:szCs w:val="24"/>
                <w:highlight w:val="none"/>
                <w:lang w:val="en-US" w:eastAsia="zh-CN" w:bidi="ar"/>
                <w14:textFill>
                  <w14:solidFill>
                    <w14:schemeClr w14:val="tx1"/>
                  </w14:solidFill>
                </w14:textFill>
              </w:rPr>
              <w:t>喷淋抑尘、</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重力沉降等无组织排放控制措施</w:t>
            </w: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。项目完成后</w:t>
            </w:r>
            <w:r>
              <w:rPr>
                <w:rFonts w:hint="eastAsia" w:cs="Times New Roman"/>
                <w:color w:val="000000" w:themeColor="text1"/>
                <w:kern w:val="2"/>
                <w:sz w:val="24"/>
                <w:szCs w:val="24"/>
                <w:highlight w:val="none"/>
                <w:lang w:val="en-US" w:eastAsia="zh-CN" w:bidi="ar"/>
                <w14:textFill>
                  <w14:solidFill>
                    <w14:schemeClr w14:val="tx1"/>
                  </w14:solidFill>
                </w14:textFill>
              </w:rPr>
              <w:t>，本项目</w:t>
            </w: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颗粒物有组织排放量为</w:t>
            </w:r>
            <w:r>
              <w:rPr>
                <w:rFonts w:hint="eastAsia" w:cs="Times New Roman"/>
                <w:color w:val="000000" w:themeColor="text1"/>
                <w:kern w:val="2"/>
                <w:sz w:val="24"/>
                <w:szCs w:val="24"/>
                <w:highlight w:val="none"/>
                <w:lang w:val="en-US" w:eastAsia="zh-CN" w:bidi="ar"/>
                <w14:textFill>
                  <w14:solidFill>
                    <w14:schemeClr w14:val="tx1"/>
                  </w14:solidFill>
                </w14:textFill>
              </w:rPr>
              <w:t>0.808</w:t>
            </w: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t/a，满足总量控制指标要求</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w:t>
            </w:r>
            <w:r>
              <w:rPr>
                <w:rFonts w:hint="eastAsia" w:eastAsia="宋体" w:cs="Times New Roman"/>
                <w:bCs/>
                <w:color w:val="000000" w:themeColor="text1"/>
                <w:sz w:val="24"/>
                <w:highlight w:val="none"/>
                <w:lang w:eastAsia="zh-CN"/>
                <w14:textFill>
                  <w14:solidFill>
                    <w14:schemeClr w14:val="tx1"/>
                  </w14:solidFill>
                </w14:textFill>
              </w:rPr>
              <w:t>项目应严格落实各项废气治理措施，确保废气治理措施稳定运行和污染物长期稳定达标排放，同时加强厂区环境和人员管理，在切实做好上述废气防治措施的情况下，本项目环境影响可接受</w:t>
            </w:r>
            <w:r>
              <w:rPr>
                <w:rFonts w:hint="default" w:ascii="Times New Roman" w:hAnsi="Times New Roman" w:eastAsia="宋体" w:cs="Times New Roman"/>
                <w:bCs/>
                <w:color w:val="000000" w:themeColor="text1"/>
                <w:sz w:val="24"/>
                <w:highlight w:val="none"/>
                <w14:textFill>
                  <w14:solidFill>
                    <w14:schemeClr w14:val="tx1"/>
                  </w14:solidFill>
                </w14:textFill>
              </w:rPr>
              <w:t>。</w:t>
            </w:r>
          </w:p>
          <w:p w14:paraId="2914CD9C">
            <w:pPr>
              <w:pStyle w:val="15"/>
              <w:keepNext w:val="0"/>
              <w:keepLines w:val="0"/>
              <w:pageBreakBefore w:val="0"/>
              <w:widowControl w:val="0"/>
              <w:shd w:val="clear"/>
              <w:kinsoku/>
              <w:wordWrap/>
              <w:overflowPunct/>
              <w:topLinePunct w:val="0"/>
              <w:autoSpaceDE/>
              <w:autoSpaceDN/>
              <w:bidi w:val="0"/>
              <w:adjustRightInd/>
              <w:snapToGrid/>
              <w:spacing w:after="0" w:line="480" w:lineRule="exact"/>
              <w:ind w:left="0" w:leftChars="0" w:right="0" w:rightChars="0" w:firstLine="482" w:firstLineChars="200"/>
              <w:textAlignment w:val="auto"/>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w:t>
            </w:r>
            <w:r>
              <w:rPr>
                <w:rFonts w:hint="eastAsia" w:cs="Times New Roman"/>
                <w:b/>
                <w:bCs/>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废水</w:t>
            </w:r>
          </w:p>
          <w:p w14:paraId="6B088DA9">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本项目不设食堂、宿舍、洗浴设施，厕所为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防渗</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厕所</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本项目废水主要为生活污水，生</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活污水产生量为0.</w:t>
            </w:r>
            <w:r>
              <w:rPr>
                <w:rFonts w:hint="eastAsia" w:cs="Times New Roman"/>
                <w:color w:val="000000" w:themeColor="text1"/>
                <w:sz w:val="24"/>
                <w:szCs w:val="24"/>
                <w:highlight w:val="none"/>
                <w:lang w:val="en-US" w:eastAsia="zh-CN"/>
                <w14:textFill>
                  <w14:solidFill>
                    <w14:schemeClr w14:val="tx1"/>
                  </w14:solidFill>
                </w14:textFill>
              </w:rPr>
              <w:t>072</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21.6</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生活污水仅盥洗废水</w:t>
            </w:r>
            <w:r>
              <w:rPr>
                <w:rFonts w:hint="eastAsia" w:cs="Times New Roman"/>
                <w:color w:val="000000" w:themeColor="text1"/>
                <w:sz w:val="24"/>
                <w:szCs w:val="24"/>
                <w:highlight w:val="none"/>
                <w:lang w:val="en-US" w:eastAsia="zh-CN"/>
                <w14:textFill>
                  <w14:solidFill>
                    <w14:schemeClr w14:val="tx1"/>
                  </w14:solidFill>
                </w14:textFill>
              </w:rPr>
              <w:t>（主要污染因子为COD、SS）</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，水质简单，</w:t>
            </w:r>
            <w:r>
              <w:rPr>
                <w:rFonts w:hint="eastAsia" w:cs="Times New Roman"/>
                <w:color w:val="000000" w:themeColor="text1"/>
                <w:sz w:val="24"/>
                <w:szCs w:val="24"/>
                <w:highlight w:val="none"/>
                <w:lang w:val="en-US" w:eastAsia="zh-CN"/>
                <w14:textFill>
                  <w14:solidFill>
                    <w14:schemeClr w14:val="tx1"/>
                  </w14:solidFill>
                </w14:textFill>
              </w:rPr>
              <w:t>泼洒抑尘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，不外排</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14:paraId="7A113623">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雾化喷淋用水</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均蒸发消耗，</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无废水产生及外排</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01221C88">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本项目依托现有洗车平台（设置有沉淀池和清水池），洗车废水主要污染物为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SS，经沉淀池沉淀后，上层清水进入清水池回用于运输车辆冲洗，车辆冲洗对水质要求较低，能够满足回用要求，因此本项目洗车平台车辆清洗废水回用可行。</w:t>
            </w:r>
          </w:p>
          <w:p w14:paraId="4787B51A">
            <w:pPr>
              <w:pStyle w:val="80"/>
              <w:keepNext w:val="0"/>
              <w:keepLines w:val="0"/>
              <w:pageBreakBefore w:val="0"/>
              <w:widowControl w:val="0"/>
              <w:shd w:val="clear"/>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本项目无废水外排，不会对周边水环境质量产生不利影响。</w:t>
            </w:r>
          </w:p>
          <w:p w14:paraId="797DA415">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default" w:ascii="Times New Roman" w:hAnsi="Times New Roman" w:eastAsia="宋体" w:cs="Times New Roman"/>
                <w:b/>
                <w:bCs w:val="0"/>
                <w:color w:val="000000" w:themeColor="text1"/>
                <w:spacing w:val="-10"/>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10"/>
                <w:sz w:val="24"/>
                <w:szCs w:val="24"/>
                <w:highlight w:val="none"/>
                <w:lang w:val="en-US" w:eastAsia="zh-CN"/>
                <w14:textFill>
                  <w14:solidFill>
                    <w14:schemeClr w14:val="tx1"/>
                  </w14:solidFill>
                </w14:textFill>
              </w:rPr>
              <w:t>3</w:t>
            </w:r>
            <w:r>
              <w:rPr>
                <w:rFonts w:hint="eastAsia" w:cs="Times New Roman"/>
                <w:b/>
                <w:bCs w:val="0"/>
                <w:color w:val="000000" w:themeColor="text1"/>
                <w:spacing w:val="-10"/>
                <w:sz w:val="24"/>
                <w:szCs w:val="24"/>
                <w:highlight w:val="none"/>
                <w:lang w:val="en-US" w:eastAsia="zh-CN"/>
                <w14:textFill>
                  <w14:solidFill>
                    <w14:schemeClr w14:val="tx1"/>
                  </w14:solidFill>
                </w14:textFill>
              </w:rPr>
              <w:t>、</w:t>
            </w:r>
            <w:r>
              <w:rPr>
                <w:rFonts w:hint="default" w:ascii="Times New Roman" w:hAnsi="Times New Roman" w:eastAsia="宋体" w:cs="Times New Roman"/>
                <w:b/>
                <w:bCs w:val="0"/>
                <w:color w:val="000000" w:themeColor="text1"/>
                <w:spacing w:val="-10"/>
                <w:sz w:val="24"/>
                <w:szCs w:val="24"/>
                <w:highlight w:val="none"/>
                <w:lang w:val="en-US" w:eastAsia="zh-CN"/>
                <w14:textFill>
                  <w14:solidFill>
                    <w14:schemeClr w14:val="tx1"/>
                  </w14:solidFill>
                </w14:textFill>
              </w:rPr>
              <w:t>噪声</w:t>
            </w:r>
          </w:p>
          <w:p w14:paraId="345BAE71">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default" w:ascii="Times New Roman" w:hAnsi="Times New Roman" w:eastAsia="宋体" w:cs="Times New Roman"/>
                <w:b/>
                <w:bCs w:val="0"/>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sz w:val="24"/>
                <w:szCs w:val="24"/>
                <w:highlight w:val="none"/>
                <w:lang w:val="en-US" w:eastAsia="zh-CN"/>
                <w14:textFill>
                  <w14:solidFill>
                    <w14:schemeClr w14:val="tx1"/>
                  </w14:solidFill>
                </w14:textFill>
              </w:rPr>
              <w:t>3.1本项目噪声污染源分析</w:t>
            </w:r>
          </w:p>
          <w:p w14:paraId="73F63129">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本项目营运期主要噪声源为生产设备运行时产生的噪声，噪声源强</w:t>
            </w:r>
            <w:r>
              <w:rPr>
                <w:rFonts w:hint="eastAsia"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75</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w:t>
            </w:r>
            <w:r>
              <w:rPr>
                <w:rFonts w:hint="eastAsia" w:cs="Times New Roman"/>
                <w:bCs/>
                <w:color w:val="000000" w:themeColor="text1"/>
                <w:spacing w:val="0"/>
                <w:sz w:val="24"/>
                <w:szCs w:val="24"/>
                <w:highlight w:val="none"/>
                <w:lang w:val="en-US" w:eastAsia="zh-CN"/>
                <w14:textFill>
                  <w14:solidFill>
                    <w14:schemeClr w14:val="tx1"/>
                  </w14:solidFill>
                </w14:textFill>
              </w:rPr>
              <w:t>95</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dB（A）。根据建设单位提供信息，为降低各类设备产生的噪声对周围环境的影响，满足相应的区域声环境标准，采取如下防治措施：</w:t>
            </w:r>
          </w:p>
          <w:p w14:paraId="0A02F937">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eastAsia"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①在组装设备的机座上均安装减振装置，如减振垫片等，减少振动和噪声传播</w:t>
            </w:r>
            <w:r>
              <w:rPr>
                <w:rFonts w:hint="eastAsia"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本次环评取基础减振降噪</w:t>
            </w:r>
            <w:r>
              <w:rPr>
                <w:rFonts w:hint="eastAsia" w:cs="Times New Roman"/>
                <w:bCs/>
                <w:color w:val="000000" w:themeColor="text1"/>
                <w:spacing w:val="0"/>
                <w:sz w:val="24"/>
                <w:szCs w:val="24"/>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dB</w:t>
            </w:r>
            <w:r>
              <w:rPr>
                <w:rFonts w:hint="eastAsia" w:cs="Times New Roman"/>
                <w:bCs/>
                <w:color w:val="000000" w:themeColor="text1"/>
                <w:spacing w:val="0"/>
                <w:sz w:val="24"/>
                <w:szCs w:val="24"/>
                <w:highlight w:val="none"/>
                <w:lang w:val="en-US" w:eastAsia="zh-CN"/>
                <w14:textFill>
                  <w14:solidFill>
                    <w14:schemeClr w14:val="tx1"/>
                  </w14:solidFill>
                </w14:textFill>
              </w:rPr>
              <w:t>（A）</w:t>
            </w:r>
            <w:r>
              <w:rPr>
                <w:rFonts w:hint="eastAsia"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②运营期加强对噪声设备的维护和保养等</w:t>
            </w:r>
            <w:r>
              <w:rPr>
                <w:rFonts w:hint="eastAsia"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③合理的总平面布置，进行有效的墙体隔声等，厂房</w:t>
            </w:r>
            <w:r>
              <w:rPr>
                <w:rFonts w:hint="eastAsia" w:cs="Times New Roman"/>
                <w:bCs/>
                <w:color w:val="000000" w:themeColor="text1"/>
                <w:spacing w:val="0"/>
                <w:sz w:val="24"/>
                <w:szCs w:val="24"/>
                <w:highlight w:val="none"/>
                <w:lang w:val="en-US" w:eastAsia="zh-CN"/>
                <w14:textFill>
                  <w14:solidFill>
                    <w14:schemeClr w14:val="tx1"/>
                  </w14:solidFill>
                </w14:textFill>
              </w:rPr>
              <w:t>墙体围护结构为基础墙+单层彩钢结构</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w:t>
            </w:r>
            <w:r>
              <w:rPr>
                <w:rFonts w:hint="eastAsia" w:cs="Times New Roman"/>
                <w:bCs/>
                <w:color w:val="000000" w:themeColor="text1"/>
                <w:spacing w:val="0"/>
                <w:sz w:val="24"/>
                <w:szCs w:val="24"/>
                <w:highlight w:val="none"/>
                <w:lang w:val="en-US" w:eastAsia="zh-CN"/>
                <w14:textFill>
                  <w14:solidFill>
                    <w14:schemeClr w14:val="tx1"/>
                  </w14:solidFill>
                </w14:textFill>
              </w:rPr>
              <w:t>墙体</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隔声值取</w:t>
            </w:r>
            <w:r>
              <w:rPr>
                <w:rFonts w:hint="eastAsia" w:cs="Times New Roman"/>
                <w:bCs/>
                <w:color w:val="000000" w:themeColor="text1"/>
                <w:spacing w:val="0"/>
                <w:sz w:val="24"/>
                <w:szCs w:val="24"/>
                <w:highlight w:val="none"/>
                <w:lang w:val="en-US" w:eastAsia="zh-CN"/>
                <w14:textFill>
                  <w14:solidFill>
                    <w14:schemeClr w14:val="tx1"/>
                  </w14:solidFill>
                </w14:textFill>
              </w:rPr>
              <w:t>15</w:t>
            </w: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dB</w:t>
            </w:r>
            <w:r>
              <w:rPr>
                <w:rFonts w:hint="eastAsia" w:cs="Times New Roman"/>
                <w:bCs/>
                <w:color w:val="000000" w:themeColor="text1"/>
                <w:spacing w:val="0"/>
                <w:sz w:val="24"/>
                <w:szCs w:val="24"/>
                <w:highlight w:val="none"/>
                <w:lang w:val="en-US" w:eastAsia="zh-CN"/>
                <w14:textFill>
                  <w14:solidFill>
                    <w14:schemeClr w14:val="tx1"/>
                  </w14:solidFill>
                </w14:textFill>
              </w:rPr>
              <w:t>（A）</w:t>
            </w:r>
            <w:r>
              <w:rPr>
                <w:rFonts w:hint="eastAsia"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w:t>
            </w:r>
          </w:p>
          <w:p w14:paraId="4DFAAE17">
            <w:pPr>
              <w:keepNext w:val="0"/>
              <w:keepLines w:val="0"/>
              <w:pageBreakBefore w:val="0"/>
              <w:widowControl w:val="0"/>
              <w:shd w:val="clear"/>
              <w:kinsoku/>
              <w:wordWrap/>
              <w:overflowPunct/>
              <w:topLinePunct w:val="0"/>
              <w:autoSpaceDE/>
              <w:autoSpaceDN/>
              <w:bidi w:val="0"/>
              <w:adjustRightInd/>
              <w:snapToGrid/>
              <w:spacing w:line="480" w:lineRule="exact"/>
              <w:jc w:val="both"/>
              <w:textAlignment w:val="auto"/>
              <w:outlineLvl w:val="9"/>
              <w:rPr>
                <w:rFonts w:hint="default"/>
                <w:color w:val="000000" w:themeColor="text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pacing w:val="0"/>
                <w:sz w:val="24"/>
                <w:szCs w:val="24"/>
                <w:highlight w:val="none"/>
                <w:lang w:val="en-US" w:eastAsia="zh-CN"/>
                <w14:textFill>
                  <w14:solidFill>
                    <w14:schemeClr w14:val="tx1"/>
                  </w14:solidFill>
                </w14:textFill>
              </w:rPr>
              <w:t>项目噪声污染源及治理措施见下表</w:t>
            </w:r>
            <w:r>
              <w:rPr>
                <w:rFonts w:hint="eastAsia" w:cs="Times New Roman"/>
                <w:bCs/>
                <w:color w:val="000000" w:themeColor="text1"/>
                <w:spacing w:val="0"/>
                <w:sz w:val="24"/>
                <w:szCs w:val="24"/>
                <w:highlight w:val="none"/>
                <w:lang w:val="en-US" w:eastAsia="zh-CN"/>
                <w14:textFill>
                  <w14:solidFill>
                    <w14:schemeClr w14:val="tx1"/>
                  </w14:solidFill>
                </w14:textFill>
              </w:rPr>
              <w:t>：</w:t>
            </w:r>
          </w:p>
        </w:tc>
      </w:tr>
    </w:tbl>
    <w:p w14:paraId="1E2ED5C3">
      <w:pPr>
        <w:pStyle w:val="15"/>
        <w:shd w:val="clear"/>
        <w:rPr>
          <w:color w:val="000000" w:themeColor="text1"/>
          <w:highlight w:val="none"/>
          <w14:textFill>
            <w14:solidFill>
              <w14:schemeClr w14:val="tx1"/>
            </w14:solidFill>
          </w14:textFill>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14668" w:type="dxa"/>
        <w:jc w:val="center"/>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582"/>
        <w:gridCol w:w="14086"/>
      </w:tblGrid>
      <w:tr w14:paraId="6AC58A28">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rPr>
          <w:trHeight w:val="8955" w:hRule="atLeast"/>
          <w:jc w:val="center"/>
        </w:trPr>
        <w:tc>
          <w:tcPr>
            <w:tcW w:w="582" w:type="dxa"/>
            <w:tcBorders>
              <w:tl2br w:val="nil"/>
              <w:tr2bl w:val="nil"/>
            </w:tcBorders>
            <w:vAlign w:val="center"/>
          </w:tcPr>
          <w:p w14:paraId="2C0004E5">
            <w:pPr>
              <w:pStyle w:val="43"/>
              <w:keepNext w:val="0"/>
              <w:keepLines w:val="0"/>
              <w:pageBreakBefore w:val="0"/>
              <w:widowControl w:val="0"/>
              <w:shd w:val="clear"/>
              <w:kinsoku/>
              <w:wordWrap/>
              <w:overflowPunct/>
              <w:topLinePunct w:val="0"/>
              <w:autoSpaceDE/>
              <w:autoSpaceDN/>
              <w:bidi w:val="0"/>
              <w:adjustRightInd/>
              <w:snapToGrid/>
              <w:spacing w:before="0" w:after="0"/>
              <w:jc w:val="center"/>
              <w:textAlignment w:val="auto"/>
              <w:rPr>
                <w:rFonts w:hint="default" w:ascii="Times New Roman" w:hAnsi="Times New Roman" w:cs="Times New Roman"/>
                <w:color w:val="000000" w:themeColor="text1"/>
                <w:highlight w:val="none"/>
                <w:vertAlign w:val="baseline"/>
                <w14:textFill>
                  <w14:solidFill>
                    <w14:schemeClr w14:val="tx1"/>
                  </w14:solidFill>
                </w14:textFill>
              </w:rPr>
            </w:pPr>
          </w:p>
        </w:tc>
        <w:tc>
          <w:tcPr>
            <w:tcW w:w="14086" w:type="dxa"/>
            <w:tcBorders>
              <w:tl2br w:val="nil"/>
              <w:tr2bl w:val="nil"/>
            </w:tcBorders>
          </w:tcPr>
          <w:p w14:paraId="033285E5">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室内</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噪声污染源及治理措施一览表</w:t>
            </w:r>
          </w:p>
          <w:tbl>
            <w:tblPr>
              <w:tblStyle w:val="32"/>
              <w:tblW w:w="13579" w:type="dxa"/>
              <w:tblInd w:w="93" w:type="dxa"/>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Layout w:type="fixed"/>
              <w:tblCellMar>
                <w:top w:w="0" w:type="dxa"/>
                <w:left w:w="108" w:type="dxa"/>
                <w:bottom w:w="0" w:type="dxa"/>
                <w:right w:w="108" w:type="dxa"/>
              </w:tblCellMar>
            </w:tblPr>
            <w:tblGrid>
              <w:gridCol w:w="631"/>
              <w:gridCol w:w="2134"/>
              <w:gridCol w:w="1065"/>
              <w:gridCol w:w="701"/>
              <w:gridCol w:w="504"/>
              <w:gridCol w:w="504"/>
              <w:gridCol w:w="504"/>
              <w:gridCol w:w="505"/>
              <w:gridCol w:w="607"/>
              <w:gridCol w:w="584"/>
              <w:gridCol w:w="658"/>
              <w:gridCol w:w="631"/>
              <w:gridCol w:w="526"/>
              <w:gridCol w:w="526"/>
              <w:gridCol w:w="526"/>
              <w:gridCol w:w="533"/>
              <w:gridCol w:w="609"/>
              <w:gridCol w:w="609"/>
              <w:gridCol w:w="609"/>
              <w:gridCol w:w="613"/>
            </w:tblGrid>
            <w:tr w14:paraId="6C7932A8">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733" w:hRule="atLeast"/>
              </w:trPr>
              <w:tc>
                <w:tcPr>
                  <w:tcW w:w="2765" w:type="dxa"/>
                  <w:gridSpan w:val="2"/>
                  <w:vMerge w:val="restart"/>
                  <w:tcBorders>
                    <w:tl2br w:val="nil"/>
                    <w:tr2bl w:val="nil"/>
                  </w:tcBorders>
                  <w:shd w:val="clear" w:color="auto" w:fill="auto"/>
                  <w:vAlign w:val="center"/>
                </w:tcPr>
                <w:p w14:paraId="4544337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Style w:val="68"/>
                      <w:rFonts w:hint="default" w:ascii="Times New Roman" w:hAnsi="Times New Roman" w:cs="Times New Roman"/>
                      <w:color w:val="000000" w:themeColor="text1"/>
                      <w:sz w:val="21"/>
                      <w:szCs w:val="21"/>
                      <w:highlight w:val="none"/>
                      <w:vertAlign w:val="baseline"/>
                      <w:lang w:val="en-US" w:eastAsia="zh-CN" w:bidi="ar"/>
                      <w14:textFill>
                        <w14:solidFill>
                          <w14:schemeClr w14:val="tx1"/>
                        </w14:solidFill>
                      </w14:textFill>
                    </w:rPr>
                    <w:t>设备</w:t>
                  </w:r>
                  <w:r>
                    <w:rPr>
                      <w:rStyle w:val="81"/>
                      <w:rFonts w:hint="default" w:ascii="Times New Roman" w:hAnsi="Times New Roman" w:cs="Times New Roman"/>
                      <w:color w:val="000000" w:themeColor="text1"/>
                      <w:sz w:val="21"/>
                      <w:szCs w:val="21"/>
                      <w:highlight w:val="none"/>
                      <w:vertAlign w:val="baseline"/>
                      <w:lang w:val="en-US" w:eastAsia="zh-CN" w:bidi="ar"/>
                      <w14:textFill>
                        <w14:solidFill>
                          <w14:schemeClr w14:val="tx1"/>
                        </w14:solidFill>
                      </w14:textFill>
                    </w:rPr>
                    <w:t>序号和名称</w:t>
                  </w:r>
                </w:p>
              </w:tc>
              <w:tc>
                <w:tcPr>
                  <w:tcW w:w="1065" w:type="dxa"/>
                  <w:vMerge w:val="restart"/>
                  <w:tcBorders>
                    <w:tl2br w:val="nil"/>
                    <w:tr2bl w:val="nil"/>
                  </w:tcBorders>
                  <w:shd w:val="clear" w:color="auto" w:fill="auto"/>
                  <w:vAlign w:val="center"/>
                </w:tcPr>
                <w:p w14:paraId="0F723DD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声压级距离设备1m处</w:t>
                  </w:r>
                  <w: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t>/dB(A)</w:t>
                  </w:r>
                </w:p>
              </w:tc>
              <w:tc>
                <w:tcPr>
                  <w:tcW w:w="701" w:type="dxa"/>
                  <w:vMerge w:val="restart"/>
                  <w:tcBorders>
                    <w:tl2br w:val="nil"/>
                    <w:tr2bl w:val="nil"/>
                  </w:tcBorders>
                  <w:shd w:val="clear" w:color="auto" w:fill="auto"/>
                  <w:vAlign w:val="center"/>
                </w:tcPr>
                <w:p w14:paraId="72C7CCB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降噪效果</w:t>
                  </w:r>
                  <w: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t>/dB(A)</w:t>
                  </w:r>
                </w:p>
              </w:tc>
              <w:tc>
                <w:tcPr>
                  <w:tcW w:w="2017" w:type="dxa"/>
                  <w:gridSpan w:val="4"/>
                  <w:tcBorders>
                    <w:tl2br w:val="nil"/>
                    <w:tr2bl w:val="nil"/>
                  </w:tcBorders>
                  <w:shd w:val="clear" w:color="auto" w:fill="auto"/>
                  <w:vAlign w:val="center"/>
                </w:tcPr>
                <w:p w14:paraId="549FB15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Style w:val="81"/>
                      <w:rFonts w:hint="default" w:ascii="Times New Roman" w:hAnsi="Times New Roman" w:cs="Times New Roman"/>
                      <w:color w:val="000000" w:themeColor="text1"/>
                      <w:sz w:val="21"/>
                      <w:szCs w:val="21"/>
                      <w:highlight w:val="none"/>
                      <w:vertAlign w:val="baseline"/>
                      <w:lang w:val="en-US" w:eastAsia="zh-CN" w:bidi="ar"/>
                      <w14:textFill>
                        <w14:solidFill>
                          <w14:schemeClr w14:val="tx1"/>
                        </w14:solidFill>
                      </w14:textFill>
                    </w:rPr>
                    <w:t>距室内边界距离</w:t>
                  </w:r>
                  <w: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t>/m</w:t>
                  </w:r>
                </w:p>
              </w:tc>
              <w:tc>
                <w:tcPr>
                  <w:tcW w:w="2480" w:type="dxa"/>
                  <w:gridSpan w:val="4"/>
                  <w:tcBorders>
                    <w:tl2br w:val="nil"/>
                    <w:tr2bl w:val="nil"/>
                  </w:tcBorders>
                  <w:shd w:val="clear" w:color="auto" w:fill="auto"/>
                  <w:vAlign w:val="center"/>
                </w:tcPr>
                <w:p w14:paraId="1A22181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pPr>
                  <w:r>
                    <w:rPr>
                      <w:rStyle w:val="81"/>
                      <w:rFonts w:hint="default" w:ascii="Times New Roman" w:hAnsi="Times New Roman" w:cs="Times New Roman"/>
                      <w:color w:val="000000" w:themeColor="text1"/>
                      <w:sz w:val="21"/>
                      <w:szCs w:val="21"/>
                      <w:highlight w:val="none"/>
                      <w:vertAlign w:val="baseline"/>
                      <w:lang w:val="en-US" w:eastAsia="zh-CN" w:bidi="ar"/>
                      <w14:textFill>
                        <w14:solidFill>
                          <w14:schemeClr w14:val="tx1"/>
                        </w14:solidFill>
                      </w14:textFill>
                    </w:rPr>
                    <w:t>室内边界声级</w:t>
                  </w:r>
                  <w: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t>/dB(A)</w:t>
                  </w:r>
                </w:p>
                <w:p w14:paraId="0679DEF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t>L</w:t>
                  </w:r>
                  <w:r>
                    <w:rPr>
                      <w:rStyle w:val="82"/>
                      <w:rFonts w:hint="default" w:ascii="Times New Roman" w:hAnsi="Times New Roman" w:eastAsia="宋体" w:cs="Times New Roman"/>
                      <w:color w:val="000000" w:themeColor="text1"/>
                      <w:sz w:val="21"/>
                      <w:szCs w:val="21"/>
                      <w:highlight w:val="none"/>
                      <w:vertAlign w:val="subscript"/>
                      <w:lang w:val="en-US" w:eastAsia="zh-CN" w:bidi="ar"/>
                      <w14:textFill>
                        <w14:solidFill>
                          <w14:schemeClr w14:val="tx1"/>
                        </w14:solidFill>
                      </w14:textFill>
                    </w:rPr>
                    <w:t>P1</w:t>
                  </w:r>
                </w:p>
              </w:tc>
              <w:tc>
                <w:tcPr>
                  <w:tcW w:w="2111" w:type="dxa"/>
                  <w:gridSpan w:val="4"/>
                  <w:tcBorders>
                    <w:tl2br w:val="nil"/>
                    <w:tr2bl w:val="nil"/>
                  </w:tcBorders>
                  <w:shd w:val="clear" w:color="auto" w:fill="auto"/>
                  <w:vAlign w:val="center"/>
                </w:tcPr>
                <w:p w14:paraId="69DA17F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Style w:val="81"/>
                      <w:rFonts w:hint="default" w:ascii="Times New Roman" w:hAnsi="Times New Roman" w:cs="Times New Roman"/>
                      <w:color w:val="000000" w:themeColor="text1"/>
                      <w:sz w:val="21"/>
                      <w:szCs w:val="21"/>
                      <w:highlight w:val="none"/>
                      <w:vertAlign w:val="baseline"/>
                      <w:lang w:val="en-US" w:eastAsia="zh-CN" w:bidi="ar"/>
                      <w14:textFill>
                        <w14:solidFill>
                          <w14:schemeClr w14:val="tx1"/>
                        </w14:solidFill>
                      </w14:textFill>
                    </w:rPr>
                    <w:t>建筑物插入损失</w:t>
                  </w:r>
                  <w: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t>/dB(A)</w:t>
                  </w:r>
                </w:p>
              </w:tc>
              <w:tc>
                <w:tcPr>
                  <w:tcW w:w="2440" w:type="dxa"/>
                  <w:gridSpan w:val="4"/>
                  <w:tcBorders>
                    <w:tl2br w:val="nil"/>
                    <w:tr2bl w:val="nil"/>
                  </w:tcBorders>
                  <w:shd w:val="clear" w:color="auto" w:fill="auto"/>
                  <w:vAlign w:val="center"/>
                </w:tcPr>
                <w:p w14:paraId="4DD4844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Style w:val="81"/>
                      <w:rFonts w:hint="default" w:ascii="Times New Roman" w:hAnsi="Times New Roman" w:cs="Times New Roman"/>
                      <w:color w:val="000000" w:themeColor="text1"/>
                      <w:sz w:val="21"/>
                      <w:szCs w:val="21"/>
                      <w:highlight w:val="none"/>
                      <w:vertAlign w:val="baseline"/>
                      <w:lang w:val="en-US" w:eastAsia="zh-CN" w:bidi="ar"/>
                      <w14:textFill>
                        <w14:solidFill>
                          <w14:schemeClr w14:val="tx1"/>
                        </w14:solidFill>
                      </w14:textFill>
                    </w:rPr>
                    <w:t>建筑物外</w:t>
                  </w:r>
                  <w: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t>1m</w:t>
                  </w:r>
                  <w:r>
                    <w:rPr>
                      <w:rStyle w:val="81"/>
                      <w:rFonts w:hint="default" w:ascii="Times New Roman" w:hAnsi="Times New Roman" w:cs="Times New Roman"/>
                      <w:color w:val="000000" w:themeColor="text1"/>
                      <w:sz w:val="21"/>
                      <w:szCs w:val="21"/>
                      <w:highlight w:val="none"/>
                      <w:vertAlign w:val="baseline"/>
                      <w:lang w:val="en-US" w:eastAsia="zh-CN" w:bidi="ar"/>
                      <w14:textFill>
                        <w14:solidFill>
                          <w14:schemeClr w14:val="tx1"/>
                        </w14:solidFill>
                      </w14:textFill>
                    </w:rPr>
                    <w:t>噪声声压级</w:t>
                  </w:r>
                  <w:r>
                    <w:rPr>
                      <w:rStyle w:val="82"/>
                      <w:rFonts w:hint="default" w:ascii="Times New Roman" w:hAnsi="Times New Roman" w:eastAsia="宋体" w:cs="Times New Roman"/>
                      <w:color w:val="000000" w:themeColor="text1"/>
                      <w:sz w:val="21"/>
                      <w:szCs w:val="21"/>
                      <w:highlight w:val="none"/>
                      <w:vertAlign w:val="baseline"/>
                      <w:lang w:val="en-US" w:eastAsia="zh-CN" w:bidi="ar"/>
                      <w14:textFill>
                        <w14:solidFill>
                          <w14:schemeClr w14:val="tx1"/>
                        </w14:solidFill>
                      </w14:textFill>
                    </w:rPr>
                    <w:t>/dB(A)L</w:t>
                  </w:r>
                  <w:r>
                    <w:rPr>
                      <w:rStyle w:val="82"/>
                      <w:rFonts w:hint="default" w:ascii="Times New Roman" w:hAnsi="Times New Roman" w:eastAsia="宋体" w:cs="Times New Roman"/>
                      <w:color w:val="000000" w:themeColor="text1"/>
                      <w:sz w:val="21"/>
                      <w:szCs w:val="21"/>
                      <w:highlight w:val="none"/>
                      <w:vertAlign w:val="subscript"/>
                      <w:lang w:val="en-US" w:eastAsia="zh-CN" w:bidi="ar"/>
                      <w14:textFill>
                        <w14:solidFill>
                          <w14:schemeClr w14:val="tx1"/>
                        </w14:solidFill>
                      </w14:textFill>
                    </w:rPr>
                    <w:t>P2</w:t>
                  </w:r>
                </w:p>
              </w:tc>
            </w:tr>
            <w:tr w14:paraId="0D9D0912">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5" w:hRule="atLeast"/>
              </w:trPr>
              <w:tc>
                <w:tcPr>
                  <w:tcW w:w="2765" w:type="dxa"/>
                  <w:gridSpan w:val="2"/>
                  <w:vMerge w:val="continue"/>
                  <w:tcBorders>
                    <w:tl2br w:val="nil"/>
                    <w:tr2bl w:val="nil"/>
                  </w:tcBorders>
                  <w:shd w:val="clear" w:color="auto" w:fill="auto"/>
                  <w:vAlign w:val="center"/>
                </w:tcPr>
                <w:p w14:paraId="30827BA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p>
              </w:tc>
              <w:tc>
                <w:tcPr>
                  <w:tcW w:w="1065" w:type="dxa"/>
                  <w:vMerge w:val="continue"/>
                  <w:tcBorders>
                    <w:tl2br w:val="nil"/>
                    <w:tr2bl w:val="nil"/>
                  </w:tcBorders>
                  <w:shd w:val="clear" w:color="auto" w:fill="auto"/>
                  <w:vAlign w:val="center"/>
                </w:tcPr>
                <w:p w14:paraId="12C3ACB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p>
              </w:tc>
              <w:tc>
                <w:tcPr>
                  <w:tcW w:w="701" w:type="dxa"/>
                  <w:vMerge w:val="continue"/>
                  <w:tcBorders>
                    <w:tl2br w:val="nil"/>
                    <w:tr2bl w:val="nil"/>
                  </w:tcBorders>
                  <w:shd w:val="clear" w:color="auto" w:fill="auto"/>
                  <w:vAlign w:val="center"/>
                </w:tcPr>
                <w:p w14:paraId="2CF2B17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p>
              </w:tc>
              <w:tc>
                <w:tcPr>
                  <w:tcW w:w="504" w:type="dxa"/>
                  <w:tcBorders>
                    <w:tl2br w:val="nil"/>
                    <w:tr2bl w:val="nil"/>
                  </w:tcBorders>
                  <w:shd w:val="clear" w:color="auto" w:fill="auto"/>
                  <w:vAlign w:val="center"/>
                </w:tcPr>
                <w:p w14:paraId="647BCB1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东</w:t>
                  </w:r>
                </w:p>
              </w:tc>
              <w:tc>
                <w:tcPr>
                  <w:tcW w:w="504" w:type="dxa"/>
                  <w:tcBorders>
                    <w:tl2br w:val="nil"/>
                    <w:tr2bl w:val="nil"/>
                  </w:tcBorders>
                  <w:shd w:val="clear" w:color="auto" w:fill="auto"/>
                  <w:vAlign w:val="center"/>
                </w:tcPr>
                <w:p w14:paraId="612BFA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西</w:t>
                  </w:r>
                </w:p>
              </w:tc>
              <w:tc>
                <w:tcPr>
                  <w:tcW w:w="504" w:type="dxa"/>
                  <w:tcBorders>
                    <w:tl2br w:val="nil"/>
                    <w:tr2bl w:val="nil"/>
                  </w:tcBorders>
                  <w:shd w:val="clear" w:color="auto" w:fill="auto"/>
                  <w:vAlign w:val="center"/>
                </w:tcPr>
                <w:p w14:paraId="2BDA07C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南</w:t>
                  </w:r>
                </w:p>
              </w:tc>
              <w:tc>
                <w:tcPr>
                  <w:tcW w:w="505" w:type="dxa"/>
                  <w:tcBorders>
                    <w:tl2br w:val="nil"/>
                    <w:tr2bl w:val="nil"/>
                  </w:tcBorders>
                  <w:shd w:val="clear" w:color="auto" w:fill="auto"/>
                  <w:vAlign w:val="center"/>
                </w:tcPr>
                <w:p w14:paraId="3C91A90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北</w:t>
                  </w:r>
                </w:p>
              </w:tc>
              <w:tc>
                <w:tcPr>
                  <w:tcW w:w="607" w:type="dxa"/>
                  <w:tcBorders>
                    <w:tl2br w:val="nil"/>
                    <w:tr2bl w:val="nil"/>
                  </w:tcBorders>
                  <w:shd w:val="clear" w:color="auto" w:fill="auto"/>
                  <w:vAlign w:val="center"/>
                </w:tcPr>
                <w:p w14:paraId="72E7B3B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东</w:t>
                  </w:r>
                </w:p>
              </w:tc>
              <w:tc>
                <w:tcPr>
                  <w:tcW w:w="584" w:type="dxa"/>
                  <w:tcBorders>
                    <w:tl2br w:val="nil"/>
                    <w:tr2bl w:val="nil"/>
                  </w:tcBorders>
                  <w:shd w:val="clear" w:color="auto" w:fill="auto"/>
                  <w:vAlign w:val="center"/>
                </w:tcPr>
                <w:p w14:paraId="2128FE4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西</w:t>
                  </w:r>
                </w:p>
              </w:tc>
              <w:tc>
                <w:tcPr>
                  <w:tcW w:w="658" w:type="dxa"/>
                  <w:tcBorders>
                    <w:tl2br w:val="nil"/>
                    <w:tr2bl w:val="nil"/>
                  </w:tcBorders>
                  <w:shd w:val="clear" w:color="auto" w:fill="auto"/>
                  <w:vAlign w:val="center"/>
                </w:tcPr>
                <w:p w14:paraId="63A3D23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南</w:t>
                  </w:r>
                </w:p>
              </w:tc>
              <w:tc>
                <w:tcPr>
                  <w:tcW w:w="631" w:type="dxa"/>
                  <w:tcBorders>
                    <w:tl2br w:val="nil"/>
                    <w:tr2bl w:val="nil"/>
                  </w:tcBorders>
                  <w:shd w:val="clear" w:color="auto" w:fill="auto"/>
                  <w:vAlign w:val="center"/>
                </w:tcPr>
                <w:p w14:paraId="102004C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北</w:t>
                  </w:r>
                </w:p>
              </w:tc>
              <w:tc>
                <w:tcPr>
                  <w:tcW w:w="526" w:type="dxa"/>
                  <w:tcBorders>
                    <w:tl2br w:val="nil"/>
                    <w:tr2bl w:val="nil"/>
                  </w:tcBorders>
                  <w:shd w:val="clear" w:color="auto" w:fill="auto"/>
                  <w:vAlign w:val="center"/>
                </w:tcPr>
                <w:p w14:paraId="0D7468D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东</w:t>
                  </w:r>
                </w:p>
              </w:tc>
              <w:tc>
                <w:tcPr>
                  <w:tcW w:w="526" w:type="dxa"/>
                  <w:tcBorders>
                    <w:tl2br w:val="nil"/>
                    <w:tr2bl w:val="nil"/>
                  </w:tcBorders>
                  <w:shd w:val="clear" w:color="auto" w:fill="auto"/>
                  <w:vAlign w:val="center"/>
                </w:tcPr>
                <w:p w14:paraId="10E1E14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西</w:t>
                  </w:r>
                </w:p>
              </w:tc>
              <w:tc>
                <w:tcPr>
                  <w:tcW w:w="526" w:type="dxa"/>
                  <w:tcBorders>
                    <w:tl2br w:val="nil"/>
                    <w:tr2bl w:val="nil"/>
                  </w:tcBorders>
                  <w:shd w:val="clear" w:color="auto" w:fill="auto"/>
                  <w:vAlign w:val="center"/>
                </w:tcPr>
                <w:p w14:paraId="0217E75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南</w:t>
                  </w:r>
                </w:p>
              </w:tc>
              <w:tc>
                <w:tcPr>
                  <w:tcW w:w="533" w:type="dxa"/>
                  <w:tcBorders>
                    <w:tl2br w:val="nil"/>
                    <w:tr2bl w:val="nil"/>
                  </w:tcBorders>
                  <w:shd w:val="clear" w:color="auto" w:fill="auto"/>
                  <w:vAlign w:val="center"/>
                </w:tcPr>
                <w:p w14:paraId="199AA5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北</w:t>
                  </w:r>
                </w:p>
              </w:tc>
              <w:tc>
                <w:tcPr>
                  <w:tcW w:w="609" w:type="dxa"/>
                  <w:tcBorders>
                    <w:tl2br w:val="nil"/>
                    <w:tr2bl w:val="nil"/>
                  </w:tcBorders>
                  <w:shd w:val="clear" w:color="auto" w:fill="auto"/>
                  <w:vAlign w:val="center"/>
                </w:tcPr>
                <w:p w14:paraId="52734AC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东</w:t>
                  </w:r>
                </w:p>
              </w:tc>
              <w:tc>
                <w:tcPr>
                  <w:tcW w:w="609" w:type="dxa"/>
                  <w:tcBorders>
                    <w:tl2br w:val="nil"/>
                    <w:tr2bl w:val="nil"/>
                  </w:tcBorders>
                  <w:shd w:val="clear" w:color="auto" w:fill="auto"/>
                  <w:vAlign w:val="center"/>
                </w:tcPr>
                <w:p w14:paraId="765B409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西</w:t>
                  </w:r>
                </w:p>
              </w:tc>
              <w:tc>
                <w:tcPr>
                  <w:tcW w:w="609" w:type="dxa"/>
                  <w:tcBorders>
                    <w:tl2br w:val="nil"/>
                    <w:tr2bl w:val="nil"/>
                  </w:tcBorders>
                  <w:shd w:val="clear" w:color="auto" w:fill="auto"/>
                  <w:vAlign w:val="center"/>
                </w:tcPr>
                <w:p w14:paraId="4A378A1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南</w:t>
                  </w:r>
                </w:p>
              </w:tc>
              <w:tc>
                <w:tcPr>
                  <w:tcW w:w="613" w:type="dxa"/>
                  <w:tcBorders>
                    <w:tl2br w:val="nil"/>
                    <w:tr2bl w:val="nil"/>
                  </w:tcBorders>
                  <w:shd w:val="clear" w:color="auto" w:fill="auto"/>
                  <w:vAlign w:val="center"/>
                </w:tcPr>
                <w:p w14:paraId="78ADFA0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北</w:t>
                  </w:r>
                </w:p>
              </w:tc>
            </w:tr>
            <w:tr w14:paraId="0D9C24AF">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62C245D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1</w:t>
                  </w:r>
                </w:p>
              </w:tc>
              <w:tc>
                <w:tcPr>
                  <w:tcW w:w="2134" w:type="dxa"/>
                  <w:tcBorders>
                    <w:tl2br w:val="nil"/>
                    <w:tr2bl w:val="nil"/>
                  </w:tcBorders>
                  <w:shd w:val="clear" w:color="auto" w:fill="auto"/>
                  <w:noWrap/>
                  <w:vAlign w:val="center"/>
                </w:tcPr>
                <w:p w14:paraId="08D2EDE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颚式破碎机</w:t>
                  </w:r>
                </w:p>
              </w:tc>
              <w:tc>
                <w:tcPr>
                  <w:tcW w:w="1065" w:type="dxa"/>
                  <w:tcBorders>
                    <w:tl2br w:val="nil"/>
                    <w:tr2bl w:val="nil"/>
                  </w:tcBorders>
                  <w:shd w:val="clear" w:color="auto" w:fill="auto"/>
                  <w:vAlign w:val="center"/>
                </w:tcPr>
                <w:p w14:paraId="58DB747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95</w:t>
                  </w:r>
                </w:p>
              </w:tc>
              <w:tc>
                <w:tcPr>
                  <w:tcW w:w="701" w:type="dxa"/>
                  <w:tcBorders>
                    <w:tl2br w:val="nil"/>
                    <w:tr2bl w:val="nil"/>
                  </w:tcBorders>
                  <w:shd w:val="clear" w:color="auto" w:fill="auto"/>
                  <w:vAlign w:val="center"/>
                </w:tcPr>
                <w:p w14:paraId="42406E1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504" w:type="dxa"/>
                  <w:tcBorders>
                    <w:tl2br w:val="nil"/>
                    <w:tr2bl w:val="nil"/>
                  </w:tcBorders>
                  <w:shd w:val="clear" w:color="auto" w:fill="auto"/>
                  <w:noWrap/>
                  <w:vAlign w:val="center"/>
                </w:tcPr>
                <w:p w14:paraId="50D52B5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46</w:t>
                  </w:r>
                </w:p>
              </w:tc>
              <w:tc>
                <w:tcPr>
                  <w:tcW w:w="504" w:type="dxa"/>
                  <w:tcBorders>
                    <w:tl2br w:val="nil"/>
                    <w:tr2bl w:val="nil"/>
                  </w:tcBorders>
                  <w:shd w:val="clear" w:color="auto" w:fill="auto"/>
                  <w:noWrap/>
                  <w:vAlign w:val="center"/>
                </w:tcPr>
                <w:p w14:paraId="5D50628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50</w:t>
                  </w:r>
                </w:p>
              </w:tc>
              <w:tc>
                <w:tcPr>
                  <w:tcW w:w="504" w:type="dxa"/>
                  <w:tcBorders>
                    <w:tl2br w:val="nil"/>
                    <w:tr2bl w:val="nil"/>
                  </w:tcBorders>
                  <w:shd w:val="clear" w:color="auto" w:fill="auto"/>
                  <w:noWrap/>
                  <w:vAlign w:val="center"/>
                </w:tcPr>
                <w:p w14:paraId="3BB6AE5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10</w:t>
                  </w:r>
                </w:p>
              </w:tc>
              <w:tc>
                <w:tcPr>
                  <w:tcW w:w="505" w:type="dxa"/>
                  <w:tcBorders>
                    <w:tl2br w:val="nil"/>
                    <w:tr2bl w:val="nil"/>
                  </w:tcBorders>
                  <w:shd w:val="clear" w:color="auto" w:fill="auto"/>
                  <w:noWrap/>
                  <w:vAlign w:val="center"/>
                </w:tcPr>
                <w:p w14:paraId="16AC867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35</w:t>
                  </w:r>
                </w:p>
              </w:tc>
              <w:tc>
                <w:tcPr>
                  <w:tcW w:w="607" w:type="dxa"/>
                  <w:tcBorders>
                    <w:tl2br w:val="nil"/>
                    <w:tr2bl w:val="nil"/>
                  </w:tcBorders>
                  <w:shd w:val="clear" w:color="auto" w:fill="auto"/>
                  <w:vAlign w:val="center"/>
                </w:tcPr>
                <w:p w14:paraId="2806E39B">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584" w:type="dxa"/>
                  <w:tcBorders>
                    <w:tl2br w:val="nil"/>
                    <w:tr2bl w:val="nil"/>
                  </w:tcBorders>
                  <w:shd w:val="clear" w:color="auto" w:fill="auto"/>
                  <w:vAlign w:val="center"/>
                </w:tcPr>
                <w:p w14:paraId="1879FCDC">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658" w:type="dxa"/>
                  <w:tcBorders>
                    <w:tl2br w:val="nil"/>
                    <w:tr2bl w:val="nil"/>
                  </w:tcBorders>
                  <w:shd w:val="clear" w:color="auto" w:fill="auto"/>
                  <w:vAlign w:val="center"/>
                </w:tcPr>
                <w:p w14:paraId="74495DF1">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73.7 </w:t>
                  </w:r>
                </w:p>
              </w:tc>
              <w:tc>
                <w:tcPr>
                  <w:tcW w:w="631" w:type="dxa"/>
                  <w:tcBorders>
                    <w:tl2br w:val="nil"/>
                    <w:tr2bl w:val="nil"/>
                  </w:tcBorders>
                  <w:shd w:val="clear" w:color="auto" w:fill="auto"/>
                  <w:vAlign w:val="center"/>
                </w:tcPr>
                <w:p w14:paraId="4B2A597B">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526" w:type="dxa"/>
                  <w:tcBorders>
                    <w:tl2br w:val="nil"/>
                    <w:tr2bl w:val="nil"/>
                  </w:tcBorders>
                  <w:shd w:val="clear" w:color="auto" w:fill="auto"/>
                  <w:vAlign w:val="center"/>
                </w:tcPr>
                <w:p w14:paraId="78632643">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lang w:val="en-US"/>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0CE97C73">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5C0A055C">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33" w:type="dxa"/>
                  <w:tcBorders>
                    <w:tl2br w:val="nil"/>
                    <w:tr2bl w:val="nil"/>
                  </w:tcBorders>
                  <w:shd w:val="clear" w:color="auto" w:fill="auto"/>
                  <w:vAlign w:val="center"/>
                </w:tcPr>
                <w:p w14:paraId="5916BB0D">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609" w:type="dxa"/>
                  <w:tcBorders>
                    <w:tl2br w:val="nil"/>
                    <w:tr2bl w:val="nil"/>
                  </w:tcBorders>
                  <w:shd w:val="clear" w:color="auto" w:fill="auto"/>
                  <w:vAlign w:val="center"/>
                </w:tcPr>
                <w:p w14:paraId="453EB074">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c>
                <w:tcPr>
                  <w:tcW w:w="609" w:type="dxa"/>
                  <w:tcBorders>
                    <w:tl2br w:val="nil"/>
                    <w:tr2bl w:val="nil"/>
                  </w:tcBorders>
                  <w:shd w:val="clear" w:color="auto" w:fill="auto"/>
                  <w:vAlign w:val="center"/>
                </w:tcPr>
                <w:p w14:paraId="6E7DB351">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c>
                <w:tcPr>
                  <w:tcW w:w="609" w:type="dxa"/>
                  <w:tcBorders>
                    <w:tl2br w:val="nil"/>
                    <w:tr2bl w:val="nil"/>
                  </w:tcBorders>
                  <w:shd w:val="clear" w:color="auto" w:fill="auto"/>
                  <w:vAlign w:val="center"/>
                </w:tcPr>
                <w:p w14:paraId="73DAD63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52.7 </w:t>
                  </w:r>
                </w:p>
              </w:tc>
              <w:tc>
                <w:tcPr>
                  <w:tcW w:w="613" w:type="dxa"/>
                  <w:tcBorders>
                    <w:tl2br w:val="nil"/>
                    <w:tr2bl w:val="nil"/>
                  </w:tcBorders>
                  <w:shd w:val="clear" w:color="auto" w:fill="auto"/>
                  <w:vAlign w:val="center"/>
                </w:tcPr>
                <w:p w14:paraId="0D9B9FED">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r>
            <w:tr w14:paraId="7C66A20A">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4A5996E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w:t>
                  </w:r>
                </w:p>
              </w:tc>
              <w:tc>
                <w:tcPr>
                  <w:tcW w:w="2134" w:type="dxa"/>
                  <w:tcBorders>
                    <w:tl2br w:val="nil"/>
                    <w:tr2bl w:val="nil"/>
                  </w:tcBorders>
                  <w:shd w:val="clear" w:color="auto" w:fill="auto"/>
                  <w:noWrap/>
                  <w:vAlign w:val="center"/>
                </w:tcPr>
                <w:p w14:paraId="66E4985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皮带输送机</w:t>
                  </w:r>
                </w:p>
              </w:tc>
              <w:tc>
                <w:tcPr>
                  <w:tcW w:w="1065" w:type="dxa"/>
                  <w:tcBorders>
                    <w:tl2br w:val="nil"/>
                    <w:tr2bl w:val="nil"/>
                  </w:tcBorders>
                  <w:shd w:val="clear" w:color="auto" w:fill="auto"/>
                  <w:vAlign w:val="center"/>
                </w:tcPr>
                <w:p w14:paraId="48F0534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75</w:t>
                  </w:r>
                </w:p>
              </w:tc>
              <w:tc>
                <w:tcPr>
                  <w:tcW w:w="701" w:type="dxa"/>
                  <w:tcBorders>
                    <w:tl2br w:val="nil"/>
                    <w:tr2bl w:val="nil"/>
                  </w:tcBorders>
                  <w:shd w:val="clear" w:color="auto" w:fill="auto"/>
                  <w:vAlign w:val="center"/>
                </w:tcPr>
                <w:p w14:paraId="6CFEBF5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504" w:type="dxa"/>
                  <w:tcBorders>
                    <w:tl2br w:val="nil"/>
                    <w:tr2bl w:val="nil"/>
                  </w:tcBorders>
                  <w:shd w:val="clear" w:color="auto" w:fill="auto"/>
                  <w:noWrap/>
                  <w:vAlign w:val="center"/>
                </w:tcPr>
                <w:p w14:paraId="232E6AF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50</w:t>
                  </w:r>
                </w:p>
              </w:tc>
              <w:tc>
                <w:tcPr>
                  <w:tcW w:w="504" w:type="dxa"/>
                  <w:tcBorders>
                    <w:tl2br w:val="nil"/>
                    <w:tr2bl w:val="nil"/>
                  </w:tcBorders>
                  <w:shd w:val="clear" w:color="auto" w:fill="auto"/>
                  <w:noWrap/>
                  <w:vAlign w:val="center"/>
                </w:tcPr>
                <w:p w14:paraId="5719F26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39</w:t>
                  </w:r>
                </w:p>
              </w:tc>
              <w:tc>
                <w:tcPr>
                  <w:tcW w:w="504" w:type="dxa"/>
                  <w:tcBorders>
                    <w:tl2br w:val="nil"/>
                    <w:tr2bl w:val="nil"/>
                  </w:tcBorders>
                  <w:shd w:val="clear" w:color="auto" w:fill="auto"/>
                  <w:noWrap/>
                  <w:vAlign w:val="center"/>
                </w:tcPr>
                <w:p w14:paraId="689FE3C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11</w:t>
                  </w:r>
                </w:p>
              </w:tc>
              <w:tc>
                <w:tcPr>
                  <w:tcW w:w="505" w:type="dxa"/>
                  <w:tcBorders>
                    <w:tl2br w:val="nil"/>
                    <w:tr2bl w:val="nil"/>
                  </w:tcBorders>
                  <w:shd w:val="clear" w:color="auto" w:fill="auto"/>
                  <w:noWrap/>
                  <w:vAlign w:val="center"/>
                </w:tcPr>
                <w:p w14:paraId="7359125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36</w:t>
                  </w:r>
                </w:p>
              </w:tc>
              <w:tc>
                <w:tcPr>
                  <w:tcW w:w="607" w:type="dxa"/>
                  <w:tcBorders>
                    <w:tl2br w:val="nil"/>
                    <w:tr2bl w:val="nil"/>
                  </w:tcBorders>
                  <w:shd w:val="clear" w:color="auto" w:fill="auto"/>
                  <w:vAlign w:val="center"/>
                </w:tcPr>
                <w:p w14:paraId="5C35C31E">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52.7 </w:t>
                  </w:r>
                </w:p>
              </w:tc>
              <w:tc>
                <w:tcPr>
                  <w:tcW w:w="584" w:type="dxa"/>
                  <w:tcBorders>
                    <w:tl2br w:val="nil"/>
                    <w:tr2bl w:val="nil"/>
                  </w:tcBorders>
                  <w:shd w:val="clear" w:color="auto" w:fill="auto"/>
                  <w:vAlign w:val="center"/>
                </w:tcPr>
                <w:p w14:paraId="5BA78806">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52.7 </w:t>
                  </w:r>
                </w:p>
              </w:tc>
              <w:tc>
                <w:tcPr>
                  <w:tcW w:w="658" w:type="dxa"/>
                  <w:tcBorders>
                    <w:tl2br w:val="nil"/>
                    <w:tr2bl w:val="nil"/>
                  </w:tcBorders>
                  <w:shd w:val="clear" w:color="auto" w:fill="auto"/>
                  <w:vAlign w:val="center"/>
                </w:tcPr>
                <w:p w14:paraId="32C617C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53.5 </w:t>
                  </w:r>
                </w:p>
              </w:tc>
              <w:tc>
                <w:tcPr>
                  <w:tcW w:w="631" w:type="dxa"/>
                  <w:tcBorders>
                    <w:tl2br w:val="nil"/>
                    <w:tr2bl w:val="nil"/>
                  </w:tcBorders>
                  <w:shd w:val="clear" w:color="auto" w:fill="auto"/>
                  <w:vAlign w:val="center"/>
                </w:tcPr>
                <w:p w14:paraId="60A5752E">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52.7 </w:t>
                  </w:r>
                </w:p>
              </w:tc>
              <w:tc>
                <w:tcPr>
                  <w:tcW w:w="526" w:type="dxa"/>
                  <w:tcBorders>
                    <w:tl2br w:val="nil"/>
                    <w:tr2bl w:val="nil"/>
                  </w:tcBorders>
                  <w:shd w:val="clear" w:color="auto" w:fill="auto"/>
                  <w:vAlign w:val="center"/>
                </w:tcPr>
                <w:p w14:paraId="57990E7B">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646EA8BE">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60FC436E">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33" w:type="dxa"/>
                  <w:tcBorders>
                    <w:tl2br w:val="nil"/>
                    <w:tr2bl w:val="nil"/>
                  </w:tcBorders>
                  <w:shd w:val="clear" w:color="auto" w:fill="auto"/>
                  <w:vAlign w:val="center"/>
                </w:tcPr>
                <w:p w14:paraId="2F87F26D">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609" w:type="dxa"/>
                  <w:tcBorders>
                    <w:tl2br w:val="nil"/>
                    <w:tr2bl w:val="nil"/>
                  </w:tcBorders>
                  <w:shd w:val="clear" w:color="auto" w:fill="auto"/>
                  <w:vAlign w:val="center"/>
                </w:tcPr>
                <w:p w14:paraId="3B16F061">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31.7 </w:t>
                  </w:r>
                </w:p>
              </w:tc>
              <w:tc>
                <w:tcPr>
                  <w:tcW w:w="609" w:type="dxa"/>
                  <w:tcBorders>
                    <w:tl2br w:val="nil"/>
                    <w:tr2bl w:val="nil"/>
                  </w:tcBorders>
                  <w:shd w:val="clear" w:color="auto" w:fill="auto"/>
                  <w:vAlign w:val="center"/>
                </w:tcPr>
                <w:p w14:paraId="0F1169CF">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31.7 </w:t>
                  </w:r>
                </w:p>
              </w:tc>
              <w:tc>
                <w:tcPr>
                  <w:tcW w:w="609" w:type="dxa"/>
                  <w:tcBorders>
                    <w:tl2br w:val="nil"/>
                    <w:tr2bl w:val="nil"/>
                  </w:tcBorders>
                  <w:shd w:val="clear" w:color="auto" w:fill="auto"/>
                  <w:vAlign w:val="center"/>
                </w:tcPr>
                <w:p w14:paraId="6D786B38">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32.5 </w:t>
                  </w:r>
                </w:p>
              </w:tc>
              <w:tc>
                <w:tcPr>
                  <w:tcW w:w="613" w:type="dxa"/>
                  <w:tcBorders>
                    <w:tl2br w:val="nil"/>
                    <w:tr2bl w:val="nil"/>
                  </w:tcBorders>
                  <w:shd w:val="clear" w:color="auto" w:fill="auto"/>
                  <w:vAlign w:val="center"/>
                </w:tcPr>
                <w:p w14:paraId="3C229326">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31.7 </w:t>
                  </w:r>
                </w:p>
              </w:tc>
            </w:tr>
            <w:tr w14:paraId="79B78F70">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69A3462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3</w:t>
                  </w:r>
                </w:p>
              </w:tc>
              <w:tc>
                <w:tcPr>
                  <w:tcW w:w="2134" w:type="dxa"/>
                  <w:tcBorders>
                    <w:tl2br w:val="nil"/>
                    <w:tr2bl w:val="nil"/>
                  </w:tcBorders>
                  <w:shd w:val="clear" w:color="auto" w:fill="auto"/>
                  <w:noWrap/>
                  <w:vAlign w:val="center"/>
                </w:tcPr>
                <w:p w14:paraId="0E6CCBD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圆锥破碎机</w:t>
                  </w:r>
                </w:p>
              </w:tc>
              <w:tc>
                <w:tcPr>
                  <w:tcW w:w="1065" w:type="dxa"/>
                  <w:tcBorders>
                    <w:tl2br w:val="nil"/>
                    <w:tr2bl w:val="nil"/>
                  </w:tcBorders>
                  <w:shd w:val="clear" w:color="auto" w:fill="auto"/>
                  <w:vAlign w:val="center"/>
                </w:tcPr>
                <w:p w14:paraId="7F0BB2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95</w:t>
                  </w:r>
                </w:p>
              </w:tc>
              <w:tc>
                <w:tcPr>
                  <w:tcW w:w="701" w:type="dxa"/>
                  <w:tcBorders>
                    <w:tl2br w:val="nil"/>
                    <w:tr2bl w:val="nil"/>
                  </w:tcBorders>
                  <w:shd w:val="clear" w:color="auto" w:fill="auto"/>
                  <w:vAlign w:val="center"/>
                </w:tcPr>
                <w:p w14:paraId="203BEAE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504" w:type="dxa"/>
                  <w:tcBorders>
                    <w:tl2br w:val="nil"/>
                    <w:tr2bl w:val="nil"/>
                  </w:tcBorders>
                  <w:shd w:val="clear" w:color="auto" w:fill="auto"/>
                  <w:noWrap/>
                  <w:vAlign w:val="center"/>
                </w:tcPr>
                <w:p w14:paraId="37A5623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61</w:t>
                  </w:r>
                </w:p>
              </w:tc>
              <w:tc>
                <w:tcPr>
                  <w:tcW w:w="504" w:type="dxa"/>
                  <w:tcBorders>
                    <w:tl2br w:val="nil"/>
                    <w:tr2bl w:val="nil"/>
                  </w:tcBorders>
                  <w:shd w:val="clear" w:color="auto" w:fill="auto"/>
                  <w:noWrap/>
                  <w:vAlign w:val="center"/>
                </w:tcPr>
                <w:p w14:paraId="3A35674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35</w:t>
                  </w:r>
                </w:p>
              </w:tc>
              <w:tc>
                <w:tcPr>
                  <w:tcW w:w="504" w:type="dxa"/>
                  <w:tcBorders>
                    <w:tl2br w:val="nil"/>
                    <w:tr2bl w:val="nil"/>
                  </w:tcBorders>
                  <w:shd w:val="clear" w:color="auto" w:fill="auto"/>
                  <w:noWrap/>
                  <w:vAlign w:val="center"/>
                </w:tcPr>
                <w:p w14:paraId="6C68C78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10</w:t>
                  </w:r>
                </w:p>
              </w:tc>
              <w:tc>
                <w:tcPr>
                  <w:tcW w:w="505" w:type="dxa"/>
                  <w:tcBorders>
                    <w:tl2br w:val="nil"/>
                    <w:tr2bl w:val="nil"/>
                  </w:tcBorders>
                  <w:shd w:val="clear" w:color="auto" w:fill="auto"/>
                  <w:noWrap/>
                  <w:vAlign w:val="center"/>
                </w:tcPr>
                <w:p w14:paraId="3353063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35</w:t>
                  </w:r>
                </w:p>
              </w:tc>
              <w:tc>
                <w:tcPr>
                  <w:tcW w:w="607" w:type="dxa"/>
                  <w:tcBorders>
                    <w:tl2br w:val="nil"/>
                    <w:tr2bl w:val="nil"/>
                  </w:tcBorders>
                  <w:shd w:val="clear" w:color="auto" w:fill="auto"/>
                  <w:vAlign w:val="center"/>
                </w:tcPr>
                <w:p w14:paraId="41CA0C57">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584" w:type="dxa"/>
                  <w:tcBorders>
                    <w:tl2br w:val="nil"/>
                    <w:tr2bl w:val="nil"/>
                  </w:tcBorders>
                  <w:shd w:val="clear" w:color="auto" w:fill="auto"/>
                  <w:vAlign w:val="center"/>
                </w:tcPr>
                <w:p w14:paraId="0E1D68D8">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658" w:type="dxa"/>
                  <w:tcBorders>
                    <w:tl2br w:val="nil"/>
                    <w:tr2bl w:val="nil"/>
                  </w:tcBorders>
                  <w:shd w:val="clear" w:color="auto" w:fill="auto"/>
                  <w:vAlign w:val="center"/>
                </w:tcPr>
                <w:p w14:paraId="0A1E4B2F">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73.7 </w:t>
                  </w:r>
                </w:p>
              </w:tc>
              <w:tc>
                <w:tcPr>
                  <w:tcW w:w="631" w:type="dxa"/>
                  <w:tcBorders>
                    <w:tl2br w:val="nil"/>
                    <w:tr2bl w:val="nil"/>
                  </w:tcBorders>
                  <w:shd w:val="clear" w:color="auto" w:fill="auto"/>
                  <w:vAlign w:val="center"/>
                </w:tcPr>
                <w:p w14:paraId="3F30995E">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526" w:type="dxa"/>
                  <w:tcBorders>
                    <w:tl2br w:val="nil"/>
                    <w:tr2bl w:val="nil"/>
                  </w:tcBorders>
                  <w:shd w:val="clear" w:color="auto" w:fill="auto"/>
                  <w:vAlign w:val="center"/>
                </w:tcPr>
                <w:p w14:paraId="6C535EE9">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5CFB1DC7">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4BC078EB">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33" w:type="dxa"/>
                  <w:tcBorders>
                    <w:tl2br w:val="nil"/>
                    <w:tr2bl w:val="nil"/>
                  </w:tcBorders>
                  <w:shd w:val="clear" w:color="auto" w:fill="auto"/>
                  <w:vAlign w:val="center"/>
                </w:tcPr>
                <w:p w14:paraId="23EC8EA1">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609" w:type="dxa"/>
                  <w:tcBorders>
                    <w:tl2br w:val="nil"/>
                    <w:tr2bl w:val="nil"/>
                  </w:tcBorders>
                  <w:shd w:val="clear" w:color="auto" w:fill="auto"/>
                  <w:vAlign w:val="center"/>
                </w:tcPr>
                <w:p w14:paraId="13C320C3">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c>
                <w:tcPr>
                  <w:tcW w:w="609" w:type="dxa"/>
                  <w:tcBorders>
                    <w:tl2br w:val="nil"/>
                    <w:tr2bl w:val="nil"/>
                  </w:tcBorders>
                  <w:shd w:val="clear" w:color="auto" w:fill="auto"/>
                  <w:vAlign w:val="center"/>
                </w:tcPr>
                <w:p w14:paraId="713527DB">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c>
                <w:tcPr>
                  <w:tcW w:w="609" w:type="dxa"/>
                  <w:tcBorders>
                    <w:tl2br w:val="nil"/>
                    <w:tr2bl w:val="nil"/>
                  </w:tcBorders>
                  <w:shd w:val="clear" w:color="auto" w:fill="auto"/>
                  <w:vAlign w:val="center"/>
                </w:tcPr>
                <w:p w14:paraId="45D0850C">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52.7 </w:t>
                  </w:r>
                </w:p>
              </w:tc>
              <w:tc>
                <w:tcPr>
                  <w:tcW w:w="613" w:type="dxa"/>
                  <w:tcBorders>
                    <w:tl2br w:val="nil"/>
                    <w:tr2bl w:val="nil"/>
                  </w:tcBorders>
                  <w:shd w:val="clear" w:color="auto" w:fill="auto"/>
                  <w:vAlign w:val="center"/>
                </w:tcPr>
                <w:p w14:paraId="439B5E06">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r>
            <w:tr w14:paraId="7DB1579B">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5A3ED21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4</w:t>
                  </w:r>
                </w:p>
              </w:tc>
              <w:tc>
                <w:tcPr>
                  <w:tcW w:w="2134" w:type="dxa"/>
                  <w:tcBorders>
                    <w:tl2br w:val="nil"/>
                    <w:tr2bl w:val="nil"/>
                  </w:tcBorders>
                  <w:shd w:val="clear" w:color="auto" w:fill="auto"/>
                  <w:noWrap/>
                  <w:vAlign w:val="center"/>
                </w:tcPr>
                <w:p w14:paraId="4D086AA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皮带输送机</w:t>
                  </w:r>
                </w:p>
              </w:tc>
              <w:tc>
                <w:tcPr>
                  <w:tcW w:w="1065" w:type="dxa"/>
                  <w:tcBorders>
                    <w:tl2br w:val="nil"/>
                    <w:tr2bl w:val="nil"/>
                  </w:tcBorders>
                  <w:shd w:val="clear" w:color="auto" w:fill="auto"/>
                  <w:vAlign w:val="center"/>
                </w:tcPr>
                <w:p w14:paraId="62B7476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75</w:t>
                  </w:r>
                </w:p>
              </w:tc>
              <w:tc>
                <w:tcPr>
                  <w:tcW w:w="701" w:type="dxa"/>
                  <w:tcBorders>
                    <w:tl2br w:val="nil"/>
                    <w:tr2bl w:val="nil"/>
                  </w:tcBorders>
                  <w:shd w:val="clear" w:color="auto" w:fill="auto"/>
                  <w:vAlign w:val="center"/>
                </w:tcPr>
                <w:p w14:paraId="698CC54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504" w:type="dxa"/>
                  <w:tcBorders>
                    <w:tl2br w:val="nil"/>
                    <w:tr2bl w:val="nil"/>
                  </w:tcBorders>
                  <w:shd w:val="clear" w:color="auto" w:fill="auto"/>
                  <w:noWrap/>
                  <w:vAlign w:val="center"/>
                </w:tcPr>
                <w:p w14:paraId="34643A7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65</w:t>
                  </w:r>
                </w:p>
              </w:tc>
              <w:tc>
                <w:tcPr>
                  <w:tcW w:w="504" w:type="dxa"/>
                  <w:tcBorders>
                    <w:tl2br w:val="nil"/>
                    <w:tr2bl w:val="nil"/>
                  </w:tcBorders>
                  <w:shd w:val="clear" w:color="auto" w:fill="auto"/>
                  <w:noWrap/>
                  <w:vAlign w:val="center"/>
                </w:tcPr>
                <w:p w14:paraId="2EA83DD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24</w:t>
                  </w:r>
                </w:p>
              </w:tc>
              <w:tc>
                <w:tcPr>
                  <w:tcW w:w="504" w:type="dxa"/>
                  <w:tcBorders>
                    <w:tl2br w:val="nil"/>
                    <w:tr2bl w:val="nil"/>
                  </w:tcBorders>
                  <w:shd w:val="clear" w:color="auto" w:fill="auto"/>
                  <w:noWrap/>
                  <w:vAlign w:val="center"/>
                </w:tcPr>
                <w:p w14:paraId="4AD9AE4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11</w:t>
                  </w:r>
                </w:p>
              </w:tc>
              <w:tc>
                <w:tcPr>
                  <w:tcW w:w="505" w:type="dxa"/>
                  <w:tcBorders>
                    <w:tl2br w:val="nil"/>
                    <w:tr2bl w:val="nil"/>
                  </w:tcBorders>
                  <w:shd w:val="clear" w:color="auto" w:fill="auto"/>
                  <w:noWrap/>
                  <w:vAlign w:val="center"/>
                </w:tcPr>
                <w:p w14:paraId="7D61AF3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36</w:t>
                  </w:r>
                </w:p>
              </w:tc>
              <w:tc>
                <w:tcPr>
                  <w:tcW w:w="607" w:type="dxa"/>
                  <w:tcBorders>
                    <w:tl2br w:val="nil"/>
                    <w:tr2bl w:val="nil"/>
                  </w:tcBorders>
                  <w:shd w:val="clear" w:color="auto" w:fill="auto"/>
                  <w:vAlign w:val="center"/>
                </w:tcPr>
                <w:p w14:paraId="1A8D0EE4">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52.7 </w:t>
                  </w:r>
                </w:p>
              </w:tc>
              <w:tc>
                <w:tcPr>
                  <w:tcW w:w="584" w:type="dxa"/>
                  <w:tcBorders>
                    <w:tl2br w:val="nil"/>
                    <w:tr2bl w:val="nil"/>
                  </w:tcBorders>
                  <w:shd w:val="clear" w:color="auto" w:fill="auto"/>
                  <w:vAlign w:val="center"/>
                </w:tcPr>
                <w:p w14:paraId="14C2BEC3">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52.8 </w:t>
                  </w:r>
                </w:p>
              </w:tc>
              <w:tc>
                <w:tcPr>
                  <w:tcW w:w="658" w:type="dxa"/>
                  <w:tcBorders>
                    <w:tl2br w:val="nil"/>
                    <w:tr2bl w:val="nil"/>
                  </w:tcBorders>
                  <w:shd w:val="clear" w:color="auto" w:fill="auto"/>
                  <w:vAlign w:val="center"/>
                </w:tcPr>
                <w:p w14:paraId="10353687">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53.5 </w:t>
                  </w:r>
                </w:p>
              </w:tc>
              <w:tc>
                <w:tcPr>
                  <w:tcW w:w="631" w:type="dxa"/>
                  <w:tcBorders>
                    <w:tl2br w:val="nil"/>
                    <w:tr2bl w:val="nil"/>
                  </w:tcBorders>
                  <w:shd w:val="clear" w:color="auto" w:fill="auto"/>
                  <w:vAlign w:val="center"/>
                </w:tcPr>
                <w:p w14:paraId="7A3C467D">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52.7 </w:t>
                  </w:r>
                </w:p>
              </w:tc>
              <w:tc>
                <w:tcPr>
                  <w:tcW w:w="526" w:type="dxa"/>
                  <w:tcBorders>
                    <w:tl2br w:val="nil"/>
                    <w:tr2bl w:val="nil"/>
                  </w:tcBorders>
                  <w:shd w:val="clear" w:color="auto" w:fill="auto"/>
                  <w:vAlign w:val="center"/>
                </w:tcPr>
                <w:p w14:paraId="479E8A85">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0C370082">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4188864F">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33" w:type="dxa"/>
                  <w:tcBorders>
                    <w:tl2br w:val="nil"/>
                    <w:tr2bl w:val="nil"/>
                  </w:tcBorders>
                  <w:shd w:val="clear" w:color="auto" w:fill="auto"/>
                  <w:vAlign w:val="center"/>
                </w:tcPr>
                <w:p w14:paraId="7E623708">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609" w:type="dxa"/>
                  <w:tcBorders>
                    <w:tl2br w:val="nil"/>
                    <w:tr2bl w:val="nil"/>
                  </w:tcBorders>
                  <w:shd w:val="clear" w:color="auto" w:fill="auto"/>
                  <w:vAlign w:val="center"/>
                </w:tcPr>
                <w:p w14:paraId="3FDD4EB3">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31.7 </w:t>
                  </w:r>
                </w:p>
              </w:tc>
              <w:tc>
                <w:tcPr>
                  <w:tcW w:w="609" w:type="dxa"/>
                  <w:tcBorders>
                    <w:tl2br w:val="nil"/>
                    <w:tr2bl w:val="nil"/>
                  </w:tcBorders>
                  <w:shd w:val="clear" w:color="auto" w:fill="auto"/>
                  <w:vAlign w:val="center"/>
                </w:tcPr>
                <w:p w14:paraId="49B02FE2">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31.8 </w:t>
                  </w:r>
                </w:p>
              </w:tc>
              <w:tc>
                <w:tcPr>
                  <w:tcW w:w="609" w:type="dxa"/>
                  <w:tcBorders>
                    <w:tl2br w:val="nil"/>
                    <w:tr2bl w:val="nil"/>
                  </w:tcBorders>
                  <w:shd w:val="clear" w:color="auto" w:fill="auto"/>
                  <w:vAlign w:val="center"/>
                </w:tcPr>
                <w:p w14:paraId="2C9EED55">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32.5 </w:t>
                  </w:r>
                </w:p>
              </w:tc>
              <w:tc>
                <w:tcPr>
                  <w:tcW w:w="613" w:type="dxa"/>
                  <w:tcBorders>
                    <w:tl2br w:val="nil"/>
                    <w:tr2bl w:val="nil"/>
                  </w:tcBorders>
                  <w:shd w:val="clear" w:color="auto" w:fill="auto"/>
                  <w:vAlign w:val="center"/>
                </w:tcPr>
                <w:p w14:paraId="60B46539">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31.7 </w:t>
                  </w:r>
                </w:p>
              </w:tc>
            </w:tr>
            <w:tr w14:paraId="22F5F61A">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1A879E4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2134" w:type="dxa"/>
                  <w:tcBorders>
                    <w:tl2br w:val="nil"/>
                    <w:tr2bl w:val="nil"/>
                  </w:tcBorders>
                  <w:shd w:val="clear" w:color="auto" w:fill="auto"/>
                  <w:noWrap/>
                  <w:vAlign w:val="center"/>
                </w:tcPr>
                <w:p w14:paraId="13FCC55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eastAsia"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往复式摇筛</w:t>
                  </w:r>
                </w:p>
              </w:tc>
              <w:tc>
                <w:tcPr>
                  <w:tcW w:w="1065" w:type="dxa"/>
                  <w:tcBorders>
                    <w:tl2br w:val="nil"/>
                    <w:tr2bl w:val="nil"/>
                  </w:tcBorders>
                  <w:shd w:val="clear" w:color="auto" w:fill="auto"/>
                  <w:vAlign w:val="center"/>
                </w:tcPr>
                <w:p w14:paraId="11C0CB0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85</w:t>
                  </w:r>
                </w:p>
              </w:tc>
              <w:tc>
                <w:tcPr>
                  <w:tcW w:w="701" w:type="dxa"/>
                  <w:tcBorders>
                    <w:tl2br w:val="nil"/>
                    <w:tr2bl w:val="nil"/>
                  </w:tcBorders>
                  <w:shd w:val="clear" w:color="auto" w:fill="auto"/>
                  <w:vAlign w:val="center"/>
                </w:tcPr>
                <w:p w14:paraId="39DA659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504" w:type="dxa"/>
                  <w:tcBorders>
                    <w:tl2br w:val="nil"/>
                    <w:tr2bl w:val="nil"/>
                  </w:tcBorders>
                  <w:shd w:val="clear" w:color="auto" w:fill="auto"/>
                  <w:noWrap/>
                  <w:vAlign w:val="center"/>
                </w:tcPr>
                <w:p w14:paraId="1877766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76</w:t>
                  </w:r>
                </w:p>
              </w:tc>
              <w:tc>
                <w:tcPr>
                  <w:tcW w:w="504" w:type="dxa"/>
                  <w:tcBorders>
                    <w:tl2br w:val="nil"/>
                    <w:tr2bl w:val="nil"/>
                  </w:tcBorders>
                  <w:shd w:val="clear" w:color="auto" w:fill="auto"/>
                  <w:noWrap/>
                  <w:vAlign w:val="center"/>
                </w:tcPr>
                <w:p w14:paraId="34A537E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20</w:t>
                  </w:r>
                </w:p>
              </w:tc>
              <w:tc>
                <w:tcPr>
                  <w:tcW w:w="504" w:type="dxa"/>
                  <w:tcBorders>
                    <w:tl2br w:val="nil"/>
                    <w:tr2bl w:val="nil"/>
                  </w:tcBorders>
                  <w:shd w:val="clear" w:color="auto" w:fill="auto"/>
                  <w:noWrap/>
                  <w:vAlign w:val="center"/>
                </w:tcPr>
                <w:p w14:paraId="381273F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10</w:t>
                  </w:r>
                </w:p>
              </w:tc>
              <w:tc>
                <w:tcPr>
                  <w:tcW w:w="505" w:type="dxa"/>
                  <w:tcBorders>
                    <w:tl2br w:val="nil"/>
                    <w:tr2bl w:val="nil"/>
                  </w:tcBorders>
                  <w:shd w:val="clear" w:color="auto" w:fill="auto"/>
                  <w:noWrap/>
                  <w:vAlign w:val="center"/>
                </w:tcPr>
                <w:p w14:paraId="30DDF2E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35</w:t>
                  </w:r>
                </w:p>
              </w:tc>
              <w:tc>
                <w:tcPr>
                  <w:tcW w:w="607" w:type="dxa"/>
                  <w:tcBorders>
                    <w:tl2br w:val="nil"/>
                    <w:tr2bl w:val="nil"/>
                  </w:tcBorders>
                  <w:shd w:val="clear" w:color="auto" w:fill="auto"/>
                  <w:vAlign w:val="center"/>
                </w:tcPr>
                <w:p w14:paraId="4A8C633D">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62.6 </w:t>
                  </w:r>
                </w:p>
              </w:tc>
              <w:tc>
                <w:tcPr>
                  <w:tcW w:w="584" w:type="dxa"/>
                  <w:tcBorders>
                    <w:tl2br w:val="nil"/>
                    <w:tr2bl w:val="nil"/>
                  </w:tcBorders>
                  <w:shd w:val="clear" w:color="auto" w:fill="auto"/>
                  <w:vAlign w:val="center"/>
                </w:tcPr>
                <w:p w14:paraId="7ADA227E">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62.9 </w:t>
                  </w:r>
                </w:p>
              </w:tc>
              <w:tc>
                <w:tcPr>
                  <w:tcW w:w="658" w:type="dxa"/>
                  <w:tcBorders>
                    <w:tl2br w:val="nil"/>
                    <w:tr2bl w:val="nil"/>
                  </w:tcBorders>
                  <w:shd w:val="clear" w:color="auto" w:fill="auto"/>
                  <w:vAlign w:val="center"/>
                </w:tcPr>
                <w:p w14:paraId="0CF08805">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63.7 </w:t>
                  </w:r>
                </w:p>
              </w:tc>
              <w:tc>
                <w:tcPr>
                  <w:tcW w:w="631" w:type="dxa"/>
                  <w:tcBorders>
                    <w:tl2br w:val="nil"/>
                    <w:tr2bl w:val="nil"/>
                  </w:tcBorders>
                  <w:shd w:val="clear" w:color="auto" w:fill="auto"/>
                  <w:vAlign w:val="center"/>
                </w:tcPr>
                <w:p w14:paraId="4AFF640C">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62.7 </w:t>
                  </w:r>
                </w:p>
              </w:tc>
              <w:tc>
                <w:tcPr>
                  <w:tcW w:w="526" w:type="dxa"/>
                  <w:tcBorders>
                    <w:tl2br w:val="nil"/>
                    <w:tr2bl w:val="nil"/>
                  </w:tcBorders>
                  <w:shd w:val="clear" w:color="auto" w:fill="auto"/>
                  <w:vAlign w:val="center"/>
                </w:tcPr>
                <w:p w14:paraId="4842BAE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54D402C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60395B62">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33" w:type="dxa"/>
                  <w:tcBorders>
                    <w:tl2br w:val="nil"/>
                    <w:tr2bl w:val="nil"/>
                  </w:tcBorders>
                  <w:shd w:val="clear" w:color="auto" w:fill="auto"/>
                  <w:vAlign w:val="center"/>
                </w:tcPr>
                <w:p w14:paraId="0279813C">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609" w:type="dxa"/>
                  <w:tcBorders>
                    <w:tl2br w:val="nil"/>
                    <w:tr2bl w:val="nil"/>
                  </w:tcBorders>
                  <w:shd w:val="clear" w:color="auto" w:fill="auto"/>
                  <w:vAlign w:val="center"/>
                </w:tcPr>
                <w:p w14:paraId="5BBF70D5">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41.6 </w:t>
                  </w:r>
                </w:p>
              </w:tc>
              <w:tc>
                <w:tcPr>
                  <w:tcW w:w="609" w:type="dxa"/>
                  <w:tcBorders>
                    <w:tl2br w:val="nil"/>
                    <w:tr2bl w:val="nil"/>
                  </w:tcBorders>
                  <w:shd w:val="clear" w:color="auto" w:fill="auto"/>
                  <w:vAlign w:val="center"/>
                </w:tcPr>
                <w:p w14:paraId="2C8AFF06">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41.9 </w:t>
                  </w:r>
                </w:p>
              </w:tc>
              <w:tc>
                <w:tcPr>
                  <w:tcW w:w="609" w:type="dxa"/>
                  <w:tcBorders>
                    <w:tl2br w:val="nil"/>
                    <w:tr2bl w:val="nil"/>
                  </w:tcBorders>
                  <w:shd w:val="clear" w:color="auto" w:fill="auto"/>
                  <w:vAlign w:val="center"/>
                </w:tcPr>
                <w:p w14:paraId="1C19AAD0">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42.7 </w:t>
                  </w:r>
                </w:p>
              </w:tc>
              <w:tc>
                <w:tcPr>
                  <w:tcW w:w="613" w:type="dxa"/>
                  <w:tcBorders>
                    <w:tl2br w:val="nil"/>
                    <w:tr2bl w:val="nil"/>
                  </w:tcBorders>
                  <w:shd w:val="clear" w:color="auto" w:fill="auto"/>
                  <w:vAlign w:val="center"/>
                </w:tcPr>
                <w:p w14:paraId="6D007B94">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41.7 </w:t>
                  </w:r>
                </w:p>
              </w:tc>
            </w:tr>
            <w:tr w14:paraId="71F9F906">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32D0CA9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6</w:t>
                  </w:r>
                </w:p>
              </w:tc>
              <w:tc>
                <w:tcPr>
                  <w:tcW w:w="2134" w:type="dxa"/>
                  <w:tcBorders>
                    <w:tl2br w:val="nil"/>
                    <w:tr2bl w:val="nil"/>
                  </w:tcBorders>
                  <w:shd w:val="clear" w:color="auto" w:fill="auto"/>
                  <w:noWrap/>
                  <w:vAlign w:val="center"/>
                </w:tcPr>
                <w:p w14:paraId="627C0B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风机（布袋除尘器）</w:t>
                  </w:r>
                </w:p>
              </w:tc>
              <w:tc>
                <w:tcPr>
                  <w:tcW w:w="1065" w:type="dxa"/>
                  <w:tcBorders>
                    <w:tl2br w:val="nil"/>
                    <w:tr2bl w:val="nil"/>
                  </w:tcBorders>
                  <w:shd w:val="clear" w:color="auto" w:fill="auto"/>
                  <w:vAlign w:val="center"/>
                </w:tcPr>
                <w:p w14:paraId="218E268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90</w:t>
                  </w:r>
                </w:p>
              </w:tc>
              <w:tc>
                <w:tcPr>
                  <w:tcW w:w="701" w:type="dxa"/>
                  <w:tcBorders>
                    <w:tl2br w:val="nil"/>
                    <w:tr2bl w:val="nil"/>
                  </w:tcBorders>
                  <w:shd w:val="clear" w:color="auto" w:fill="auto"/>
                  <w:vAlign w:val="center"/>
                </w:tcPr>
                <w:p w14:paraId="71E0BAE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sz w:val="21"/>
                      <w:szCs w:val="21"/>
                      <w:highlight w:val="none"/>
                      <w:u w:val="none"/>
                      <w:vertAlign w:val="baseli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504" w:type="dxa"/>
                  <w:tcBorders>
                    <w:tl2br w:val="nil"/>
                    <w:tr2bl w:val="nil"/>
                  </w:tcBorders>
                  <w:shd w:val="clear" w:color="auto" w:fill="auto"/>
                  <w:noWrap/>
                  <w:vAlign w:val="center"/>
                </w:tcPr>
                <w:p w14:paraId="6AF8082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48</w:t>
                  </w:r>
                </w:p>
              </w:tc>
              <w:tc>
                <w:tcPr>
                  <w:tcW w:w="504" w:type="dxa"/>
                  <w:tcBorders>
                    <w:tl2br w:val="nil"/>
                    <w:tr2bl w:val="nil"/>
                  </w:tcBorders>
                  <w:shd w:val="clear" w:color="auto" w:fill="auto"/>
                  <w:noWrap/>
                  <w:vAlign w:val="center"/>
                </w:tcPr>
                <w:p w14:paraId="30B05C6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51</w:t>
                  </w:r>
                </w:p>
              </w:tc>
              <w:tc>
                <w:tcPr>
                  <w:tcW w:w="504" w:type="dxa"/>
                  <w:tcBorders>
                    <w:tl2br w:val="nil"/>
                    <w:tr2bl w:val="nil"/>
                  </w:tcBorders>
                  <w:shd w:val="clear" w:color="auto" w:fill="auto"/>
                  <w:noWrap/>
                  <w:vAlign w:val="center"/>
                </w:tcPr>
                <w:p w14:paraId="3782C13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w:t>
                  </w:r>
                </w:p>
              </w:tc>
              <w:tc>
                <w:tcPr>
                  <w:tcW w:w="505" w:type="dxa"/>
                  <w:tcBorders>
                    <w:tl2br w:val="nil"/>
                    <w:tr2bl w:val="nil"/>
                  </w:tcBorders>
                  <w:shd w:val="clear" w:color="auto" w:fill="auto"/>
                  <w:noWrap/>
                  <w:vAlign w:val="center"/>
                </w:tcPr>
                <w:p w14:paraId="3F56AB0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47</w:t>
                  </w:r>
                </w:p>
              </w:tc>
              <w:tc>
                <w:tcPr>
                  <w:tcW w:w="607" w:type="dxa"/>
                  <w:tcBorders>
                    <w:tl2br w:val="nil"/>
                    <w:tr2bl w:val="nil"/>
                  </w:tcBorders>
                  <w:shd w:val="clear" w:color="auto" w:fill="auto"/>
                  <w:vAlign w:val="center"/>
                </w:tcPr>
                <w:p w14:paraId="71157AEF">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67.7 </w:t>
                  </w:r>
                </w:p>
              </w:tc>
              <w:tc>
                <w:tcPr>
                  <w:tcW w:w="584" w:type="dxa"/>
                  <w:tcBorders>
                    <w:tl2br w:val="nil"/>
                    <w:tr2bl w:val="nil"/>
                  </w:tcBorders>
                  <w:shd w:val="clear" w:color="auto" w:fill="auto"/>
                  <w:vAlign w:val="center"/>
                </w:tcPr>
                <w:p w14:paraId="02E8393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67.7 </w:t>
                  </w:r>
                </w:p>
              </w:tc>
              <w:tc>
                <w:tcPr>
                  <w:tcW w:w="658" w:type="dxa"/>
                  <w:tcBorders>
                    <w:tl2br w:val="nil"/>
                    <w:tr2bl w:val="nil"/>
                  </w:tcBorders>
                  <w:shd w:val="clear" w:color="auto" w:fill="auto"/>
                  <w:vAlign w:val="center"/>
                </w:tcPr>
                <w:p w14:paraId="3B062BCF">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76.6 </w:t>
                  </w:r>
                </w:p>
              </w:tc>
              <w:tc>
                <w:tcPr>
                  <w:tcW w:w="631" w:type="dxa"/>
                  <w:tcBorders>
                    <w:tl2br w:val="nil"/>
                    <w:tr2bl w:val="nil"/>
                  </w:tcBorders>
                  <w:shd w:val="clear" w:color="auto" w:fill="auto"/>
                  <w:vAlign w:val="center"/>
                </w:tcPr>
                <w:p w14:paraId="303FF7B8">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67.7 </w:t>
                  </w:r>
                </w:p>
              </w:tc>
              <w:tc>
                <w:tcPr>
                  <w:tcW w:w="526" w:type="dxa"/>
                  <w:tcBorders>
                    <w:tl2br w:val="nil"/>
                    <w:tr2bl w:val="nil"/>
                  </w:tcBorders>
                  <w:shd w:val="clear" w:color="auto" w:fill="auto"/>
                  <w:vAlign w:val="center"/>
                </w:tcPr>
                <w:p w14:paraId="5F78E7A0">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1F37D9B9">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47BA7510">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33" w:type="dxa"/>
                  <w:tcBorders>
                    <w:tl2br w:val="nil"/>
                    <w:tr2bl w:val="nil"/>
                  </w:tcBorders>
                  <w:shd w:val="clear" w:color="auto" w:fill="auto"/>
                  <w:vAlign w:val="center"/>
                </w:tcPr>
                <w:p w14:paraId="692C03C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sz w:val="21"/>
                      <w:szCs w:val="21"/>
                      <w:highlight w:val="none"/>
                      <w:u w:val="none"/>
                      <w:vertAlign w:val="baseli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609" w:type="dxa"/>
                  <w:tcBorders>
                    <w:tl2br w:val="nil"/>
                    <w:tr2bl w:val="nil"/>
                  </w:tcBorders>
                  <w:shd w:val="clear" w:color="auto" w:fill="auto"/>
                  <w:vAlign w:val="center"/>
                </w:tcPr>
                <w:p w14:paraId="19A65C3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46.7 </w:t>
                  </w:r>
                </w:p>
              </w:tc>
              <w:tc>
                <w:tcPr>
                  <w:tcW w:w="609" w:type="dxa"/>
                  <w:tcBorders>
                    <w:tl2br w:val="nil"/>
                    <w:tr2bl w:val="nil"/>
                  </w:tcBorders>
                  <w:shd w:val="clear" w:color="auto" w:fill="auto"/>
                  <w:vAlign w:val="center"/>
                </w:tcPr>
                <w:p w14:paraId="030DC18B">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46.7 </w:t>
                  </w:r>
                </w:p>
              </w:tc>
              <w:tc>
                <w:tcPr>
                  <w:tcW w:w="609" w:type="dxa"/>
                  <w:tcBorders>
                    <w:tl2br w:val="nil"/>
                    <w:tr2bl w:val="nil"/>
                  </w:tcBorders>
                  <w:shd w:val="clear" w:color="auto" w:fill="auto"/>
                  <w:vAlign w:val="center"/>
                </w:tcPr>
                <w:p w14:paraId="3942BE27">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55.6 </w:t>
                  </w:r>
                </w:p>
              </w:tc>
              <w:tc>
                <w:tcPr>
                  <w:tcW w:w="613" w:type="dxa"/>
                  <w:tcBorders>
                    <w:tl2br w:val="nil"/>
                    <w:tr2bl w:val="nil"/>
                  </w:tcBorders>
                  <w:shd w:val="clear" w:color="auto" w:fill="auto"/>
                  <w:vAlign w:val="center"/>
                </w:tcPr>
                <w:p w14:paraId="1D5ACE36">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46.7 </w:t>
                  </w:r>
                </w:p>
              </w:tc>
            </w:tr>
            <w:tr w14:paraId="5DDCF04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79A15D6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7</w:t>
                  </w:r>
                </w:p>
              </w:tc>
              <w:tc>
                <w:tcPr>
                  <w:tcW w:w="2134" w:type="dxa"/>
                  <w:tcBorders>
                    <w:tl2br w:val="nil"/>
                    <w:tr2bl w:val="nil"/>
                  </w:tcBorders>
                  <w:shd w:val="clear" w:color="auto" w:fill="auto"/>
                  <w:noWrap/>
                  <w:vAlign w:val="center"/>
                </w:tcPr>
                <w:p w14:paraId="00B77BE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空压机</w:t>
                  </w: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（布袋除尘器</w:t>
                  </w:r>
                  <w:r>
                    <w:rPr>
                      <w:rFonts w:hint="eastAsia"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配套</w:t>
                  </w: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w:t>
                  </w:r>
                </w:p>
              </w:tc>
              <w:tc>
                <w:tcPr>
                  <w:tcW w:w="1065" w:type="dxa"/>
                  <w:tcBorders>
                    <w:tl2br w:val="nil"/>
                    <w:tr2bl w:val="nil"/>
                  </w:tcBorders>
                  <w:shd w:val="clear" w:color="auto" w:fill="auto"/>
                  <w:vAlign w:val="center"/>
                </w:tcPr>
                <w:p w14:paraId="724CA38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95</w:t>
                  </w:r>
                </w:p>
              </w:tc>
              <w:tc>
                <w:tcPr>
                  <w:tcW w:w="701" w:type="dxa"/>
                  <w:tcBorders>
                    <w:tl2br w:val="nil"/>
                    <w:tr2bl w:val="nil"/>
                  </w:tcBorders>
                  <w:shd w:val="clear" w:color="auto" w:fill="auto"/>
                  <w:vAlign w:val="center"/>
                </w:tcPr>
                <w:p w14:paraId="6424CBF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eastAsia" w:ascii="Times New Roman" w:hAnsi="Times New Roman" w:eastAsia="宋体" w:cs="Times New Roman"/>
                      <w:i w:val="0"/>
                      <w:iCs w:val="0"/>
                      <w:color w:val="000000" w:themeColor="text1"/>
                      <w:kern w:val="2"/>
                      <w:sz w:val="21"/>
                      <w:szCs w:val="21"/>
                      <w:highlight w:val="none"/>
                      <w:u w:val="none"/>
                      <w:vertAlign w:val="baseli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504" w:type="dxa"/>
                  <w:tcBorders>
                    <w:tl2br w:val="nil"/>
                    <w:tr2bl w:val="nil"/>
                  </w:tcBorders>
                  <w:shd w:val="clear" w:color="auto" w:fill="auto"/>
                  <w:noWrap/>
                  <w:vAlign w:val="center"/>
                </w:tcPr>
                <w:p w14:paraId="2CEB39D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2"/>
                      <w:sz w:val="21"/>
                      <w:szCs w:val="21"/>
                      <w:highlight w:val="none"/>
                      <w:u w:val="none"/>
                      <w:vertAlign w:val="baseline"/>
                      <w:lang w:val="en-US" w:eastAsia="zh-CN" w:bidi="ar-SA"/>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4</w:t>
                  </w:r>
                  <w: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0</w:t>
                  </w:r>
                </w:p>
              </w:tc>
              <w:tc>
                <w:tcPr>
                  <w:tcW w:w="504" w:type="dxa"/>
                  <w:tcBorders>
                    <w:tl2br w:val="nil"/>
                    <w:tr2bl w:val="nil"/>
                  </w:tcBorders>
                  <w:shd w:val="clear" w:color="auto" w:fill="auto"/>
                  <w:noWrap/>
                  <w:vAlign w:val="center"/>
                </w:tcPr>
                <w:p w14:paraId="2C009D7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2"/>
                      <w:sz w:val="21"/>
                      <w:szCs w:val="21"/>
                      <w:highlight w:val="none"/>
                      <w:u w:val="none"/>
                      <w:vertAlign w:val="baseline"/>
                      <w:lang w:val="en-US" w:eastAsia="zh-CN" w:bidi="ar-SA"/>
                      <w14:textFill>
                        <w14:solidFill>
                          <w14:schemeClr w14:val="tx1"/>
                        </w14:solidFill>
                      </w14:textFill>
                    </w:rPr>
                  </w:pPr>
                  <w: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58</w:t>
                  </w:r>
                </w:p>
              </w:tc>
              <w:tc>
                <w:tcPr>
                  <w:tcW w:w="504" w:type="dxa"/>
                  <w:tcBorders>
                    <w:tl2br w:val="nil"/>
                    <w:tr2bl w:val="nil"/>
                  </w:tcBorders>
                  <w:shd w:val="clear" w:color="auto" w:fill="auto"/>
                  <w:noWrap/>
                  <w:vAlign w:val="center"/>
                </w:tcPr>
                <w:p w14:paraId="1FFD49F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2"/>
                      <w:sz w:val="21"/>
                      <w:szCs w:val="21"/>
                      <w:highlight w:val="none"/>
                      <w:u w:val="none"/>
                      <w:vertAlign w:val="baseline"/>
                      <w:lang w:val="en-US" w:eastAsia="zh-CN" w:bidi="ar-SA"/>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w:t>
                  </w:r>
                </w:p>
              </w:tc>
              <w:tc>
                <w:tcPr>
                  <w:tcW w:w="505" w:type="dxa"/>
                  <w:tcBorders>
                    <w:tl2br w:val="nil"/>
                    <w:tr2bl w:val="nil"/>
                  </w:tcBorders>
                  <w:shd w:val="clear" w:color="auto" w:fill="auto"/>
                  <w:noWrap/>
                  <w:vAlign w:val="center"/>
                </w:tcPr>
                <w:p w14:paraId="41D1EE1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2"/>
                      <w:sz w:val="21"/>
                      <w:szCs w:val="21"/>
                      <w:highlight w:val="none"/>
                      <w:u w:val="none"/>
                      <w:vertAlign w:val="baseline"/>
                      <w:lang w:val="en-US" w:eastAsia="zh-CN" w:bidi="ar-SA"/>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47</w:t>
                  </w:r>
                </w:p>
              </w:tc>
              <w:tc>
                <w:tcPr>
                  <w:tcW w:w="607" w:type="dxa"/>
                  <w:tcBorders>
                    <w:tl2br w:val="nil"/>
                    <w:tr2bl w:val="nil"/>
                  </w:tcBorders>
                  <w:shd w:val="clear" w:color="auto" w:fill="auto"/>
                  <w:vAlign w:val="center"/>
                </w:tcPr>
                <w:p w14:paraId="045CC3B5">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584" w:type="dxa"/>
                  <w:tcBorders>
                    <w:tl2br w:val="nil"/>
                    <w:tr2bl w:val="nil"/>
                  </w:tcBorders>
                  <w:shd w:val="clear" w:color="auto" w:fill="auto"/>
                  <w:vAlign w:val="center"/>
                </w:tcPr>
                <w:p w14:paraId="5D9B3B29">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658" w:type="dxa"/>
                  <w:tcBorders>
                    <w:tl2br w:val="nil"/>
                    <w:tr2bl w:val="nil"/>
                  </w:tcBorders>
                  <w:shd w:val="clear" w:color="auto" w:fill="auto"/>
                  <w:vAlign w:val="center"/>
                </w:tcPr>
                <w:p w14:paraId="1BF3F4B8">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81.6 </w:t>
                  </w:r>
                </w:p>
              </w:tc>
              <w:tc>
                <w:tcPr>
                  <w:tcW w:w="631" w:type="dxa"/>
                  <w:tcBorders>
                    <w:tl2br w:val="nil"/>
                    <w:tr2bl w:val="nil"/>
                  </w:tcBorders>
                  <w:shd w:val="clear" w:color="auto" w:fill="auto"/>
                  <w:vAlign w:val="center"/>
                </w:tcPr>
                <w:p w14:paraId="56A2C507">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72.7 </w:t>
                  </w:r>
                </w:p>
              </w:tc>
              <w:tc>
                <w:tcPr>
                  <w:tcW w:w="526" w:type="dxa"/>
                  <w:tcBorders>
                    <w:tl2br w:val="nil"/>
                    <w:tr2bl w:val="nil"/>
                  </w:tcBorders>
                  <w:shd w:val="clear" w:color="auto" w:fill="auto"/>
                  <w:vAlign w:val="center"/>
                </w:tcPr>
                <w:p w14:paraId="55CADD77">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792CC961">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69AAFC93">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533" w:type="dxa"/>
                  <w:tcBorders>
                    <w:tl2br w:val="nil"/>
                    <w:tr2bl w:val="nil"/>
                  </w:tcBorders>
                  <w:shd w:val="clear" w:color="auto" w:fill="auto"/>
                  <w:vAlign w:val="center"/>
                </w:tcPr>
                <w:p w14:paraId="577A5A0B">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609" w:type="dxa"/>
                  <w:tcBorders>
                    <w:tl2br w:val="nil"/>
                    <w:tr2bl w:val="nil"/>
                  </w:tcBorders>
                  <w:shd w:val="clear" w:color="auto" w:fill="auto"/>
                  <w:vAlign w:val="center"/>
                </w:tcPr>
                <w:p w14:paraId="5EB4D91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c>
                <w:tcPr>
                  <w:tcW w:w="609" w:type="dxa"/>
                  <w:tcBorders>
                    <w:tl2br w:val="nil"/>
                    <w:tr2bl w:val="nil"/>
                  </w:tcBorders>
                  <w:shd w:val="clear" w:color="auto" w:fill="auto"/>
                  <w:vAlign w:val="center"/>
                </w:tcPr>
                <w:p w14:paraId="072898A8">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c>
                <w:tcPr>
                  <w:tcW w:w="609" w:type="dxa"/>
                  <w:tcBorders>
                    <w:tl2br w:val="nil"/>
                    <w:tr2bl w:val="nil"/>
                  </w:tcBorders>
                  <w:shd w:val="clear" w:color="auto" w:fill="auto"/>
                  <w:vAlign w:val="center"/>
                </w:tcPr>
                <w:p w14:paraId="508CF62B">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60.6 </w:t>
                  </w:r>
                </w:p>
              </w:tc>
              <w:tc>
                <w:tcPr>
                  <w:tcW w:w="613" w:type="dxa"/>
                  <w:tcBorders>
                    <w:tl2br w:val="nil"/>
                    <w:tr2bl w:val="nil"/>
                  </w:tcBorders>
                  <w:shd w:val="clear" w:color="auto" w:fill="auto"/>
                  <w:vAlign w:val="center"/>
                </w:tcPr>
                <w:p w14:paraId="1E491066">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highlight w:val="none"/>
                      <w:u w:val="none"/>
                      <w:lang w:val="en-US" w:eastAsia="zh-CN" w:bidi="ar"/>
                      <w14:textFill>
                        <w14:solidFill>
                          <w14:schemeClr w14:val="tx1"/>
                        </w14:solidFill>
                      </w14:textFill>
                    </w:rPr>
                    <w:t xml:space="preserve">51.7 </w:t>
                  </w:r>
                </w:p>
              </w:tc>
            </w:tr>
            <w:tr w14:paraId="5682EBFD">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380" w:hRule="atLeast"/>
              </w:trPr>
              <w:tc>
                <w:tcPr>
                  <w:tcW w:w="631" w:type="dxa"/>
                  <w:tcBorders>
                    <w:tl2br w:val="nil"/>
                    <w:tr2bl w:val="nil"/>
                  </w:tcBorders>
                  <w:shd w:val="clear" w:color="auto" w:fill="auto"/>
                  <w:vAlign w:val="center"/>
                </w:tcPr>
                <w:p w14:paraId="4D20675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8</w:t>
                  </w:r>
                </w:p>
              </w:tc>
              <w:tc>
                <w:tcPr>
                  <w:tcW w:w="2134" w:type="dxa"/>
                  <w:tcBorders>
                    <w:tl2br w:val="nil"/>
                    <w:tr2bl w:val="nil"/>
                  </w:tcBorders>
                  <w:shd w:val="clear" w:color="auto" w:fill="auto"/>
                  <w:noWrap/>
                  <w:vAlign w:val="center"/>
                </w:tcPr>
                <w:p w14:paraId="55981EA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皮带输送机</w:t>
                  </w:r>
                </w:p>
              </w:tc>
              <w:tc>
                <w:tcPr>
                  <w:tcW w:w="1065" w:type="dxa"/>
                  <w:tcBorders>
                    <w:tl2br w:val="nil"/>
                    <w:tr2bl w:val="nil"/>
                  </w:tcBorders>
                  <w:shd w:val="clear" w:color="auto" w:fill="auto"/>
                  <w:vAlign w:val="center"/>
                </w:tcPr>
                <w:p w14:paraId="64731CE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75</w:t>
                  </w:r>
                </w:p>
              </w:tc>
              <w:tc>
                <w:tcPr>
                  <w:tcW w:w="701" w:type="dxa"/>
                  <w:tcBorders>
                    <w:tl2br w:val="nil"/>
                    <w:tr2bl w:val="nil"/>
                  </w:tcBorders>
                  <w:shd w:val="clear" w:color="auto" w:fill="auto"/>
                  <w:vAlign w:val="center"/>
                </w:tcPr>
                <w:p w14:paraId="652B598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bottom"/>
                    <w:rPr>
                      <w:rFonts w:hint="eastAsia" w:ascii="Times New Roman" w:hAnsi="Times New Roman" w:eastAsia="宋体" w:cs="Times New Roman"/>
                      <w:i w:val="0"/>
                      <w:iCs w:val="0"/>
                      <w:color w:val="000000" w:themeColor="text1"/>
                      <w:kern w:val="2"/>
                      <w:sz w:val="21"/>
                      <w:szCs w:val="21"/>
                      <w:highlight w:val="none"/>
                      <w:u w:val="none"/>
                      <w:vertAlign w:val="baseli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5</w:t>
                  </w:r>
                </w:p>
              </w:tc>
              <w:tc>
                <w:tcPr>
                  <w:tcW w:w="504" w:type="dxa"/>
                  <w:tcBorders>
                    <w:tl2br w:val="nil"/>
                    <w:tr2bl w:val="nil"/>
                  </w:tcBorders>
                  <w:shd w:val="clear" w:color="auto" w:fill="auto"/>
                  <w:noWrap/>
                  <w:vAlign w:val="center"/>
                </w:tcPr>
                <w:p w14:paraId="2B8D67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77</w:t>
                  </w:r>
                </w:p>
              </w:tc>
              <w:tc>
                <w:tcPr>
                  <w:tcW w:w="504" w:type="dxa"/>
                  <w:tcBorders>
                    <w:tl2br w:val="nil"/>
                    <w:tr2bl w:val="nil"/>
                  </w:tcBorders>
                  <w:shd w:val="clear" w:color="auto" w:fill="auto"/>
                  <w:noWrap/>
                  <w:vAlign w:val="center"/>
                </w:tcPr>
                <w:p w14:paraId="1106051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21</w:t>
                  </w:r>
                </w:p>
              </w:tc>
              <w:tc>
                <w:tcPr>
                  <w:tcW w:w="504" w:type="dxa"/>
                  <w:tcBorders>
                    <w:tl2br w:val="nil"/>
                    <w:tr2bl w:val="nil"/>
                  </w:tcBorders>
                  <w:shd w:val="clear" w:color="auto" w:fill="auto"/>
                  <w:noWrap/>
                  <w:vAlign w:val="center"/>
                </w:tcPr>
                <w:p w14:paraId="0F24C79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15</w:t>
                  </w:r>
                </w:p>
              </w:tc>
              <w:tc>
                <w:tcPr>
                  <w:tcW w:w="505" w:type="dxa"/>
                  <w:tcBorders>
                    <w:tl2br w:val="nil"/>
                    <w:tr2bl w:val="nil"/>
                  </w:tcBorders>
                  <w:shd w:val="clear" w:color="auto" w:fill="auto"/>
                  <w:noWrap/>
                  <w:vAlign w:val="center"/>
                </w:tcPr>
                <w:p w14:paraId="18397E5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eastAsia"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28</w:t>
                  </w:r>
                </w:p>
              </w:tc>
              <w:tc>
                <w:tcPr>
                  <w:tcW w:w="607" w:type="dxa"/>
                  <w:tcBorders>
                    <w:tl2br w:val="nil"/>
                    <w:tr2bl w:val="nil"/>
                  </w:tcBorders>
                  <w:shd w:val="clear" w:color="auto" w:fill="auto"/>
                  <w:vAlign w:val="center"/>
                </w:tcPr>
                <w:p w14:paraId="23A2DAC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 xml:space="preserve">52.6 </w:t>
                  </w:r>
                </w:p>
              </w:tc>
              <w:tc>
                <w:tcPr>
                  <w:tcW w:w="584" w:type="dxa"/>
                  <w:tcBorders>
                    <w:tl2br w:val="nil"/>
                    <w:tr2bl w:val="nil"/>
                  </w:tcBorders>
                  <w:shd w:val="clear" w:color="auto" w:fill="auto"/>
                  <w:vAlign w:val="center"/>
                </w:tcPr>
                <w:p w14:paraId="7466C4E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 xml:space="preserve">52.9 </w:t>
                  </w:r>
                </w:p>
              </w:tc>
              <w:tc>
                <w:tcPr>
                  <w:tcW w:w="658" w:type="dxa"/>
                  <w:tcBorders>
                    <w:tl2br w:val="nil"/>
                    <w:tr2bl w:val="nil"/>
                  </w:tcBorders>
                  <w:shd w:val="clear" w:color="auto" w:fill="auto"/>
                  <w:vAlign w:val="center"/>
                </w:tcPr>
                <w:p w14:paraId="4836C92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 xml:space="preserve">53.1 </w:t>
                  </w:r>
                </w:p>
              </w:tc>
              <w:tc>
                <w:tcPr>
                  <w:tcW w:w="631" w:type="dxa"/>
                  <w:tcBorders>
                    <w:tl2br w:val="nil"/>
                    <w:tr2bl w:val="nil"/>
                  </w:tcBorders>
                  <w:shd w:val="clear" w:color="auto" w:fill="auto"/>
                  <w:vAlign w:val="center"/>
                </w:tcPr>
                <w:p w14:paraId="57AC846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 xml:space="preserve">52.8 </w:t>
                  </w:r>
                </w:p>
              </w:tc>
              <w:tc>
                <w:tcPr>
                  <w:tcW w:w="526" w:type="dxa"/>
                  <w:tcBorders>
                    <w:tl2br w:val="nil"/>
                    <w:tr2bl w:val="nil"/>
                  </w:tcBorders>
                  <w:shd w:val="clear" w:color="auto" w:fill="auto"/>
                  <w:vAlign w:val="center"/>
                </w:tcPr>
                <w:p w14:paraId="0F457C3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10C9EA2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21</w:t>
                  </w:r>
                </w:p>
              </w:tc>
              <w:tc>
                <w:tcPr>
                  <w:tcW w:w="526" w:type="dxa"/>
                  <w:tcBorders>
                    <w:tl2br w:val="nil"/>
                    <w:tr2bl w:val="nil"/>
                  </w:tcBorders>
                  <w:shd w:val="clear" w:color="auto" w:fill="auto"/>
                  <w:vAlign w:val="center"/>
                </w:tcPr>
                <w:p w14:paraId="4AD107F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21</w:t>
                  </w:r>
                </w:p>
              </w:tc>
              <w:tc>
                <w:tcPr>
                  <w:tcW w:w="533" w:type="dxa"/>
                  <w:tcBorders>
                    <w:tl2br w:val="nil"/>
                    <w:tr2bl w:val="nil"/>
                  </w:tcBorders>
                  <w:shd w:val="clear" w:color="auto" w:fill="auto"/>
                  <w:vAlign w:val="center"/>
                </w:tcPr>
                <w:p w14:paraId="633BA1D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21</w:t>
                  </w:r>
                </w:p>
              </w:tc>
              <w:tc>
                <w:tcPr>
                  <w:tcW w:w="609" w:type="dxa"/>
                  <w:tcBorders>
                    <w:tl2br w:val="nil"/>
                    <w:tr2bl w:val="nil"/>
                  </w:tcBorders>
                  <w:shd w:val="clear" w:color="auto" w:fill="auto"/>
                  <w:vAlign w:val="center"/>
                </w:tcPr>
                <w:p w14:paraId="2051696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 xml:space="preserve">31.6 </w:t>
                  </w:r>
                </w:p>
              </w:tc>
              <w:tc>
                <w:tcPr>
                  <w:tcW w:w="609" w:type="dxa"/>
                  <w:tcBorders>
                    <w:tl2br w:val="nil"/>
                    <w:tr2bl w:val="nil"/>
                  </w:tcBorders>
                  <w:shd w:val="clear" w:color="auto" w:fill="auto"/>
                  <w:vAlign w:val="center"/>
                </w:tcPr>
                <w:p w14:paraId="68DD08B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 xml:space="preserve">31.9 </w:t>
                  </w:r>
                </w:p>
              </w:tc>
              <w:tc>
                <w:tcPr>
                  <w:tcW w:w="609" w:type="dxa"/>
                  <w:tcBorders>
                    <w:tl2br w:val="nil"/>
                    <w:tr2bl w:val="nil"/>
                  </w:tcBorders>
                  <w:shd w:val="clear" w:color="auto" w:fill="auto"/>
                  <w:vAlign w:val="center"/>
                </w:tcPr>
                <w:p w14:paraId="7DE289D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 xml:space="preserve">32.1 </w:t>
                  </w:r>
                </w:p>
              </w:tc>
              <w:tc>
                <w:tcPr>
                  <w:tcW w:w="613" w:type="dxa"/>
                  <w:tcBorders>
                    <w:tl2br w:val="nil"/>
                    <w:tr2bl w:val="nil"/>
                  </w:tcBorders>
                  <w:shd w:val="clear" w:color="auto" w:fill="auto"/>
                  <w:vAlign w:val="center"/>
                </w:tcPr>
                <w:p w14:paraId="528D4D9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default" w:eastAsia="等线"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 xml:space="preserve">31.8 </w:t>
                  </w:r>
                </w:p>
              </w:tc>
            </w:tr>
          </w:tbl>
          <w:p w14:paraId="5115920B">
            <w:pPr>
              <w:keepNext w:val="0"/>
              <w:keepLines w:val="0"/>
              <w:pageBreakBefore w:val="0"/>
              <w:widowControl w:val="0"/>
              <w:numPr>
                <w:ilvl w:val="0"/>
                <w:numId w:val="0"/>
              </w:numPr>
              <w:shd w:val="clear"/>
              <w:tabs>
                <w:tab w:val="left" w:pos="0"/>
              </w:tabs>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p>
          <w:p w14:paraId="0B33ECE4">
            <w:pPr>
              <w:pStyle w:val="12"/>
              <w:keepNext w:val="0"/>
              <w:keepLines w:val="0"/>
              <w:pageBreakBefore w:val="0"/>
              <w:widowControl/>
              <w:shd w:val="clear"/>
              <w:tabs>
                <w:tab w:val="left" w:pos="789"/>
              </w:tabs>
              <w:kinsoku/>
              <w:wordWrap/>
              <w:overflowPunct/>
              <w:topLinePunct w:val="0"/>
              <w:autoSpaceDE/>
              <w:autoSpaceDN/>
              <w:bidi w:val="0"/>
              <w:adjustRightInd/>
              <w:snapToGrid w:val="0"/>
              <w:spacing w:before="0" w:after="0" w:line="240" w:lineRule="atLeast"/>
              <w:ind w:right="0" w:firstLine="180" w:firstLineChars="100"/>
              <w:jc w:val="left"/>
              <w:textAlignment w:val="auto"/>
              <w:rPr>
                <w:rFonts w:hint="default" w:ascii="Times New Roman" w:hAnsi="Times New Roman" w:cs="Times New Roman"/>
                <w:color w:val="000000" w:themeColor="text1"/>
                <w:highlight w:val="none"/>
                <w14:textFill>
                  <w14:solidFill>
                    <w14:schemeClr w14:val="tx1"/>
                  </w14:solidFill>
                </w14:textFill>
              </w:rPr>
            </w:pPr>
          </w:p>
        </w:tc>
      </w:tr>
    </w:tbl>
    <w:p w14:paraId="7B85B4D4">
      <w:pPr>
        <w:pStyle w:val="15"/>
        <w:shd w:val="clear"/>
        <w:rPr>
          <w:rFonts w:hint="default" w:ascii="Times New Roman" w:hAnsi="Times New Roman" w:cs="Times New Roman"/>
          <w:color w:val="000000" w:themeColor="text1"/>
          <w:highlight w:val="none"/>
          <w14:textFill>
            <w14:solidFill>
              <w14:schemeClr w14:val="tx1"/>
            </w14:solidFill>
          </w14:textFill>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Layout w:type="fixed"/>
        <w:tblCellMar>
          <w:top w:w="0" w:type="dxa"/>
          <w:left w:w="108" w:type="dxa"/>
          <w:bottom w:w="0" w:type="dxa"/>
          <w:right w:w="108" w:type="dxa"/>
        </w:tblCellMar>
      </w:tblPr>
      <w:tblGrid>
        <w:gridCol w:w="1115"/>
        <w:gridCol w:w="8343"/>
      </w:tblGrid>
      <w:tr w14:paraId="3A902E9C">
        <w:tblPrEx>
          <w:tblBorders>
            <w:top w:val="single" w:color="auto" w:sz="12" w:space="0"/>
            <w:left w:val="single" w:color="auto" w:sz="12" w:space="0"/>
            <w:bottom w:val="single" w:color="auto" w:sz="12" w:space="0"/>
            <w:right w:val="single" w:color="auto" w:sz="12" w:space="0"/>
            <w:insideH w:val="single" w:color="auto" w:sz="4" w:space="0"/>
            <w:insideV w:val="dotted" w:color="auto" w:sz="4" w:space="0"/>
          </w:tblBorders>
          <w:tblCellMar>
            <w:top w:w="0" w:type="dxa"/>
            <w:left w:w="108" w:type="dxa"/>
            <w:bottom w:w="0" w:type="dxa"/>
            <w:right w:w="108" w:type="dxa"/>
          </w:tblCellMar>
        </w:tblPrEx>
        <w:tc>
          <w:tcPr>
            <w:tcW w:w="1115" w:type="dxa"/>
            <w:tcBorders>
              <w:tl2br w:val="nil"/>
              <w:tr2bl w:val="nil"/>
            </w:tcBorders>
            <w:vAlign w:val="center"/>
          </w:tcPr>
          <w:p w14:paraId="455017DF">
            <w:pPr>
              <w:pStyle w:val="43"/>
              <w:keepNext w:val="0"/>
              <w:keepLines w:val="0"/>
              <w:pageBreakBefore w:val="0"/>
              <w:widowControl w:val="0"/>
              <w:shd w:val="clear"/>
              <w:kinsoku/>
              <w:wordWrap/>
              <w:overflowPunct/>
              <w:topLinePunct w:val="0"/>
              <w:autoSpaceDE/>
              <w:autoSpaceDN/>
              <w:bidi w:val="0"/>
              <w:adjustRightInd/>
              <w:snapToGrid/>
              <w:spacing w:before="0" w:after="0"/>
              <w:jc w:val="center"/>
              <w:textAlignment w:val="auto"/>
              <w:rPr>
                <w:rFonts w:hint="default" w:ascii="Times New Roman" w:hAnsi="Times New Roman" w:cs="Times New Roman"/>
                <w:color w:val="000000" w:themeColor="text1"/>
                <w:highlight w:val="none"/>
                <w:vertAlign w:val="baseline"/>
                <w14:textFill>
                  <w14:solidFill>
                    <w14:schemeClr w14:val="tx1"/>
                  </w14:solidFill>
                </w14:textFill>
              </w:rPr>
            </w:pPr>
          </w:p>
        </w:tc>
        <w:tc>
          <w:tcPr>
            <w:tcW w:w="8343" w:type="dxa"/>
            <w:tcBorders>
              <w:tl2br w:val="nil"/>
              <w:tr2bl w:val="nil"/>
            </w:tcBorders>
          </w:tcPr>
          <w:p w14:paraId="1C26037F">
            <w:pPr>
              <w:keepNext w:val="0"/>
              <w:keepLines w:val="0"/>
              <w:pageBreakBefore w:val="0"/>
              <w:widowControl w:val="0"/>
              <w:shd w:val="clear"/>
              <w:kinsoku/>
              <w:wordWrap/>
              <w:overflowPunct/>
              <w:topLinePunct w:val="0"/>
              <w:autoSpaceDE w:val="0"/>
              <w:autoSpaceDN w:val="0"/>
              <w:bidi w:val="0"/>
              <w:adjustRightInd w:val="0"/>
              <w:snapToGrid/>
              <w:spacing w:line="360" w:lineRule="auto"/>
              <w:ind w:left="0" w:leftChars="0" w:firstLine="480" w:firstLineChars="200"/>
              <w:jc w:val="left"/>
              <w:textAlignment w:val="auto"/>
              <w:outlineLvl w:val="9"/>
              <w:rPr>
                <w:rFonts w:hint="default" w:ascii="Times New Roman" w:hAnsi="Times New Roman" w:eastAsia="宋体" w:cs="Times New Roman"/>
                <w:color w:val="000000" w:themeColor="text1"/>
                <w:sz w:val="24"/>
                <w:highlight w:val="none"/>
                <w:lang w:val="zh-CN"/>
                <w14:textFill>
                  <w14:solidFill>
                    <w14:schemeClr w14:val="tx1"/>
                  </w14:solidFill>
                </w14:textFill>
              </w:rPr>
            </w:pPr>
            <w:r>
              <w:rPr>
                <w:rFonts w:hint="eastAsia" w:ascii="Times New Roman" w:hAnsi="Times New Roman" w:eastAsia="宋体" w:cs="Times New Roman"/>
                <w:color w:val="000000" w:themeColor="text1"/>
                <w:sz w:val="24"/>
                <w:highlight w:val="none"/>
                <w:lang w:val="zh-CN"/>
                <w14:textFill>
                  <w14:solidFill>
                    <w14:schemeClr w14:val="tx1"/>
                  </w14:solidFill>
                </w14:textFill>
              </w:rPr>
              <w:t>⑴</w:t>
            </w:r>
            <w:r>
              <w:rPr>
                <w:rFonts w:hint="default" w:ascii="Times New Roman" w:hAnsi="Times New Roman" w:eastAsia="宋体" w:cs="Times New Roman"/>
                <w:color w:val="000000" w:themeColor="text1"/>
                <w:sz w:val="24"/>
                <w:highlight w:val="none"/>
                <w:lang w:val="zh-CN"/>
                <w14:textFill>
                  <w14:solidFill>
                    <w14:schemeClr w14:val="tx1"/>
                  </w14:solidFill>
                </w14:textFill>
              </w:rPr>
              <w:t>噪声预测</w:t>
            </w:r>
          </w:p>
          <w:p w14:paraId="104154F2">
            <w:pPr>
              <w:keepNext w:val="0"/>
              <w:keepLines w:val="0"/>
              <w:pageBreakBefore w:val="0"/>
              <w:widowControl w:val="0"/>
              <w:shd w:val="clear"/>
              <w:kinsoku/>
              <w:wordWrap/>
              <w:overflowPunct/>
              <w:topLinePunct w:val="0"/>
              <w:autoSpaceDE w:val="0"/>
              <w:autoSpaceDN w:val="0"/>
              <w:bidi w:val="0"/>
              <w:adjustRightInd w:val="0"/>
              <w:snapToGrid/>
              <w:spacing w:line="360" w:lineRule="auto"/>
              <w:ind w:left="0" w:leftChars="0" w:firstLine="480" w:firstLineChars="200"/>
              <w:jc w:val="left"/>
              <w:textAlignment w:val="auto"/>
              <w:outlineLvl w:val="9"/>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预测模</w:t>
            </w:r>
            <w:r>
              <w:rPr>
                <w:rFonts w:hint="default" w:ascii="Times New Roman" w:hAnsi="Times New Roman" w:cs="Times New Roman"/>
                <w:color w:val="000000" w:themeColor="text1"/>
                <w:sz w:val="24"/>
                <w:highlight w:val="none"/>
                <w:lang w:val="en-US" w:eastAsia="zh-CN"/>
                <w14:textFill>
                  <w14:solidFill>
                    <w14:schemeClr w14:val="tx1"/>
                  </w14:solidFill>
                </w14:textFill>
              </w:rPr>
              <w:t>型</w:t>
            </w:r>
            <w:r>
              <w:rPr>
                <w:rFonts w:hint="default" w:ascii="Times New Roman" w:hAnsi="Times New Roman" w:cs="Times New Roman"/>
                <w:color w:val="000000" w:themeColor="text1"/>
                <w:sz w:val="24"/>
                <w:highlight w:val="none"/>
                <w14:textFill>
                  <w14:solidFill>
                    <w14:schemeClr w14:val="tx1"/>
                  </w14:solidFill>
                </w14:textFill>
              </w:rPr>
              <w:t>采用《环境影响评价技术导则</w:t>
            </w:r>
            <w:r>
              <w:rPr>
                <w:rFonts w:hint="eastAsia" w:cs="Times New Roman"/>
                <w:color w:val="000000" w:themeColor="text1"/>
                <w:sz w:val="24"/>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4"/>
                <w:highlight w:val="none"/>
                <w:lang w:val="en-US" w:eastAsia="zh-CN"/>
                <w14:textFill>
                  <w14:solidFill>
                    <w14:schemeClr w14:val="tx1"/>
                  </w14:solidFill>
                </w14:textFill>
              </w:rPr>
              <w:t>声环境</w:t>
            </w:r>
            <w:r>
              <w:rPr>
                <w:rFonts w:hint="default" w:ascii="Times New Roman" w:hAnsi="Times New Roman" w:cs="Times New Roman"/>
                <w:color w:val="000000" w:themeColor="text1"/>
                <w:sz w:val="24"/>
                <w:highlight w:val="none"/>
                <w14:textFill>
                  <w14:solidFill>
                    <w14:schemeClr w14:val="tx1"/>
                  </w14:solidFill>
                </w14:textFill>
              </w:rPr>
              <w:t>》（HJ2.4-</w:t>
            </w:r>
            <w:r>
              <w:rPr>
                <w:rFonts w:hint="default" w:ascii="Times New Roman" w:hAnsi="Times New Roman" w:cs="Times New Roman"/>
                <w:color w:val="000000" w:themeColor="text1"/>
                <w:sz w:val="24"/>
                <w:highlight w:val="none"/>
                <w:lang w:val="en-US" w:eastAsia="zh-CN"/>
                <w14:textFill>
                  <w14:solidFill>
                    <w14:schemeClr w14:val="tx1"/>
                  </w14:solidFill>
                </w14:textFill>
              </w:rPr>
              <w:t>2021</w:t>
            </w:r>
            <w:r>
              <w:rPr>
                <w:rFonts w:hint="default" w:ascii="Times New Roman" w:hAnsi="Times New Roman" w:cs="Times New Roman"/>
                <w:color w:val="000000" w:themeColor="text1"/>
                <w:sz w:val="24"/>
                <w:highlight w:val="none"/>
                <w14:textFill>
                  <w14:solidFill>
                    <w14:schemeClr w14:val="tx1"/>
                  </w14:solidFill>
                </w14:textFill>
              </w:rPr>
              <w:t>）中</w:t>
            </w:r>
            <w:r>
              <w:rPr>
                <w:rFonts w:hint="default" w:ascii="Times New Roman" w:hAnsi="Times New Roman" w:cs="Times New Roman"/>
                <w:color w:val="000000" w:themeColor="text1"/>
                <w:sz w:val="24"/>
                <w:highlight w:val="none"/>
                <w:lang w:val="en-US" w:eastAsia="zh-CN"/>
                <w14:textFill>
                  <w14:solidFill>
                    <w14:schemeClr w14:val="tx1"/>
                  </w14:solidFill>
                </w14:textFill>
              </w:rPr>
              <w:t>附录A和附录B</w:t>
            </w:r>
            <w:r>
              <w:rPr>
                <w:rFonts w:hint="default" w:ascii="Times New Roman" w:hAnsi="Times New Roman" w:cs="Times New Roman"/>
                <w:color w:val="000000" w:themeColor="text1"/>
                <w:sz w:val="24"/>
                <w:highlight w:val="none"/>
                <w14:textFill>
                  <w14:solidFill>
                    <w14:schemeClr w14:val="tx1"/>
                  </w14:solidFill>
                </w14:textFill>
              </w:rPr>
              <w:t>推荐的工业噪声预测模</w:t>
            </w:r>
            <w:r>
              <w:rPr>
                <w:rFonts w:hint="default" w:ascii="Times New Roman" w:hAnsi="Times New Roman" w:cs="Times New Roman"/>
                <w:color w:val="000000" w:themeColor="text1"/>
                <w:sz w:val="24"/>
                <w:highlight w:val="none"/>
                <w:lang w:val="en-US" w:eastAsia="zh-CN"/>
                <w14:textFill>
                  <w14:solidFill>
                    <w14:schemeClr w14:val="tx1"/>
                  </w14:solidFill>
                </w14:textFill>
              </w:rPr>
              <w:t>型</w:t>
            </w:r>
            <w:r>
              <w:rPr>
                <w:rFonts w:hint="default" w:ascii="Times New Roman" w:hAnsi="Times New Roman" w:cs="Times New Roman"/>
                <w:color w:val="000000" w:themeColor="text1"/>
                <w:sz w:val="24"/>
                <w:highlight w:val="none"/>
                <w14:textFill>
                  <w14:solidFill>
                    <w14:schemeClr w14:val="tx1"/>
                  </w14:solidFill>
                </w14:textFill>
              </w:rPr>
              <w:t>。预测计算只考虑工程各声源所在厂房围护结构的屏蔽效应和声源至受声点的几何发散衰减，不考虑空气吸收及影响较小的附加衰减。</w:t>
            </w:r>
          </w:p>
          <w:p w14:paraId="7C2C6BC8">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采用预测模式如下：</w:t>
            </w:r>
          </w:p>
          <w:p w14:paraId="715E5B66">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snapToGrid w:val="0"/>
                <w:color w:val="000000" w:themeColor="text1"/>
                <w:sz w:val="24"/>
                <w:highlight w:val="none"/>
                <w14:textFill>
                  <w14:solidFill>
                    <w14:schemeClr w14:val="tx1"/>
                  </w14:solidFill>
                </w14:textFill>
              </w:rPr>
            </w:pPr>
            <w:r>
              <w:rPr>
                <w:rFonts w:hint="default" w:ascii="Times New Roman" w:hAnsi="Times New Roman" w:cs="Times New Roman"/>
                <w:snapToGrid w:val="0"/>
                <w:color w:val="000000" w:themeColor="text1"/>
                <w:sz w:val="24"/>
                <w:highlight w:val="none"/>
                <w14:textFill>
                  <w14:solidFill>
                    <w14:schemeClr w14:val="tx1"/>
                  </w14:solidFill>
                </w14:textFill>
              </w:rPr>
              <w:fldChar w:fldCharType="begin"/>
            </w:r>
            <w:r>
              <w:rPr>
                <w:rFonts w:hint="default" w:ascii="Times New Roman" w:hAnsi="Times New Roman" w:cs="Times New Roman"/>
                <w:snapToGrid w:val="0"/>
                <w:color w:val="000000" w:themeColor="text1"/>
                <w:sz w:val="24"/>
                <w:highlight w:val="none"/>
                <w14:textFill>
                  <w14:solidFill>
                    <w14:schemeClr w14:val="tx1"/>
                  </w14:solidFill>
                </w14:textFill>
              </w:rPr>
              <w:instrText xml:space="preserve"> = 1 \* GB3 </w:instrText>
            </w:r>
            <w:r>
              <w:rPr>
                <w:rFonts w:hint="default" w:ascii="Times New Roman" w:hAnsi="Times New Roman" w:cs="Times New Roman"/>
                <w:snapToGrid w:val="0"/>
                <w:color w:val="000000" w:themeColor="text1"/>
                <w:sz w:val="24"/>
                <w:highlight w:val="none"/>
                <w14:textFill>
                  <w14:solidFill>
                    <w14:schemeClr w14:val="tx1"/>
                  </w14:solidFill>
                </w14:textFill>
              </w:rPr>
              <w:fldChar w:fldCharType="separate"/>
            </w:r>
            <w:r>
              <w:rPr>
                <w:rFonts w:hint="default" w:ascii="Times New Roman" w:hAnsi="Times New Roman" w:cs="Times New Roman"/>
                <w:snapToGrid w:val="0"/>
                <w:color w:val="000000" w:themeColor="text1"/>
                <w:sz w:val="24"/>
                <w:highlight w:val="none"/>
                <w14:textFill>
                  <w14:solidFill>
                    <w14:schemeClr w14:val="tx1"/>
                  </w14:solidFill>
                </w14:textFill>
              </w:rPr>
              <w:t>①</w:t>
            </w:r>
            <w:r>
              <w:rPr>
                <w:rFonts w:hint="default" w:ascii="Times New Roman" w:hAnsi="Times New Roman" w:cs="Times New Roman"/>
                <w:snapToGrid w:val="0"/>
                <w:color w:val="000000" w:themeColor="text1"/>
                <w:sz w:val="24"/>
                <w:highlight w:val="none"/>
                <w14:textFill>
                  <w14:solidFill>
                    <w14:schemeClr w14:val="tx1"/>
                  </w14:solidFill>
                </w14:textFill>
              </w:rPr>
              <w:fldChar w:fldCharType="end"/>
            </w:r>
            <w:r>
              <w:rPr>
                <w:rFonts w:hint="default" w:ascii="Times New Roman" w:hAnsi="Times New Roman" w:cs="Times New Roman"/>
                <w:snapToGrid w:val="0"/>
                <w:color w:val="000000" w:themeColor="text1"/>
                <w:sz w:val="24"/>
                <w:highlight w:val="none"/>
                <w14:textFill>
                  <w14:solidFill>
                    <w14:schemeClr w14:val="tx1"/>
                  </w14:solidFill>
                </w14:textFill>
              </w:rPr>
              <w:t>室外声源在预测点产生的声级计算模型</w:t>
            </w:r>
          </w:p>
          <w:p w14:paraId="14D2C267">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snapToGrid w:val="0"/>
                <w:color w:val="000000" w:themeColor="text1"/>
                <w:sz w:val="24"/>
                <w:highlight w:val="none"/>
                <w:lang w:eastAsia="zh-CN"/>
                <w14:textFill>
                  <w14:solidFill>
                    <w14:schemeClr w14:val="tx1"/>
                  </w14:solidFill>
                </w14:textFill>
              </w:rPr>
            </w:pPr>
            <w:r>
              <w:rPr>
                <w:rFonts w:hint="default" w:ascii="Times New Roman" w:hAnsi="Times New Roman" w:cs="Times New Roman"/>
                <w:snapToGrid w:val="0"/>
                <w:color w:val="000000" w:themeColor="text1"/>
                <w:sz w:val="24"/>
                <w:highlight w:val="none"/>
                <w14:textFill>
                  <w14:solidFill>
                    <w14:schemeClr w14:val="tx1"/>
                  </w14:solidFill>
                </w14:textFill>
              </w:rPr>
              <w:t>室外声源在预测点产生的声级计算模型参照导则附录A</w:t>
            </w:r>
            <w:r>
              <w:rPr>
                <w:rFonts w:hint="default" w:ascii="Times New Roman" w:hAnsi="Times New Roman" w:cs="Times New Roman"/>
                <w:snapToGrid w:val="0"/>
                <w:color w:val="000000" w:themeColor="text1"/>
                <w:sz w:val="24"/>
                <w:highlight w:val="none"/>
                <w:lang w:eastAsia="zh-CN"/>
                <w14:textFill>
                  <w14:solidFill>
                    <w14:schemeClr w14:val="tx1"/>
                  </w14:solidFill>
                </w14:textFill>
              </w:rPr>
              <w:t>：</w:t>
            </w:r>
          </w:p>
          <w:p w14:paraId="6848D992">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000000" w:themeColor="text1"/>
                <w:position w:val="-14"/>
                <w:highlight w:val="none"/>
                <w14:textFill>
                  <w14:solidFill>
                    <w14:schemeClr w14:val="tx1"/>
                  </w14:solidFill>
                </w14:textFill>
              </w:rPr>
            </w:pPr>
            <w:r>
              <w:rPr>
                <w:rFonts w:hint="default" w:ascii="Times New Roman" w:hAnsi="Times New Roman" w:cs="Times New Roman"/>
                <w:color w:val="000000" w:themeColor="text1"/>
                <w:position w:val="-14"/>
                <w:highlight w:val="none"/>
                <w14:textFill>
                  <w14:solidFill>
                    <w14:schemeClr w14:val="tx1"/>
                  </w14:solidFill>
                </w14:textFill>
              </w:rPr>
              <w:object>
                <v:shape id="_x0000_i1028" o:spt="75" type="#_x0000_t75" style="height:20.1pt;width:268.5pt;" o:ole="t" filled="f" o:preferrelative="t" stroked="f" coordsize="21600,21600">
                  <v:path/>
                  <v:fill on="f" focussize="0,0"/>
                  <v:stroke on="f"/>
                  <v:imagedata r:id="rId18" o:title=""/>
                  <o:lock v:ext="edit" aspectratio="t"/>
                  <w10:wrap type="none"/>
                  <w10:anchorlock/>
                </v:shape>
                <o:OLEObject Type="Embed" ProgID="Equation.3" ShapeID="_x0000_i1028" DrawAspect="Content" ObjectID="_1468075728" r:id="rId17">
                  <o:LockedField>false</o:LockedField>
                </o:OLEObject>
              </w:object>
            </w:r>
          </w:p>
          <w:p w14:paraId="5C919E2C">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式中：</w:t>
            </w:r>
          </w:p>
          <w:p w14:paraId="7353C980">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L</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p</w:t>
            </w:r>
            <w:r>
              <w:rPr>
                <w:rFonts w:hint="eastAsia" w:cs="Times New Roman"/>
                <w:b w:val="0"/>
                <w:bCs w:val="0"/>
                <w:i/>
                <w:iCs/>
                <w:caps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eastAsia" w:cs="Times New Roman"/>
                <w:b w:val="0"/>
                <w:bCs w:val="0"/>
                <w:i/>
                <w:iCs/>
                <w:caps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──预测点处声压级，dB；</w:t>
            </w:r>
          </w:p>
          <w:p w14:paraId="749A0832">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L</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p</w:t>
            </w:r>
            <w:r>
              <w:rPr>
                <w:rFonts w:hint="eastAsia" w:cs="Times New Roman"/>
                <w:b w:val="0"/>
                <w:bCs w:val="0"/>
                <w:i/>
                <w:iCs/>
                <w:caps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0</w:t>
            </w:r>
            <w:r>
              <w:rPr>
                <w:rFonts w:hint="eastAsia" w:cs="Times New Roman"/>
                <w:b w:val="0"/>
                <w:bCs w:val="0"/>
                <w:i/>
                <w:iCs/>
                <w:caps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—参考位置r</w:t>
            </w:r>
            <w:r>
              <w:rPr>
                <w:rFonts w:hint="default" w:ascii="Times New Roman" w:hAnsi="Times New Roman" w:eastAsia="宋体" w:cs="Times New Roman"/>
                <w:b w:val="0"/>
                <w:bCs w:val="0"/>
                <w:caps w:val="0"/>
                <w:color w:val="000000" w:themeColor="text1"/>
                <w:kern w:val="2"/>
                <w:sz w:val="24"/>
                <w:szCs w:val="24"/>
                <w:highlight w:val="none"/>
                <w:vertAlign w:val="subscript"/>
                <w:lang w:val="en-US" w:eastAsia="zh-CN" w:bidi="ar-SA"/>
                <w14:textFill>
                  <w14:solidFill>
                    <w14:schemeClr w14:val="tx1"/>
                  </w14:solidFill>
                </w14:textFill>
              </w:rPr>
              <w:t>0</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处的声压级，dB；</w:t>
            </w:r>
          </w:p>
          <w:p w14:paraId="25ED5A09">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D</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C</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—指向性校正，它描述点声源的等效连续声压级与产生声功率级</w:t>
            </w: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L</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w</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的全向点声源在规定方向的声级的偏差程度，dB；</w:t>
            </w:r>
          </w:p>
          <w:p w14:paraId="256DB364">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A</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div</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──几何发散引起的衰减，dB；</w:t>
            </w:r>
          </w:p>
          <w:p w14:paraId="123262DB">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A</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atm</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──大气吸收引起的衰减，dB；</w:t>
            </w:r>
          </w:p>
          <w:p w14:paraId="6DD15BC1">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A</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gr</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──地面效应引起的衰减，dB；</w:t>
            </w:r>
          </w:p>
          <w:p w14:paraId="7AA8D170">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A</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bar</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──障碍物屏蔽引起的衰减，dB；</w:t>
            </w:r>
          </w:p>
          <w:p w14:paraId="455ADA03">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A</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misc</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──其他多方面效应引起的衰减，dB。</w:t>
            </w:r>
          </w:p>
          <w:p w14:paraId="455D5944">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本</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评价</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预测计算只考虑各声源至受声点的几何发散衰减，不考虑</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大气吸收、地面效应、障碍物屏蔽及其他多方面等影响较小的衰减。</w:t>
            </w:r>
          </w:p>
          <w:p w14:paraId="66A839C5">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预测点的A声级，可利用8个倍频带的声压级按下式计算：</w:t>
            </w:r>
          </w:p>
          <w:p w14:paraId="14BC3BB7">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2" w:firstLineChars="200"/>
              <w:jc w:val="both"/>
              <w:textAlignment w:val="auto"/>
              <w:rPr>
                <w:rFonts w:hint="default" w:ascii="Times New Roman" w:hAnsi="Times New Roman" w:cs="Times New Roman"/>
                <w:color w:val="000000" w:themeColor="text1"/>
                <w:kern w:val="0"/>
                <w:position w:val="-30"/>
                <w:highlight w:val="none"/>
                <w14:textFill>
                  <w14:solidFill>
                    <w14:schemeClr w14:val="tx1"/>
                  </w14:solidFill>
                </w14:textFill>
              </w:rPr>
            </w:pPr>
            <w:r>
              <w:rPr>
                <w:rFonts w:hint="default" w:ascii="Times New Roman" w:hAnsi="Times New Roman" w:cs="Times New Roman"/>
                <w:color w:val="000000" w:themeColor="text1"/>
                <w:kern w:val="0"/>
                <w:position w:val="-30"/>
                <w:highlight w:val="none"/>
                <w14:textFill>
                  <w14:solidFill>
                    <w14:schemeClr w14:val="tx1"/>
                  </w14:solidFill>
                </w14:textFill>
              </w:rPr>
              <w:object>
                <v:shape id="_x0000_i1029" o:spt="75" type="#_x0000_t75" style="height:34.55pt;width:168.4pt;" o:ole="t" filled="f" o:preferrelative="f" stroked="f" coordsize="21600,21600">
                  <v:path/>
                  <v:fill on="f" focussize="0,0"/>
                  <v:stroke on="f"/>
                  <v:imagedata r:id="rId20" o:title=""/>
                  <o:lock v:ext="edit" rotation="t" aspectratio="f"/>
                  <w10:wrap type="none"/>
                  <w10:anchorlock/>
                </v:shape>
                <o:OLEObject Type="Embed" ProgID="Equation.3" ShapeID="_x0000_i1029" DrawAspect="Content" ObjectID="_1468075729" r:id="rId19">
                  <o:LockedField>false</o:LockedField>
                </o:OLEObject>
              </w:object>
            </w:r>
          </w:p>
          <w:p w14:paraId="762AF0CC">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式中：</w:t>
            </w:r>
          </w:p>
          <w:p w14:paraId="34481F8C">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L</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A</w:t>
            </w: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—距声源r处的A声级，dB（A）；</w:t>
            </w:r>
          </w:p>
          <w:p w14:paraId="192E08D0">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L</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Pi</w:t>
            </w: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—预测点（r）处，第i倍频带声压级，dB；</w:t>
            </w:r>
          </w:p>
          <w:p w14:paraId="370829C4">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ΔL</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i</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—第i倍频带A计权网络修正值，dB。</w:t>
            </w:r>
          </w:p>
          <w:p w14:paraId="38A14DB9">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instrText xml:space="preserve"> = 1 \* ROMAN \* MERGEFORMAT </w:instrTex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I</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、指向性校正</w:t>
            </w:r>
          </w:p>
          <w:p w14:paraId="33732292">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本次评价忽略。</w:t>
            </w:r>
          </w:p>
          <w:p w14:paraId="3093823C">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instrText xml:space="preserve"> = 2 \* ROMAN \* MERGEFORMAT </w:instrTex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II</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、几何发散引起的衰减</w:t>
            </w:r>
          </w:p>
          <w:p w14:paraId="6134EDBD">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对于室外点声源，不考虑其指向性，几何发散衰减计算公式为</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p>
          <w:p w14:paraId="318998C7">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0"/>
                <w:position w:val="-1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position w:val="-14"/>
                <w:highlight w:val="none"/>
                <w:lang w:eastAsia="zh-CN"/>
                <w14:textFill>
                  <w14:solidFill>
                    <w14:schemeClr w14:val="tx1"/>
                  </w14:solidFill>
                </w14:textFill>
              </w:rPr>
              <w:object>
                <v:shape id="_x0000_i1030" o:spt="75" type="#_x0000_t75" style="height:19pt;width:132pt;" o:ole="t" filled="f" o:preferrelative="t" stroked="f" coordsize="21600,21600">
                  <v:path/>
                  <v:fill on="f" focussize="0,0"/>
                  <v:stroke on="f"/>
                  <v:imagedata r:id="rId22" o:title=""/>
                  <o:lock v:ext="edit" aspectratio="t"/>
                  <w10:wrap type="none"/>
                  <w10:anchorlock/>
                </v:shape>
                <o:OLEObject Type="Embed" ProgID="Equation.KSEE3" ShapeID="_x0000_i1030" DrawAspect="Content" ObjectID="_1468075730" r:id="rId21">
                  <o:LockedField>false</o:LockedField>
                </o:OLEObject>
              </w:object>
            </w:r>
          </w:p>
          <w:p w14:paraId="374F459D">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式中：</w:t>
            </w:r>
          </w:p>
          <w:p w14:paraId="3D0A8B9C">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L</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p</w:t>
            </w:r>
            <w:r>
              <w:rPr>
                <w:rFonts w:hint="eastAsia" w:cs="Times New Roman"/>
                <w:b w:val="0"/>
                <w:bCs w:val="0"/>
                <w:i/>
                <w:iCs/>
                <w:caps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eastAsia" w:cs="Times New Roman"/>
                <w:b w:val="0"/>
                <w:bCs w:val="0"/>
                <w:i/>
                <w:iCs/>
                <w:caps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──预测点处声压级，dB；</w:t>
            </w:r>
          </w:p>
          <w:p w14:paraId="4C5807B3">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L</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p</w:t>
            </w:r>
            <w:r>
              <w:rPr>
                <w:rFonts w:hint="eastAsia" w:cs="Times New Roman"/>
                <w:b w:val="0"/>
                <w:bCs w:val="0"/>
                <w:i/>
                <w:iCs/>
                <w:caps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0</w:t>
            </w:r>
            <w:r>
              <w:rPr>
                <w:rFonts w:hint="eastAsia" w:cs="Times New Roman"/>
                <w:b w:val="0"/>
                <w:bCs w:val="0"/>
                <w:i/>
                <w:iCs/>
                <w:caps w:val="0"/>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—参考位置r</w:t>
            </w:r>
            <w:r>
              <w:rPr>
                <w:rFonts w:hint="default" w:ascii="Times New Roman" w:hAnsi="Times New Roman" w:eastAsia="宋体" w:cs="Times New Roman"/>
                <w:b w:val="0"/>
                <w:bCs w:val="0"/>
                <w:caps w:val="0"/>
                <w:color w:val="000000" w:themeColor="text1"/>
                <w:kern w:val="2"/>
                <w:sz w:val="24"/>
                <w:szCs w:val="24"/>
                <w:highlight w:val="none"/>
                <w:vertAlign w:val="subscript"/>
                <w:lang w:val="en-US" w:eastAsia="zh-CN" w:bidi="ar-SA"/>
                <w14:textFill>
                  <w14:solidFill>
                    <w14:schemeClr w14:val="tx1"/>
                  </w14:solidFill>
                </w14:textFill>
              </w:rPr>
              <w:t>0</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处的声压级，dB；</w:t>
            </w:r>
          </w:p>
          <w:p w14:paraId="5E811A20">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—预测点距声源的距离；</w:t>
            </w:r>
          </w:p>
          <w:p w14:paraId="07A42BB0">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0</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—参考位置距声源的距离。</w:t>
            </w:r>
          </w:p>
          <w:p w14:paraId="14EEC7A2">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position w:val="-12"/>
                <w:highlight w:val="none"/>
                <w:lang w:eastAsia="zh-CN"/>
                <w14:textFill>
                  <w14:solidFill>
                    <w14:schemeClr w14:val="tx1"/>
                  </w14:solidFill>
                </w14:textFill>
              </w:rPr>
              <w:object>
                <v:shape id="_x0000_i1031" o:spt="75" type="#_x0000_t75" style="height:18pt;width:85pt;" o:ole="t" filled="f" o:preferrelative="t" stroked="f" coordsize="21600,21600">
                  <v:path/>
                  <v:fill on="f" focussize="0,0"/>
                  <v:stroke on="f"/>
                  <v:imagedata r:id="rId24" o:title=""/>
                  <o:lock v:ext="edit" aspectratio="t"/>
                  <w10:wrap type="none"/>
                  <w10:anchorlock/>
                </v:shape>
                <o:OLEObject Type="Embed" ProgID="Equation.KSEE3" ShapeID="_x0000_i1031" DrawAspect="Content" ObjectID="_1468075731" r:id="rId23">
                  <o:LockedField>false</o:LockedField>
                </o:OLEObject>
              </w:object>
            </w:r>
          </w:p>
          <w:p w14:paraId="61B0F589">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式中：</w:t>
            </w:r>
          </w:p>
          <w:p w14:paraId="76A25EB9">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A</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div</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──几何发散引起的衰减，dB；</w:t>
            </w:r>
          </w:p>
          <w:p w14:paraId="44F6DF95">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—预测点距声源的距离；</w:t>
            </w:r>
          </w:p>
          <w:p w14:paraId="34A13FC8">
            <w:pPr>
              <w:pStyle w:val="22"/>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i/>
                <w:iCs/>
                <w:caps w:val="0"/>
                <w:color w:val="000000" w:themeColor="text1"/>
                <w:kern w:val="2"/>
                <w:sz w:val="24"/>
                <w:szCs w:val="24"/>
                <w:highlight w:val="none"/>
                <w:lang w:val="en-US" w:eastAsia="zh-CN" w:bidi="ar-SA"/>
                <w14:textFill>
                  <w14:solidFill>
                    <w14:schemeClr w14:val="tx1"/>
                  </w14:solidFill>
                </w14:textFill>
              </w:rPr>
              <w:t>r</w:t>
            </w:r>
            <w:r>
              <w:rPr>
                <w:rFonts w:hint="default" w:ascii="Times New Roman" w:hAnsi="Times New Roman" w:eastAsia="宋体" w:cs="Times New Roman"/>
                <w:b w:val="0"/>
                <w:bCs w:val="0"/>
                <w:i/>
                <w:iCs/>
                <w:caps w:val="0"/>
                <w:color w:val="000000" w:themeColor="text1"/>
                <w:kern w:val="2"/>
                <w:sz w:val="24"/>
                <w:szCs w:val="24"/>
                <w:highlight w:val="none"/>
                <w:vertAlign w:val="subscript"/>
                <w:lang w:val="en-US" w:eastAsia="zh-CN" w:bidi="ar-SA"/>
                <w14:textFill>
                  <w14:solidFill>
                    <w14:schemeClr w14:val="tx1"/>
                  </w14:solidFill>
                </w14:textFill>
              </w:rPr>
              <w:t>0</w:t>
            </w:r>
            <w:r>
              <w:rPr>
                <w:rFonts w:hint="default" w:ascii="Times New Roman" w:hAnsi="Times New Roman" w:eastAsia="宋体" w:cs="Times New Roman"/>
                <w:b w:val="0"/>
                <w:bCs w:val="0"/>
                <w:caps w:val="0"/>
                <w:color w:val="000000" w:themeColor="text1"/>
                <w:kern w:val="2"/>
                <w:sz w:val="24"/>
                <w:szCs w:val="24"/>
                <w:highlight w:val="none"/>
                <w:lang w:val="en-US" w:eastAsia="zh-CN" w:bidi="ar-SA"/>
                <w14:textFill>
                  <w14:solidFill>
                    <w14:schemeClr w14:val="tx1"/>
                  </w14:solidFill>
                </w14:textFill>
              </w:rPr>
              <w:t>—参考位置距声源的距离。</w:t>
            </w:r>
          </w:p>
          <w:p w14:paraId="3D5C29BE">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②室内声源等效室外声源声功率级计算方法</w:t>
            </w:r>
          </w:p>
          <w:p w14:paraId="6CA56EC4">
            <w:pPr>
              <w:pStyle w:val="11"/>
              <w:shd w:val="clea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项目生产车间无窗户，车间门常闭，未进行室外声源等效，只考虑距离衰减和建筑物插入损失。</w:t>
            </w:r>
          </w:p>
          <w:p w14:paraId="493A7C81">
            <w:pPr>
              <w:pStyle w:val="7"/>
              <w:keepNext w:val="0"/>
              <w:keepLines w:val="0"/>
              <w:pageBreakBefore w:val="0"/>
              <w:widowControl w:val="0"/>
              <w:shd w:val="clear"/>
              <w:kinsoku/>
              <w:wordWrap/>
              <w:overflowPunct/>
              <w:topLinePunct w:val="0"/>
              <w:autoSpaceDE/>
              <w:autoSpaceDN/>
              <w:bidi w:val="0"/>
              <w:adjustRightInd/>
              <w:snapToGrid/>
              <w:spacing w:line="360" w:lineRule="auto"/>
              <w:ind w:left="0" w:leftChars="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instrText xml:space="preserve"> = 1 \* ROMAN \* MERGEFORMAT </w:instrTex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I</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、室内声源可采用等效室外声源声功率级法进行计算：</w:t>
            </w:r>
          </w:p>
          <w:p w14:paraId="3BFFF5AB">
            <w:pPr>
              <w:keepNext w:val="0"/>
              <w:keepLines w:val="0"/>
              <w:pageBreakBefore w:val="0"/>
              <w:widowControl w:val="0"/>
              <w:shd w:val="clear"/>
              <w:kinsoku/>
              <w:wordWrap/>
              <w:overflowPunct/>
              <w:topLinePunct w:val="0"/>
              <w:bidi w:val="0"/>
              <w:snapToGrid/>
              <w:spacing w:line="360" w:lineRule="auto"/>
              <w:ind w:left="0" w:leftChars="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kern w:val="0"/>
                <w:position w:val="-14"/>
                <w:highlight w:val="none"/>
                <w:lang w:eastAsia="zh-CN"/>
                <w14:textFill>
                  <w14:solidFill>
                    <w14:schemeClr w14:val="tx1"/>
                  </w14:solidFill>
                </w14:textFill>
              </w:rPr>
              <w:object>
                <v:shape id="_x0000_i1032" o:spt="75" type="#_x0000_t75" style="height:19pt;width:93pt;" o:ole="t" filled="f" o:preferrelative="t" stroked="f" coordsize="21600,21600">
                  <v:path/>
                  <v:fill on="f" focussize="0,0"/>
                  <v:stroke on="f"/>
                  <v:imagedata r:id="rId26" o:title=""/>
                  <o:lock v:ext="edit" aspectratio="t"/>
                  <w10:wrap type="none"/>
                  <w10:anchorlock/>
                </v:shape>
                <o:OLEObject Type="Embed" ProgID="Equation.KSEE3" ShapeID="_x0000_i1032" DrawAspect="Content" ObjectID="_1468075732" r:id="rId25">
                  <o:LockedField>false</o:LockedField>
                </o:OLEObject>
              </w:object>
            </w:r>
          </w:p>
          <w:p w14:paraId="0FBC4BED">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式中：</w:t>
            </w:r>
          </w:p>
          <w:p w14:paraId="07370BEF">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i/>
                <w:iCs/>
                <w:color w:val="000000" w:themeColor="text1"/>
                <w:sz w:val="24"/>
                <w:highlight w:val="none"/>
                <w14:textFill>
                  <w14:solidFill>
                    <w14:schemeClr w14:val="tx1"/>
                  </w14:solidFill>
                </w14:textFill>
              </w:rPr>
              <w:t>L</w:t>
            </w:r>
            <w:r>
              <w:rPr>
                <w:rFonts w:hint="default" w:ascii="Times New Roman" w:hAnsi="Times New Roman" w:cs="Times New Roman"/>
                <w:i/>
                <w:iCs/>
                <w:color w:val="000000" w:themeColor="text1"/>
                <w:sz w:val="24"/>
                <w:highlight w:val="none"/>
                <w:vertAlign w:val="subscript"/>
                <w14:textFill>
                  <w14:solidFill>
                    <w14:schemeClr w14:val="tx1"/>
                  </w14:solidFill>
                </w14:textFill>
              </w:rPr>
              <w:t>P1</w:t>
            </w:r>
            <w:r>
              <w:rPr>
                <w:rFonts w:hint="default" w:ascii="Times New Roman" w:hAnsi="Times New Roman" w:cs="Times New Roman"/>
                <w:color w:val="000000" w:themeColor="text1"/>
                <w:sz w:val="24"/>
                <w:highlight w:val="none"/>
                <w14:textFill>
                  <w14:solidFill>
                    <w14:schemeClr w14:val="tx1"/>
                  </w14:solidFill>
                </w14:textFill>
              </w:rPr>
              <w:t>—靠近开口处（或窗户）室内某倍频带</w:t>
            </w:r>
            <w:r>
              <w:rPr>
                <w:rFonts w:hint="default" w:ascii="Times New Roman" w:hAnsi="Times New Roman" w:cs="Times New Roman"/>
                <w:color w:val="000000" w:themeColor="text1"/>
                <w:sz w:val="24"/>
                <w:highlight w:val="none"/>
                <w:lang w:val="en-US" w:eastAsia="zh-CN"/>
                <w14:textFill>
                  <w14:solidFill>
                    <w14:schemeClr w14:val="tx1"/>
                  </w14:solidFill>
                </w14:textFill>
              </w:rPr>
              <w:t>的</w:t>
            </w:r>
            <w:r>
              <w:rPr>
                <w:rFonts w:hint="default" w:ascii="Times New Roman" w:hAnsi="Times New Roman" w:cs="Times New Roman"/>
                <w:color w:val="000000" w:themeColor="text1"/>
                <w:sz w:val="24"/>
                <w:highlight w:val="none"/>
                <w14:textFill>
                  <w14:solidFill>
                    <w14:schemeClr w14:val="tx1"/>
                  </w14:solidFill>
                </w14:textFill>
              </w:rPr>
              <w:t>声压级</w:t>
            </w:r>
            <w:r>
              <w:rPr>
                <w:rFonts w:hint="default" w:ascii="Times New Roman" w:hAnsi="Times New Roman" w:cs="Times New Roman"/>
                <w:color w:val="000000" w:themeColor="text1"/>
                <w:sz w:val="24"/>
                <w:highlight w:val="none"/>
                <w:lang w:val="en-US" w:eastAsia="zh-CN"/>
                <w14:textFill>
                  <w14:solidFill>
                    <w14:schemeClr w14:val="tx1"/>
                  </w14:solidFill>
                </w14:textFill>
              </w:rPr>
              <w:t>或A声级</w:t>
            </w:r>
            <w:r>
              <w:rPr>
                <w:rFonts w:hint="default" w:ascii="Times New Roman" w:hAnsi="Times New Roman" w:cs="Times New Roman"/>
                <w:color w:val="000000" w:themeColor="text1"/>
                <w:sz w:val="24"/>
                <w:highlight w:val="none"/>
                <w14:textFill>
                  <w14:solidFill>
                    <w14:schemeClr w14:val="tx1"/>
                  </w14:solidFill>
                </w14:textFill>
              </w:rPr>
              <w:t>，dB；</w:t>
            </w:r>
          </w:p>
          <w:p w14:paraId="3796C46C">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i/>
                <w:iCs/>
                <w:color w:val="000000" w:themeColor="text1"/>
                <w:sz w:val="24"/>
                <w:highlight w:val="none"/>
                <w14:textFill>
                  <w14:solidFill>
                    <w14:schemeClr w14:val="tx1"/>
                  </w14:solidFill>
                </w14:textFill>
              </w:rPr>
              <w:t>L</w:t>
            </w:r>
            <w:r>
              <w:rPr>
                <w:rFonts w:hint="default" w:ascii="Times New Roman" w:hAnsi="Times New Roman" w:cs="Times New Roman"/>
                <w:i/>
                <w:iCs/>
                <w:color w:val="000000" w:themeColor="text1"/>
                <w:sz w:val="24"/>
                <w:highlight w:val="none"/>
                <w:vertAlign w:val="subscript"/>
                <w14:textFill>
                  <w14:solidFill>
                    <w14:schemeClr w14:val="tx1"/>
                  </w14:solidFill>
                </w14:textFill>
              </w:rPr>
              <w:t>P2</w:t>
            </w:r>
            <w:r>
              <w:rPr>
                <w:rFonts w:hint="default" w:ascii="Times New Roman" w:hAnsi="Times New Roman" w:cs="Times New Roman"/>
                <w:color w:val="000000" w:themeColor="text1"/>
                <w:sz w:val="24"/>
                <w:highlight w:val="none"/>
                <w14:textFill>
                  <w14:solidFill>
                    <w14:schemeClr w14:val="tx1"/>
                  </w14:solidFill>
                </w14:textFill>
              </w:rPr>
              <w:t>—靠近开口处（或窗户）室外某倍频带</w:t>
            </w:r>
            <w:r>
              <w:rPr>
                <w:rFonts w:hint="default" w:ascii="Times New Roman" w:hAnsi="Times New Roman" w:cs="Times New Roman"/>
                <w:color w:val="000000" w:themeColor="text1"/>
                <w:sz w:val="24"/>
                <w:highlight w:val="none"/>
                <w:lang w:val="en-US" w:eastAsia="zh-CN"/>
                <w14:textFill>
                  <w14:solidFill>
                    <w14:schemeClr w14:val="tx1"/>
                  </w14:solidFill>
                </w14:textFill>
              </w:rPr>
              <w:t>的</w:t>
            </w:r>
            <w:r>
              <w:rPr>
                <w:rFonts w:hint="default" w:ascii="Times New Roman" w:hAnsi="Times New Roman" w:cs="Times New Roman"/>
                <w:color w:val="000000" w:themeColor="text1"/>
                <w:sz w:val="24"/>
                <w:highlight w:val="none"/>
                <w14:textFill>
                  <w14:solidFill>
                    <w14:schemeClr w14:val="tx1"/>
                  </w14:solidFill>
                </w14:textFill>
              </w:rPr>
              <w:t>声压级</w:t>
            </w:r>
            <w:r>
              <w:rPr>
                <w:rFonts w:hint="default" w:ascii="Times New Roman" w:hAnsi="Times New Roman" w:cs="Times New Roman"/>
                <w:color w:val="000000" w:themeColor="text1"/>
                <w:sz w:val="24"/>
                <w:highlight w:val="none"/>
                <w:lang w:val="en-US" w:eastAsia="zh-CN"/>
                <w14:textFill>
                  <w14:solidFill>
                    <w14:schemeClr w14:val="tx1"/>
                  </w14:solidFill>
                </w14:textFill>
              </w:rPr>
              <w:t>或A声级</w:t>
            </w:r>
            <w:r>
              <w:rPr>
                <w:rFonts w:hint="default" w:ascii="Times New Roman" w:hAnsi="Times New Roman" w:cs="Times New Roman"/>
                <w:color w:val="000000" w:themeColor="text1"/>
                <w:sz w:val="24"/>
                <w:highlight w:val="none"/>
                <w14:textFill>
                  <w14:solidFill>
                    <w14:schemeClr w14:val="tx1"/>
                  </w14:solidFill>
                </w14:textFill>
              </w:rPr>
              <w:t>，dB；</w:t>
            </w:r>
          </w:p>
          <w:p w14:paraId="70D7F0C2">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i/>
                <w:iCs/>
                <w:color w:val="000000" w:themeColor="text1"/>
                <w:sz w:val="24"/>
                <w:highlight w:val="none"/>
                <w14:textFill>
                  <w14:solidFill>
                    <w14:schemeClr w14:val="tx1"/>
                  </w14:solidFill>
                </w14:textFill>
              </w:rPr>
              <w:t>TL</w:t>
            </w:r>
            <w:r>
              <w:rPr>
                <w:rFonts w:hint="default" w:ascii="Times New Roman" w:hAnsi="Times New Roman" w:cs="Times New Roman"/>
                <w:color w:val="000000" w:themeColor="text1"/>
                <w:sz w:val="24"/>
                <w:highlight w:val="none"/>
                <w14:textFill>
                  <w14:solidFill>
                    <w14:schemeClr w14:val="tx1"/>
                  </w14:solidFill>
                </w14:textFill>
              </w:rPr>
              <w:t>—隔墙（或窗户）倍频带</w:t>
            </w:r>
            <w:r>
              <w:rPr>
                <w:rFonts w:hint="default" w:ascii="Times New Roman" w:hAnsi="Times New Roman" w:cs="Times New Roman"/>
                <w:color w:val="000000" w:themeColor="text1"/>
                <w:sz w:val="24"/>
                <w:highlight w:val="none"/>
                <w:lang w:val="en-US" w:eastAsia="zh-CN"/>
                <w14:textFill>
                  <w14:solidFill>
                    <w14:schemeClr w14:val="tx1"/>
                  </w14:solidFill>
                </w14:textFill>
              </w:rPr>
              <w:t>或A声级</w:t>
            </w:r>
            <w:r>
              <w:rPr>
                <w:rFonts w:hint="default" w:ascii="Times New Roman" w:hAnsi="Times New Roman" w:cs="Times New Roman"/>
                <w:color w:val="000000" w:themeColor="text1"/>
                <w:sz w:val="24"/>
                <w:highlight w:val="none"/>
                <w14:textFill>
                  <w14:solidFill>
                    <w14:schemeClr w14:val="tx1"/>
                  </w14:solidFill>
                </w14:textFill>
              </w:rPr>
              <w:t>的隔声量，dB。</w:t>
            </w:r>
          </w:p>
          <w:p w14:paraId="44147B45">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也可计算某一室内声源靠近围护结构处产生的倍频带声压级或A声级：</w:t>
            </w:r>
          </w:p>
          <w:p w14:paraId="6278EE0C">
            <w:pPr>
              <w:keepNext w:val="0"/>
              <w:keepLines w:val="0"/>
              <w:pageBreakBefore w:val="0"/>
              <w:widowControl w:val="0"/>
              <w:shd w:val="clear"/>
              <w:kinsoku/>
              <w:wordWrap/>
              <w:overflowPunct/>
              <w:topLinePunct w:val="0"/>
              <w:autoSpaceDE/>
              <w:autoSpaceDN/>
              <w:bidi w:val="0"/>
              <w:adjustRightInd/>
              <w:snapToGrid/>
              <w:spacing w:line="360" w:lineRule="auto"/>
              <w:ind w:left="0" w:leftChars="0"/>
              <w:jc w:val="both"/>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position w:val="-24"/>
                <w:sz w:val="24"/>
                <w:highlight w:val="none"/>
                <w:lang w:eastAsia="zh-CN"/>
                <w14:textFill>
                  <w14:solidFill>
                    <w14:schemeClr w14:val="tx1"/>
                  </w14:solidFill>
                </w14:textFill>
              </w:rPr>
              <w:object>
                <v:shape id="_x0000_i1033" o:spt="75" type="#_x0000_t75" style="height:31pt;width:168pt;" o:ole="t" filled="f" o:preferrelative="t" stroked="f" coordsize="21600,21600">
                  <v:path/>
                  <v:fill on="f" focussize="0,0"/>
                  <v:stroke on="f"/>
                  <v:imagedata r:id="rId28" o:title=""/>
                  <o:lock v:ext="edit" aspectratio="t"/>
                  <w10:wrap type="none"/>
                  <w10:anchorlock/>
                </v:shape>
                <o:OLEObject Type="Embed" ProgID="Equation.KSEE3" ShapeID="_x0000_i1033" DrawAspect="Content" ObjectID="_1468075733" r:id="rId27">
                  <o:LockedField>false</o:LockedField>
                </o:OLEObject>
              </w:object>
            </w:r>
          </w:p>
          <w:p w14:paraId="2C991B6C">
            <w:pPr>
              <w:keepNext w:val="0"/>
              <w:keepLines w:val="0"/>
              <w:pageBreakBefore w:val="0"/>
              <w:widowControl w:val="0"/>
              <w:shd w:val="clear"/>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式中：</w:t>
            </w:r>
          </w:p>
          <w:p w14:paraId="2748773A">
            <w:pPr>
              <w:keepNext w:val="0"/>
              <w:keepLines w:val="0"/>
              <w:pageBreakBefore w:val="0"/>
              <w:widowControl w:val="0"/>
              <w:shd w:val="clear"/>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i/>
                <w:iCs/>
                <w:color w:val="000000" w:themeColor="text1"/>
                <w:sz w:val="24"/>
                <w:highlight w:val="none"/>
                <w14:textFill>
                  <w14:solidFill>
                    <w14:schemeClr w14:val="tx1"/>
                  </w14:solidFill>
                </w14:textFill>
              </w:rPr>
              <w:t>L</w:t>
            </w:r>
            <w:r>
              <w:rPr>
                <w:rFonts w:hint="default" w:ascii="Times New Roman" w:hAnsi="Times New Roman" w:cs="Times New Roman"/>
                <w:i/>
                <w:iCs/>
                <w:color w:val="000000" w:themeColor="text1"/>
                <w:sz w:val="24"/>
                <w:highlight w:val="none"/>
                <w:vertAlign w:val="subscript"/>
                <w14:textFill>
                  <w14:solidFill>
                    <w14:schemeClr w14:val="tx1"/>
                  </w14:solidFill>
                </w14:textFill>
              </w:rPr>
              <w:t>P1</w:t>
            </w:r>
            <w:r>
              <w:rPr>
                <w:rFonts w:hint="default" w:ascii="Times New Roman" w:hAnsi="Times New Roman" w:cs="Times New Roman"/>
                <w:color w:val="000000" w:themeColor="text1"/>
                <w:sz w:val="24"/>
                <w:highlight w:val="none"/>
                <w14:textFill>
                  <w14:solidFill>
                    <w14:schemeClr w14:val="tx1"/>
                  </w14:solidFill>
                </w14:textFill>
              </w:rPr>
              <w:t>—靠近开口处（或窗户）室内某倍频带</w:t>
            </w:r>
            <w:r>
              <w:rPr>
                <w:rFonts w:hint="default" w:ascii="Times New Roman" w:hAnsi="Times New Roman" w:cs="Times New Roman"/>
                <w:color w:val="000000" w:themeColor="text1"/>
                <w:sz w:val="24"/>
                <w:highlight w:val="none"/>
                <w:lang w:val="en-US" w:eastAsia="zh-CN"/>
                <w14:textFill>
                  <w14:solidFill>
                    <w14:schemeClr w14:val="tx1"/>
                  </w14:solidFill>
                </w14:textFill>
              </w:rPr>
              <w:t>的</w:t>
            </w:r>
            <w:r>
              <w:rPr>
                <w:rFonts w:hint="default" w:ascii="Times New Roman" w:hAnsi="Times New Roman" w:cs="Times New Roman"/>
                <w:color w:val="000000" w:themeColor="text1"/>
                <w:sz w:val="24"/>
                <w:highlight w:val="none"/>
                <w14:textFill>
                  <w14:solidFill>
                    <w14:schemeClr w14:val="tx1"/>
                  </w14:solidFill>
                </w14:textFill>
              </w:rPr>
              <w:t>声压级</w:t>
            </w:r>
            <w:r>
              <w:rPr>
                <w:rFonts w:hint="default" w:ascii="Times New Roman" w:hAnsi="Times New Roman" w:cs="Times New Roman"/>
                <w:color w:val="000000" w:themeColor="text1"/>
                <w:sz w:val="24"/>
                <w:highlight w:val="none"/>
                <w:lang w:val="en-US" w:eastAsia="zh-CN"/>
                <w14:textFill>
                  <w14:solidFill>
                    <w14:schemeClr w14:val="tx1"/>
                  </w14:solidFill>
                </w14:textFill>
              </w:rPr>
              <w:t>或A声级</w:t>
            </w:r>
            <w:r>
              <w:rPr>
                <w:rFonts w:hint="default" w:ascii="Times New Roman" w:hAnsi="Times New Roman" w:cs="Times New Roman"/>
                <w:color w:val="000000" w:themeColor="text1"/>
                <w:sz w:val="24"/>
                <w:highlight w:val="none"/>
                <w14:textFill>
                  <w14:solidFill>
                    <w14:schemeClr w14:val="tx1"/>
                  </w14:solidFill>
                </w14:textFill>
              </w:rPr>
              <w:t>，dB；</w:t>
            </w:r>
          </w:p>
          <w:p w14:paraId="6844454B">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4"/>
                <w:highlight w:val="none"/>
                <w:vertAlign w:val="baseline"/>
                <w:lang w:val="en-US" w:eastAsia="zh-CN"/>
                <w14:textFill>
                  <w14:solidFill>
                    <w14:schemeClr w14:val="tx1"/>
                  </w14:solidFill>
                </w14:textFill>
              </w:rPr>
            </w:pPr>
            <w:r>
              <w:rPr>
                <w:rFonts w:hint="default" w:ascii="Times New Roman" w:hAnsi="Times New Roman" w:cs="Times New Roman"/>
                <w:i/>
                <w:iCs/>
                <w:color w:val="000000" w:themeColor="text1"/>
                <w:sz w:val="24"/>
                <w:highlight w:val="none"/>
                <w:lang w:val="en-US" w:eastAsia="zh-CN"/>
                <w14:textFill>
                  <w14:solidFill>
                    <w14:schemeClr w14:val="tx1"/>
                  </w14:solidFill>
                </w14:textFill>
              </w:rPr>
              <w:t>L</w:t>
            </w:r>
            <w:r>
              <w:rPr>
                <w:rFonts w:hint="default" w:ascii="Times New Roman" w:hAnsi="Times New Roman" w:cs="Times New Roman"/>
                <w:i/>
                <w:iCs/>
                <w:color w:val="000000" w:themeColor="text1"/>
                <w:sz w:val="24"/>
                <w:highlight w:val="none"/>
                <w:vertAlign w:val="subscript"/>
                <w:lang w:val="en-US" w:eastAsia="zh-CN"/>
                <w14:textFill>
                  <w14:solidFill>
                    <w14:schemeClr w14:val="tx1"/>
                  </w14:solidFill>
                </w14:textFill>
              </w:rPr>
              <w:t>w</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点声源声功率级（A计权或倍频带），dB；</w:t>
            </w:r>
          </w:p>
          <w:p w14:paraId="7B90DDB4">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i/>
                <w:iCs/>
                <w:color w:val="000000" w:themeColor="text1"/>
                <w:sz w:val="24"/>
                <w:highlight w:val="none"/>
                <w14:textFill>
                  <w14:solidFill>
                    <w14:schemeClr w14:val="tx1"/>
                  </w14:solidFill>
                </w14:textFill>
              </w:rPr>
              <w:t>Q</w:t>
            </w:r>
            <w:r>
              <w:rPr>
                <w:rFonts w:hint="default" w:ascii="Times New Roman" w:hAnsi="Times New Roman" w:cs="Times New Roman"/>
                <w:color w:val="000000" w:themeColor="text1"/>
                <w:sz w:val="24"/>
                <w:highlight w:val="none"/>
                <w14:textFill>
                  <w14:solidFill>
                    <w14:schemeClr w14:val="tx1"/>
                  </w14:solidFill>
                </w14:textFill>
              </w:rPr>
              <w:t>—指向因数；通常对无指向性声源，当声源放在房间中心时，Q=1；当放在一面墙的中心时，Q=2；当放在两面墙夹角处时，Q=4；当放在三面墙夹角处时，Q=8。</w:t>
            </w:r>
          </w:p>
          <w:p w14:paraId="0D5DF2FE">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R—房间常数，R=Sα</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（1</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α），S为房间内表面面积，m</w:t>
            </w:r>
            <w:r>
              <w:rPr>
                <w:rFonts w:hint="default" w:ascii="Times New Roman" w:hAnsi="Times New Roman" w:cs="Times New Roman"/>
                <w:color w:val="000000" w:themeColor="text1"/>
                <w:sz w:val="24"/>
                <w:highlight w:val="none"/>
                <w:vertAlign w:val="super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；α为平均吸声系数。</w:t>
            </w:r>
          </w:p>
          <w:p w14:paraId="5BE79137">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r</w:t>
            </w:r>
            <w:r>
              <w:rPr>
                <w:rFonts w:hint="default" w:ascii="Times New Roman" w:hAnsi="Times New Roman" w:cs="Times New Roman"/>
                <w:color w:val="000000" w:themeColor="text1"/>
                <w:sz w:val="24"/>
                <w:highlight w:val="none"/>
                <w14:textFill>
                  <w14:solidFill>
                    <w14:schemeClr w14:val="tx1"/>
                  </w14:solidFill>
                </w14:textFill>
              </w:rPr>
              <w:t>—声源到靠近围护结构某点处的距离，m。</w:t>
            </w:r>
          </w:p>
          <w:p w14:paraId="70A5465A">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instrText xml:space="preserve"> = 2 \* ROMAN \* MERGEFORMAT </w:instrTex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II</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、计算出所有室内声源在围护结构处产生的i倍频带叠加声压级：</w:t>
            </w:r>
          </w:p>
          <w:p w14:paraId="7CD2BA93">
            <w:pPr>
              <w:pStyle w:val="44"/>
              <w:keepNext w:val="0"/>
              <w:keepLines w:val="0"/>
              <w:pageBreakBefore w:val="0"/>
              <w:widowControl w:val="0"/>
              <w:shd w:val="clear"/>
              <w:kinsoku/>
              <w:wordWrap/>
              <w:overflowPunct/>
              <w:topLinePunct w:val="0"/>
              <w:bidi w:val="0"/>
              <w:snapToGrid/>
              <w:spacing w:before="0" w:after="0" w:line="360" w:lineRule="auto"/>
              <w:ind w:left="0" w:leftChars="0"/>
              <w:jc w:val="both"/>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position w:val="-30"/>
                <w:highlight w:val="none"/>
                <w14:textFill>
                  <w14:solidFill>
                    <w14:schemeClr w14:val="tx1"/>
                  </w14:solidFill>
                </w14:textFill>
              </w:rPr>
              <w:object>
                <v:shape id="_x0000_i1034" o:spt="75" type="#_x0000_t75" style="height:35pt;width:129.05pt;" o:ole="t" filled="f" o:preferrelative="f" stroked="f" coordsize="21600,21600">
                  <v:path/>
                  <v:fill on="f" focussize="0,0"/>
                  <v:stroke on="f"/>
                  <v:imagedata r:id="rId30" o:title=""/>
                  <o:lock v:ext="edit" rotation="t" aspectratio="f"/>
                  <w10:wrap type="none"/>
                  <w10:anchorlock/>
                </v:shape>
                <o:OLEObject Type="Embed" ProgID="Equation.3" ShapeID="_x0000_i1034" DrawAspect="Content" ObjectID="_1468075734" r:id="rId29">
                  <o:LockedField>false</o:LockedField>
                </o:OLEObject>
              </w:object>
            </w:r>
          </w:p>
          <w:p w14:paraId="055BE346">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式中：</w:t>
            </w:r>
          </w:p>
          <w:p w14:paraId="6C98DA07">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i/>
                <w:color w:val="000000" w:themeColor="text1"/>
                <w:kern w:val="0"/>
                <w:highlight w:val="none"/>
                <w14:textFill>
                  <w14:solidFill>
                    <w14:schemeClr w14:val="tx1"/>
                  </w14:solidFill>
                </w14:textFill>
              </w:rPr>
              <w:t>L</w:t>
            </w:r>
            <w:r>
              <w:rPr>
                <w:rFonts w:hint="default" w:ascii="Times New Roman" w:hAnsi="Times New Roman" w:cs="Times New Roman"/>
                <w:i/>
                <w:color w:val="000000" w:themeColor="text1"/>
                <w:kern w:val="0"/>
                <w:highlight w:val="none"/>
                <w:vertAlign w:val="subscript"/>
                <w14:textFill>
                  <w14:solidFill>
                    <w14:schemeClr w14:val="tx1"/>
                  </w14:solidFill>
                </w14:textFill>
              </w:rPr>
              <w:t>P</w:t>
            </w:r>
            <w:r>
              <w:rPr>
                <w:rFonts w:hint="default" w:ascii="Times New Roman" w:hAnsi="Times New Roman" w:cs="Times New Roman"/>
                <w:color w:val="000000" w:themeColor="text1"/>
                <w:kern w:val="0"/>
                <w:highlight w:val="none"/>
                <w:vertAlign w:val="subscript"/>
                <w14:textFill>
                  <w14:solidFill>
                    <w14:schemeClr w14:val="tx1"/>
                  </w14:solidFill>
                </w14:textFill>
              </w:rPr>
              <w:t>1</w:t>
            </w:r>
            <w:r>
              <w:rPr>
                <w:rFonts w:hint="default" w:ascii="Times New Roman" w:hAnsi="Times New Roman" w:cs="Times New Roman"/>
                <w:i/>
                <w:color w:val="000000" w:themeColor="text1"/>
                <w:kern w:val="0"/>
                <w:highlight w:val="none"/>
                <w:vertAlign w:val="subscript"/>
                <w14:textFill>
                  <w14:solidFill>
                    <w14:schemeClr w14:val="tx1"/>
                  </w14:solidFill>
                </w14:textFill>
              </w:rPr>
              <w:t>i</w:t>
            </w:r>
            <w:r>
              <w:rPr>
                <w:rFonts w:hint="default" w:ascii="Times New Roman" w:hAnsi="Times New Roman" w:cs="Times New Roman"/>
                <w:color w:val="000000" w:themeColor="text1"/>
                <w:kern w:val="0"/>
                <w:highlight w:val="none"/>
                <w14:textFill>
                  <w14:solidFill>
                    <w14:schemeClr w14:val="tx1"/>
                  </w14:solidFill>
                </w14:textFill>
              </w:rPr>
              <w:t>（</w:t>
            </w:r>
            <w:r>
              <w:rPr>
                <w:rFonts w:hint="default" w:ascii="Times New Roman" w:hAnsi="Times New Roman" w:cs="Times New Roman"/>
                <w:i/>
                <w:color w:val="000000" w:themeColor="text1"/>
                <w:kern w:val="0"/>
                <w:highlight w:val="none"/>
                <w14:textFill>
                  <w14:solidFill>
                    <w14:schemeClr w14:val="tx1"/>
                  </w14:solidFill>
                </w14:textFill>
              </w:rPr>
              <w:t>T</w:t>
            </w:r>
            <w:r>
              <w:rPr>
                <w:rFonts w:hint="default" w:ascii="Times New Roman" w:hAnsi="Times New Roman" w:cs="Times New Roman"/>
                <w:color w:val="000000" w:themeColor="text1"/>
                <w:kern w:val="0"/>
                <w:highlight w:val="none"/>
                <w14:textFill>
                  <w14:solidFill>
                    <w14:schemeClr w14:val="tx1"/>
                  </w14:solidFill>
                </w14:textFill>
              </w:rPr>
              <w:t>）—靠近围护结构处室内N个声源</w:t>
            </w:r>
            <w:r>
              <w:rPr>
                <w:rFonts w:hint="default" w:ascii="Times New Roman" w:hAnsi="Times New Roman" w:cs="Times New Roman"/>
                <w:i/>
                <w:color w:val="000000" w:themeColor="text1"/>
                <w:kern w:val="0"/>
                <w:highlight w:val="none"/>
                <w14:textFill>
                  <w14:solidFill>
                    <w14:schemeClr w14:val="tx1"/>
                  </w14:solidFill>
                </w14:textFill>
              </w:rPr>
              <w:t>i</w:t>
            </w:r>
            <w:r>
              <w:rPr>
                <w:rFonts w:hint="default" w:ascii="Times New Roman" w:hAnsi="Times New Roman" w:cs="Times New Roman"/>
                <w:color w:val="000000" w:themeColor="text1"/>
                <w:kern w:val="0"/>
                <w:highlight w:val="none"/>
                <w14:textFill>
                  <w14:solidFill>
                    <w14:schemeClr w14:val="tx1"/>
                  </w14:solidFill>
                </w14:textFill>
              </w:rPr>
              <w:t>倍频带的叠加声压级，dB；</w:t>
            </w:r>
          </w:p>
          <w:p w14:paraId="5F8A0A4D">
            <w:pPr>
              <w:pStyle w:val="44"/>
              <w:keepNext w:val="0"/>
              <w:keepLines w:val="0"/>
              <w:pageBreakBefore w:val="0"/>
              <w:widowControl w:val="0"/>
              <w:shd w:val="clear"/>
              <w:kinsoku/>
              <w:wordWrap/>
              <w:overflowPunct/>
              <w:topLinePunct w:val="0"/>
              <w:bidi w:val="0"/>
              <w:snapToGrid/>
              <w:spacing w:before="0" w:after="0" w:line="360" w:lineRule="auto"/>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i/>
                <w:color w:val="000000" w:themeColor="text1"/>
                <w:kern w:val="0"/>
                <w:highlight w:val="none"/>
                <w14:textFill>
                  <w14:solidFill>
                    <w14:schemeClr w14:val="tx1"/>
                  </w14:solidFill>
                </w14:textFill>
              </w:rPr>
              <w:t>L</w:t>
            </w:r>
            <w:r>
              <w:rPr>
                <w:rFonts w:hint="default" w:ascii="Times New Roman" w:hAnsi="Times New Roman" w:cs="Times New Roman"/>
                <w:i/>
                <w:color w:val="000000" w:themeColor="text1"/>
                <w:kern w:val="0"/>
                <w:highlight w:val="none"/>
                <w:vertAlign w:val="subscript"/>
                <w14:textFill>
                  <w14:solidFill>
                    <w14:schemeClr w14:val="tx1"/>
                  </w14:solidFill>
                </w14:textFill>
              </w:rPr>
              <w:t>P</w:t>
            </w:r>
            <w:r>
              <w:rPr>
                <w:rFonts w:hint="default" w:ascii="Times New Roman" w:hAnsi="Times New Roman" w:cs="Times New Roman"/>
                <w:color w:val="000000" w:themeColor="text1"/>
                <w:kern w:val="0"/>
                <w:highlight w:val="none"/>
                <w:vertAlign w:val="subscript"/>
                <w14:textFill>
                  <w14:solidFill>
                    <w14:schemeClr w14:val="tx1"/>
                  </w14:solidFill>
                </w14:textFill>
              </w:rPr>
              <w:t>1</w:t>
            </w:r>
            <w:r>
              <w:rPr>
                <w:rFonts w:hint="default" w:ascii="Times New Roman" w:hAnsi="Times New Roman" w:cs="Times New Roman"/>
                <w:i/>
                <w:color w:val="000000" w:themeColor="text1"/>
                <w:kern w:val="0"/>
                <w:highlight w:val="none"/>
                <w:vertAlign w:val="subscript"/>
                <w14:textFill>
                  <w14:solidFill>
                    <w14:schemeClr w14:val="tx1"/>
                  </w14:solidFill>
                </w14:textFill>
              </w:rPr>
              <w:t>ij</w:t>
            </w:r>
            <w:r>
              <w:rPr>
                <w:rFonts w:hint="default" w:ascii="Times New Roman" w:hAnsi="Times New Roman" w:cs="Times New Roman"/>
                <w:i/>
                <w:color w:val="000000" w:themeColor="text1"/>
                <w:kern w:val="0"/>
                <w:highlight w:val="none"/>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室内</w:t>
            </w:r>
            <w:r>
              <w:rPr>
                <w:rFonts w:hint="default" w:ascii="Times New Roman" w:hAnsi="Times New Roman" w:cs="Times New Roman"/>
                <w:i/>
                <w:color w:val="000000" w:themeColor="text1"/>
                <w:kern w:val="0"/>
                <w:highlight w:val="none"/>
                <w14:textFill>
                  <w14:solidFill>
                    <w14:schemeClr w14:val="tx1"/>
                  </w14:solidFill>
                </w14:textFill>
              </w:rPr>
              <w:t>j</w:t>
            </w:r>
            <w:r>
              <w:rPr>
                <w:rFonts w:hint="default" w:ascii="Times New Roman" w:hAnsi="Times New Roman" w:cs="Times New Roman"/>
                <w:color w:val="000000" w:themeColor="text1"/>
                <w:kern w:val="0"/>
                <w:highlight w:val="none"/>
                <w14:textFill>
                  <w14:solidFill>
                    <w14:schemeClr w14:val="tx1"/>
                  </w14:solidFill>
                </w14:textFill>
              </w:rPr>
              <w:t>声源</w:t>
            </w:r>
            <w:r>
              <w:rPr>
                <w:rFonts w:hint="default" w:ascii="Times New Roman" w:hAnsi="Times New Roman" w:cs="Times New Roman"/>
                <w:i/>
                <w:color w:val="000000" w:themeColor="text1"/>
                <w:kern w:val="0"/>
                <w:highlight w:val="none"/>
                <w14:textFill>
                  <w14:solidFill>
                    <w14:schemeClr w14:val="tx1"/>
                  </w14:solidFill>
                </w14:textFill>
              </w:rPr>
              <w:t>i</w:t>
            </w:r>
            <w:r>
              <w:rPr>
                <w:rFonts w:hint="default" w:ascii="Times New Roman" w:hAnsi="Times New Roman" w:cs="Times New Roman"/>
                <w:color w:val="000000" w:themeColor="text1"/>
                <w:kern w:val="0"/>
                <w:highlight w:val="none"/>
                <w14:textFill>
                  <w14:solidFill>
                    <w14:schemeClr w14:val="tx1"/>
                  </w14:solidFill>
                </w14:textFill>
              </w:rPr>
              <w:t>倍频带的声压级，dB；</w:t>
            </w:r>
          </w:p>
          <w:p w14:paraId="19D30521">
            <w:pPr>
              <w:pStyle w:val="44"/>
              <w:keepNext w:val="0"/>
              <w:keepLines w:val="0"/>
              <w:pageBreakBefore w:val="0"/>
              <w:widowControl w:val="0"/>
              <w:shd w:val="clear"/>
              <w:kinsoku/>
              <w:wordWrap/>
              <w:overflowPunct/>
              <w:topLinePunct w:val="0"/>
              <w:bidi w:val="0"/>
              <w:snapToGrid/>
              <w:spacing w:before="0" w:after="0" w:line="360" w:lineRule="auto"/>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i/>
                <w:color w:val="000000" w:themeColor="text1"/>
                <w:kern w:val="0"/>
                <w:highlight w:val="none"/>
                <w14:textFill>
                  <w14:solidFill>
                    <w14:schemeClr w14:val="tx1"/>
                  </w14:solidFill>
                </w14:textFill>
              </w:rPr>
              <w:t>N</w:t>
            </w:r>
            <w:r>
              <w:rPr>
                <w:rFonts w:hint="default" w:ascii="Times New Roman" w:hAnsi="Times New Roman" w:cs="Times New Roman"/>
                <w:color w:val="000000" w:themeColor="text1"/>
                <w:kern w:val="0"/>
                <w:highlight w:val="none"/>
                <w14:textFill>
                  <w14:solidFill>
                    <w14:schemeClr w14:val="tx1"/>
                  </w14:solidFill>
                </w14:textFill>
              </w:rPr>
              <w:t>—室内声源总数。</w:t>
            </w:r>
          </w:p>
          <w:p w14:paraId="2DA58082">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instrText xml:space="preserve"> = 3 \* ROMAN \* MERGEFORMAT </w:instrTex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III</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、计算出靠近室外围护结构处的声压级：</w:t>
            </w:r>
          </w:p>
          <w:p w14:paraId="23AAFA0B">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eastAsia="宋体" w:cs="Times New Roman"/>
                <w:color w:val="000000" w:themeColor="text1"/>
                <w:kern w:val="0"/>
                <w:position w:val="-1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position w:val="-14"/>
                <w:highlight w:val="none"/>
                <w:lang w:eastAsia="zh-CN"/>
                <w14:textFill>
                  <w14:solidFill>
                    <w14:schemeClr w14:val="tx1"/>
                  </w14:solidFill>
                </w14:textFill>
              </w:rPr>
              <w:object>
                <v:shape id="_x0000_i1035" o:spt="75" type="#_x0000_t75" style="height:19pt;width:131pt;" o:ole="t" filled="f" o:preferrelative="t" stroked="f" coordsize="21600,21600">
                  <v:path/>
                  <v:fill on="f" focussize="0,0"/>
                  <v:stroke on="f"/>
                  <v:imagedata r:id="rId32" o:title=""/>
                  <o:lock v:ext="edit" aspectratio="t"/>
                  <w10:wrap type="none"/>
                  <w10:anchorlock/>
                </v:shape>
                <o:OLEObject Type="Embed" ProgID="Equation.KSEE3" ShapeID="_x0000_i1035" DrawAspect="Content" ObjectID="_1468075735" r:id="rId31">
                  <o:LockedField>false</o:LockedField>
                </o:OLEObject>
              </w:object>
            </w:r>
          </w:p>
          <w:p w14:paraId="36348484">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式中：</w:t>
            </w:r>
          </w:p>
          <w:p w14:paraId="3A4270AC">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i/>
                <w:color w:val="000000" w:themeColor="text1"/>
                <w:kern w:val="0"/>
                <w:highlight w:val="none"/>
                <w14:textFill>
                  <w14:solidFill>
                    <w14:schemeClr w14:val="tx1"/>
                  </w14:solidFill>
                </w14:textFill>
              </w:rPr>
              <w:t>L</w:t>
            </w:r>
            <w:r>
              <w:rPr>
                <w:rFonts w:hint="default" w:ascii="Times New Roman" w:hAnsi="Times New Roman" w:cs="Times New Roman"/>
                <w:i/>
                <w:color w:val="000000" w:themeColor="text1"/>
                <w:kern w:val="0"/>
                <w:highlight w:val="none"/>
                <w:vertAlign w:val="subscript"/>
                <w14:textFill>
                  <w14:solidFill>
                    <w14:schemeClr w14:val="tx1"/>
                  </w14:solidFill>
                </w14:textFill>
              </w:rPr>
              <w:t>P</w:t>
            </w:r>
            <w:r>
              <w:rPr>
                <w:rFonts w:hint="default" w:ascii="Times New Roman" w:hAnsi="Times New Roman" w:cs="Times New Roman"/>
                <w:color w:val="000000" w:themeColor="text1"/>
                <w:kern w:val="0"/>
                <w:highlight w:val="none"/>
                <w:vertAlign w:val="subscript"/>
                <w14:textFill>
                  <w14:solidFill>
                    <w14:schemeClr w14:val="tx1"/>
                  </w14:solidFill>
                </w14:textFill>
              </w:rPr>
              <w:t>2</w:t>
            </w:r>
            <w:r>
              <w:rPr>
                <w:rFonts w:hint="default" w:ascii="Times New Roman" w:hAnsi="Times New Roman" w:cs="Times New Roman"/>
                <w:i/>
                <w:color w:val="000000" w:themeColor="text1"/>
                <w:kern w:val="0"/>
                <w:highlight w:val="none"/>
                <w:vertAlign w:val="subscript"/>
                <w14:textFill>
                  <w14:solidFill>
                    <w14:schemeClr w14:val="tx1"/>
                  </w14:solidFill>
                </w14:textFill>
              </w:rPr>
              <w:t>i</w:t>
            </w:r>
            <w:r>
              <w:rPr>
                <w:rFonts w:hint="eastAsia"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i/>
                <w:color w:val="000000" w:themeColor="text1"/>
                <w:kern w:val="0"/>
                <w:highlight w:val="none"/>
                <w14:textFill>
                  <w14:solidFill>
                    <w14:schemeClr w14:val="tx1"/>
                  </w14:solidFill>
                </w14:textFill>
              </w:rPr>
              <w:t>T</w:t>
            </w:r>
            <w:r>
              <w:rPr>
                <w:rFonts w:hint="eastAsia"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—靠近围护结构处室外N个噪声源</w:t>
            </w:r>
            <w:r>
              <w:rPr>
                <w:rFonts w:hint="default" w:ascii="Times New Roman" w:hAnsi="Times New Roman" w:cs="Times New Roman"/>
                <w:i/>
                <w:color w:val="000000" w:themeColor="text1"/>
                <w:kern w:val="0"/>
                <w:highlight w:val="none"/>
                <w14:textFill>
                  <w14:solidFill>
                    <w14:schemeClr w14:val="tx1"/>
                  </w14:solidFill>
                </w14:textFill>
              </w:rPr>
              <w:t>i</w:t>
            </w:r>
            <w:r>
              <w:rPr>
                <w:rFonts w:hint="default" w:ascii="Times New Roman" w:hAnsi="Times New Roman" w:cs="Times New Roman"/>
                <w:color w:val="000000" w:themeColor="text1"/>
                <w:kern w:val="0"/>
                <w:highlight w:val="none"/>
                <w14:textFill>
                  <w14:solidFill>
                    <w14:schemeClr w14:val="tx1"/>
                  </w14:solidFill>
                </w14:textFill>
              </w:rPr>
              <w:t>倍频带的叠加声压级，dB；</w:t>
            </w:r>
          </w:p>
          <w:p w14:paraId="675C0E91">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i/>
                <w:color w:val="000000" w:themeColor="text1"/>
                <w:kern w:val="0"/>
                <w:highlight w:val="none"/>
                <w14:textFill>
                  <w14:solidFill>
                    <w14:schemeClr w14:val="tx1"/>
                  </w14:solidFill>
                </w14:textFill>
              </w:rPr>
              <w:t>L</w:t>
            </w:r>
            <w:r>
              <w:rPr>
                <w:rFonts w:hint="default" w:ascii="Times New Roman" w:hAnsi="Times New Roman" w:cs="Times New Roman"/>
                <w:i/>
                <w:color w:val="000000" w:themeColor="text1"/>
                <w:kern w:val="0"/>
                <w:highlight w:val="none"/>
                <w:vertAlign w:val="subscript"/>
                <w14:textFill>
                  <w14:solidFill>
                    <w14:schemeClr w14:val="tx1"/>
                  </w14:solidFill>
                </w14:textFill>
              </w:rPr>
              <w:t>P</w:t>
            </w:r>
            <w:r>
              <w:rPr>
                <w:rFonts w:hint="default" w:ascii="Times New Roman" w:hAnsi="Times New Roman" w:cs="Times New Roman"/>
                <w:color w:val="000000" w:themeColor="text1"/>
                <w:kern w:val="0"/>
                <w:highlight w:val="none"/>
                <w:vertAlign w:val="subscript"/>
                <w:lang w:val="en-US" w:eastAsia="zh-CN"/>
                <w14:textFill>
                  <w14:solidFill>
                    <w14:schemeClr w14:val="tx1"/>
                  </w14:solidFill>
                </w14:textFill>
              </w:rPr>
              <w:t>1</w:t>
            </w:r>
            <w:r>
              <w:rPr>
                <w:rFonts w:hint="default" w:ascii="Times New Roman" w:hAnsi="Times New Roman" w:cs="Times New Roman"/>
                <w:i/>
                <w:color w:val="000000" w:themeColor="text1"/>
                <w:kern w:val="0"/>
                <w:highlight w:val="none"/>
                <w:vertAlign w:val="subscript"/>
                <w14:textFill>
                  <w14:solidFill>
                    <w14:schemeClr w14:val="tx1"/>
                  </w14:solidFill>
                </w14:textFill>
              </w:rPr>
              <w:t>i</w:t>
            </w:r>
            <w:r>
              <w:rPr>
                <w:rFonts w:hint="eastAsia"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i/>
                <w:color w:val="000000" w:themeColor="text1"/>
                <w:kern w:val="0"/>
                <w:highlight w:val="none"/>
                <w14:textFill>
                  <w14:solidFill>
                    <w14:schemeClr w14:val="tx1"/>
                  </w14:solidFill>
                </w14:textFill>
              </w:rPr>
              <w:t>T</w:t>
            </w:r>
            <w:r>
              <w:rPr>
                <w:rFonts w:hint="eastAsia" w:cs="Times New Roman"/>
                <w:color w:val="000000" w:themeColor="text1"/>
                <w:kern w:val="0"/>
                <w:highlight w:val="none"/>
                <w:lang w:val="en-US" w:eastAsia="zh-CN"/>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—靠近围护结构处室</w:t>
            </w:r>
            <w:r>
              <w:rPr>
                <w:rFonts w:hint="default" w:ascii="Times New Roman" w:hAnsi="Times New Roman" w:cs="Times New Roman"/>
                <w:color w:val="000000" w:themeColor="text1"/>
                <w:kern w:val="0"/>
                <w:highlight w:val="none"/>
                <w:lang w:val="en-US" w:eastAsia="zh-CN"/>
                <w14:textFill>
                  <w14:solidFill>
                    <w14:schemeClr w14:val="tx1"/>
                  </w14:solidFill>
                </w14:textFill>
              </w:rPr>
              <w:t>内</w:t>
            </w:r>
            <w:r>
              <w:rPr>
                <w:rFonts w:hint="default" w:ascii="Times New Roman" w:hAnsi="Times New Roman" w:cs="Times New Roman"/>
                <w:color w:val="000000" w:themeColor="text1"/>
                <w:kern w:val="0"/>
                <w:highlight w:val="none"/>
                <w14:textFill>
                  <w14:solidFill>
                    <w14:schemeClr w14:val="tx1"/>
                  </w14:solidFill>
                </w14:textFill>
              </w:rPr>
              <w:t>N个噪声源</w:t>
            </w:r>
            <w:r>
              <w:rPr>
                <w:rFonts w:hint="default" w:ascii="Times New Roman" w:hAnsi="Times New Roman" w:cs="Times New Roman"/>
                <w:i/>
                <w:color w:val="000000" w:themeColor="text1"/>
                <w:kern w:val="0"/>
                <w:highlight w:val="none"/>
                <w14:textFill>
                  <w14:solidFill>
                    <w14:schemeClr w14:val="tx1"/>
                  </w14:solidFill>
                </w14:textFill>
              </w:rPr>
              <w:t>i</w:t>
            </w:r>
            <w:r>
              <w:rPr>
                <w:rFonts w:hint="default" w:ascii="Times New Roman" w:hAnsi="Times New Roman" w:cs="Times New Roman"/>
                <w:color w:val="000000" w:themeColor="text1"/>
                <w:kern w:val="0"/>
                <w:highlight w:val="none"/>
                <w14:textFill>
                  <w14:solidFill>
                    <w14:schemeClr w14:val="tx1"/>
                  </w14:solidFill>
                </w14:textFill>
              </w:rPr>
              <w:t>倍频带的叠加声压级，dB；</w:t>
            </w:r>
          </w:p>
          <w:p w14:paraId="242685EB">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i/>
                <w:color w:val="000000" w:themeColor="text1"/>
                <w:kern w:val="0"/>
                <w:highlight w:val="none"/>
                <w14:textFill>
                  <w14:solidFill>
                    <w14:schemeClr w14:val="tx1"/>
                  </w14:solidFill>
                </w14:textFill>
              </w:rPr>
              <w:t>TL</w:t>
            </w:r>
            <w:r>
              <w:rPr>
                <w:rFonts w:hint="default" w:ascii="Times New Roman" w:hAnsi="Times New Roman" w:cs="Times New Roman"/>
                <w:i/>
                <w:color w:val="000000" w:themeColor="text1"/>
                <w:kern w:val="0"/>
                <w:highlight w:val="none"/>
                <w:vertAlign w:val="subscript"/>
                <w14:textFill>
                  <w14:solidFill>
                    <w14:schemeClr w14:val="tx1"/>
                  </w14:solidFill>
                </w14:textFill>
              </w:rPr>
              <w:t>i</w:t>
            </w:r>
            <w:r>
              <w:rPr>
                <w:rFonts w:hint="default" w:ascii="Times New Roman" w:hAnsi="Times New Roman" w:cs="Times New Roman"/>
                <w:i/>
                <w:color w:val="000000" w:themeColor="text1"/>
                <w:kern w:val="0"/>
                <w:highlight w:val="none"/>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围护结构</w:t>
            </w:r>
            <w:r>
              <w:rPr>
                <w:rFonts w:hint="default" w:ascii="Times New Roman" w:hAnsi="Times New Roman" w:cs="Times New Roman"/>
                <w:i/>
                <w:color w:val="000000" w:themeColor="text1"/>
                <w:kern w:val="0"/>
                <w:highlight w:val="none"/>
                <w14:textFill>
                  <w14:solidFill>
                    <w14:schemeClr w14:val="tx1"/>
                  </w14:solidFill>
                </w14:textFill>
              </w:rPr>
              <w:t>i</w:t>
            </w:r>
            <w:r>
              <w:rPr>
                <w:rFonts w:hint="default" w:ascii="Times New Roman" w:hAnsi="Times New Roman" w:cs="Times New Roman"/>
                <w:color w:val="000000" w:themeColor="text1"/>
                <w:kern w:val="0"/>
                <w:highlight w:val="none"/>
                <w14:textFill>
                  <w14:solidFill>
                    <w14:schemeClr w14:val="tx1"/>
                  </w14:solidFill>
                </w14:textFill>
              </w:rPr>
              <w:t>倍频带的隔声量。</w:t>
            </w:r>
          </w:p>
          <w:p w14:paraId="13E8F869">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begin"/>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instrText xml:space="preserve"> = 4 \* ROMAN \* MERGEFORMAT </w:instrTex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IV</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fldChar w:fldCharType="end"/>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、将室外声源的声压级和透过面积换算成等效的室外声源，计算出中心位置位于透声面积（S）处的等效声源的倍频带声功率级：</w:t>
            </w:r>
          </w:p>
          <w:p w14:paraId="6F443E21">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position w:val="-14"/>
                <w:sz w:val="24"/>
                <w:szCs w:val="24"/>
                <w:highlight w:val="none"/>
                <w:lang w:eastAsia="zh-CN"/>
                <w14:textFill>
                  <w14:solidFill>
                    <w14:schemeClr w14:val="tx1"/>
                  </w14:solidFill>
                </w14:textFill>
              </w:rPr>
              <w:object>
                <v:shape id="_x0000_i1036" o:spt="75" type="#_x0000_t75" style="height:19pt;width:98pt;" o:ole="t" filled="f" o:preferrelative="t" stroked="f" coordsize="21600,21600">
                  <v:path/>
                  <v:fill on="f" focussize="0,0"/>
                  <v:stroke on="f"/>
                  <v:imagedata r:id="rId34" o:title=""/>
                  <o:lock v:ext="edit" aspectratio="t"/>
                  <w10:wrap type="none"/>
                  <w10:anchorlock/>
                </v:shape>
                <o:OLEObject Type="Embed" ProgID="Equation.KSEE3" ShapeID="_x0000_i1036" DrawAspect="Content" ObjectID="_1468075736" r:id="rId33">
                  <o:LockedField>false</o:LockedField>
                </o:OLEObject>
              </w:object>
            </w:r>
          </w:p>
          <w:p w14:paraId="6C469CA0">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式中：</w:t>
            </w:r>
          </w:p>
          <w:p w14:paraId="37B3F4CA">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iCs/>
                <w:color w:val="000000" w:themeColor="text1"/>
                <w:sz w:val="24"/>
                <w:szCs w:val="24"/>
                <w:highlight w:val="none"/>
                <w:lang w:val="en-US" w:eastAsia="zh-CN"/>
                <w14:textFill>
                  <w14:solidFill>
                    <w14:schemeClr w14:val="tx1"/>
                  </w14:solidFill>
                </w14:textFill>
              </w:rPr>
              <w:t>L</w:t>
            </w:r>
            <w:r>
              <w:rPr>
                <w:rFonts w:hint="default" w:ascii="Times New Roman" w:hAnsi="Times New Roman" w:eastAsia="宋体" w:cs="Times New Roman"/>
                <w:i/>
                <w:iCs/>
                <w:color w:val="000000" w:themeColor="text1"/>
                <w:sz w:val="24"/>
                <w:szCs w:val="24"/>
                <w:highlight w:val="none"/>
                <w:vertAlign w:val="subscript"/>
                <w:lang w:val="en-US" w:eastAsia="zh-CN"/>
                <w14:textFill>
                  <w14:solidFill>
                    <w14:schemeClr w14:val="tx1"/>
                  </w14:solidFill>
                </w14:textFill>
              </w:rPr>
              <w:t>w</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中心位置位于透声面积（S）处的等效声源的倍频带声功率级，dB；</w:t>
            </w:r>
          </w:p>
          <w:p w14:paraId="03CF1E32">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iCs/>
                <w:color w:val="000000" w:themeColor="text1"/>
                <w:kern w:val="0"/>
                <w:sz w:val="24"/>
                <w:szCs w:val="24"/>
                <w:highlight w:val="none"/>
                <w:lang w:val="en-US" w:eastAsia="zh-CN"/>
                <w14:textFill>
                  <w14:solidFill>
                    <w14:schemeClr w14:val="tx1"/>
                  </w14:solidFill>
                </w14:textFill>
              </w:rPr>
              <w:t>L</w:t>
            </w:r>
            <w:r>
              <w:rPr>
                <w:rFonts w:hint="default" w:ascii="Times New Roman" w:hAnsi="Times New Roman" w:eastAsia="宋体" w:cs="Times New Roman"/>
                <w:i/>
                <w:iCs/>
                <w:color w:val="000000" w:themeColor="text1"/>
                <w:kern w:val="0"/>
                <w:sz w:val="24"/>
                <w:szCs w:val="24"/>
                <w:highlight w:val="none"/>
                <w:vertAlign w:val="subscript"/>
                <w:lang w:val="en-US" w:eastAsia="zh-CN"/>
                <w14:textFill>
                  <w14:solidFill>
                    <w14:schemeClr w14:val="tx1"/>
                  </w14:solidFill>
                </w14:textFill>
              </w:rPr>
              <w:t>p2</w:t>
            </w:r>
            <w:r>
              <w:rPr>
                <w:rFonts w:hint="default" w:ascii="Times New Roman" w:hAnsi="Times New Roman" w:eastAsia="宋体" w:cs="Times New Roman"/>
                <w:i/>
                <w:iCs/>
                <w:color w:val="000000" w:themeColor="text1"/>
                <w:kern w:val="0"/>
                <w:sz w:val="24"/>
                <w:szCs w:val="24"/>
                <w:highlight w:val="none"/>
                <w:lang w:val="en-US" w:eastAsia="zh-CN"/>
                <w14:textFill>
                  <w14:solidFill>
                    <w14:schemeClr w14:val="tx1"/>
                  </w14:solidFill>
                </w14:textFill>
              </w:rPr>
              <w:t>（T）</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靠近围护结构处室外声源的声压级，dB；</w:t>
            </w:r>
          </w:p>
          <w:p w14:paraId="236409FE">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S</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透声面积，m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44BE617B">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然后按室外声源预测方法计算预测点处的A声级。</w:t>
            </w:r>
          </w:p>
          <w:p w14:paraId="2740A8B7">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设第i个室外声源在预测点产生的A声级为L</w:t>
            </w:r>
            <w:r>
              <w:rPr>
                <w:rFonts w:hint="default" w:ascii="Times New Roman" w:hAnsi="Times New Roman" w:cs="Times New Roman"/>
                <w:color w:val="000000" w:themeColor="text1"/>
                <w:kern w:val="0"/>
                <w:highlight w:val="none"/>
                <w:vertAlign w:val="subscript"/>
                <w14:textFill>
                  <w14:solidFill>
                    <w14:schemeClr w14:val="tx1"/>
                  </w14:solidFill>
                </w14:textFill>
              </w:rPr>
              <w:t>Ai</w:t>
            </w:r>
            <w:r>
              <w:rPr>
                <w:rFonts w:hint="default" w:ascii="Times New Roman" w:hAnsi="Times New Roman" w:cs="Times New Roman"/>
                <w:color w:val="000000" w:themeColor="text1"/>
                <w:kern w:val="0"/>
                <w:highlight w:val="none"/>
                <w14:textFill>
                  <w14:solidFill>
                    <w14:schemeClr w14:val="tx1"/>
                  </w14:solidFill>
                </w14:textFill>
              </w:rPr>
              <w:t>，在T时间内该声源工作时间为t</w:t>
            </w:r>
            <w:r>
              <w:rPr>
                <w:rFonts w:hint="default" w:ascii="Times New Roman" w:hAnsi="Times New Roman" w:cs="Times New Roman"/>
                <w:color w:val="000000" w:themeColor="text1"/>
                <w:kern w:val="0"/>
                <w:highlight w:val="none"/>
                <w:vertAlign w:val="subscript"/>
                <w14:textFill>
                  <w14:solidFill>
                    <w14:schemeClr w14:val="tx1"/>
                  </w14:solidFill>
                </w14:textFill>
              </w:rPr>
              <w:t>i</w:t>
            </w:r>
            <w:r>
              <w:rPr>
                <w:rFonts w:hint="default" w:ascii="Times New Roman" w:hAnsi="Times New Roman" w:cs="Times New Roman"/>
                <w:color w:val="000000" w:themeColor="text1"/>
                <w:kern w:val="0"/>
                <w:highlight w:val="none"/>
                <w14:textFill>
                  <w14:solidFill>
                    <w14:schemeClr w14:val="tx1"/>
                  </w14:solidFill>
                </w14:textFill>
              </w:rPr>
              <w:t>；第j个等效室外声源在预测点产生的A声级为L</w:t>
            </w:r>
            <w:r>
              <w:rPr>
                <w:rFonts w:hint="default" w:ascii="Times New Roman" w:hAnsi="Times New Roman" w:cs="Times New Roman"/>
                <w:color w:val="000000" w:themeColor="text1"/>
                <w:kern w:val="0"/>
                <w:highlight w:val="none"/>
                <w:vertAlign w:val="subscript"/>
                <w14:textFill>
                  <w14:solidFill>
                    <w14:schemeClr w14:val="tx1"/>
                  </w14:solidFill>
                </w14:textFill>
              </w:rPr>
              <w:t>Aj</w:t>
            </w:r>
            <w:r>
              <w:rPr>
                <w:rFonts w:hint="default" w:ascii="Times New Roman" w:hAnsi="Times New Roman" w:cs="Times New Roman"/>
                <w:color w:val="000000" w:themeColor="text1"/>
                <w:kern w:val="0"/>
                <w:highlight w:val="none"/>
                <w14:textFill>
                  <w14:solidFill>
                    <w14:schemeClr w14:val="tx1"/>
                  </w14:solidFill>
                </w14:textFill>
              </w:rPr>
              <w:t>，在T时间内该声源工作时间为t</w:t>
            </w:r>
            <w:r>
              <w:rPr>
                <w:rFonts w:hint="default" w:ascii="Times New Roman" w:hAnsi="Times New Roman" w:cs="Times New Roman"/>
                <w:color w:val="000000" w:themeColor="text1"/>
                <w:kern w:val="0"/>
                <w:highlight w:val="none"/>
                <w:vertAlign w:val="subscript"/>
                <w14:textFill>
                  <w14:solidFill>
                    <w14:schemeClr w14:val="tx1"/>
                  </w14:solidFill>
                </w14:textFill>
              </w:rPr>
              <w:t>j</w:t>
            </w:r>
            <w:r>
              <w:rPr>
                <w:rFonts w:hint="default" w:ascii="Times New Roman" w:hAnsi="Times New Roman" w:cs="Times New Roman"/>
                <w:color w:val="000000" w:themeColor="text1"/>
                <w:kern w:val="0"/>
                <w:highlight w:val="none"/>
                <w14:textFill>
                  <w14:solidFill>
                    <w14:schemeClr w14:val="tx1"/>
                  </w14:solidFill>
                </w14:textFill>
              </w:rPr>
              <w:t>，则</w:t>
            </w:r>
            <w:r>
              <w:rPr>
                <w:rFonts w:hint="default" w:ascii="Times New Roman" w:hAnsi="Times New Roman" w:cs="Times New Roman"/>
                <w:color w:val="000000" w:themeColor="text1"/>
                <w:kern w:val="0"/>
                <w:highlight w:val="none"/>
                <w:lang w:val="en-US" w:eastAsia="zh-CN"/>
                <w14:textFill>
                  <w14:solidFill>
                    <w14:schemeClr w14:val="tx1"/>
                  </w14:solidFill>
                </w14:textFill>
              </w:rPr>
              <w:t>建设</w:t>
            </w:r>
            <w:r>
              <w:rPr>
                <w:rFonts w:hint="default" w:ascii="Times New Roman" w:hAnsi="Times New Roman" w:cs="Times New Roman"/>
                <w:color w:val="000000" w:themeColor="text1"/>
                <w:kern w:val="0"/>
                <w:highlight w:val="none"/>
                <w14:textFill>
                  <w14:solidFill>
                    <w14:schemeClr w14:val="tx1"/>
                  </w14:solidFill>
                </w14:textFill>
              </w:rPr>
              <w:t>项目声源对预测点产生的贡献值（L</w:t>
            </w:r>
            <w:r>
              <w:rPr>
                <w:rFonts w:hint="default" w:ascii="Times New Roman" w:hAnsi="Times New Roman" w:cs="Times New Roman"/>
                <w:color w:val="000000" w:themeColor="text1"/>
                <w:kern w:val="0"/>
                <w:highlight w:val="none"/>
                <w:vertAlign w:val="subscript"/>
                <w14:textFill>
                  <w14:solidFill>
                    <w14:schemeClr w14:val="tx1"/>
                  </w14:solidFill>
                </w14:textFill>
              </w:rPr>
              <w:t>eqg</w:t>
            </w:r>
            <w:r>
              <w:rPr>
                <w:rFonts w:hint="default" w:ascii="Times New Roman" w:hAnsi="Times New Roman" w:cs="Times New Roman"/>
                <w:color w:val="000000" w:themeColor="text1"/>
                <w:kern w:val="0"/>
                <w:highlight w:val="none"/>
                <w14:textFill>
                  <w14:solidFill>
                    <w14:schemeClr w14:val="tx1"/>
                  </w14:solidFill>
                </w14:textFill>
              </w:rPr>
              <w:t>）为：</w:t>
            </w:r>
          </w:p>
          <w:p w14:paraId="573C28C0">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position w:val="-14"/>
                <w:highlight w:val="none"/>
                <w:lang w:eastAsia="zh-CN"/>
                <w14:textFill>
                  <w14:solidFill>
                    <w14:schemeClr w14:val="tx1"/>
                  </w14:solidFill>
                </w14:textFill>
              </w:rPr>
              <w:object>
                <v:shape id="_x0000_i1037" o:spt="75" type="#_x0000_t75" style="height:42.2pt;width:205.35pt;" o:ole="t" filled="f" o:preferrelative="f" stroked="f" coordsize="21600,21600">
                  <v:path/>
                  <v:fill on="f" focussize="0,0"/>
                  <v:stroke on="f"/>
                  <v:imagedata r:id="rId36" o:title=""/>
                  <o:lock v:ext="edit" rotation="t" aspectratio="f"/>
                  <w10:wrap type="none"/>
                  <w10:anchorlock/>
                </v:shape>
                <o:OLEObject Type="Embed" ProgID="Equation.3" ShapeID="_x0000_i1037" DrawAspect="Content" ObjectID="_1468075737" r:id="rId35">
                  <o:LockedField>false</o:LockedField>
                </o:OLEObject>
              </w:object>
            </w:r>
          </w:p>
          <w:p w14:paraId="53B21CAD">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式中：</w:t>
            </w:r>
          </w:p>
          <w:p w14:paraId="6D2BA537">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i/>
                <w:iCs/>
                <w:color w:val="000000" w:themeColor="text1"/>
                <w:kern w:val="0"/>
                <w:highlight w:val="none"/>
                <w14:textFill>
                  <w14:solidFill>
                    <w14:schemeClr w14:val="tx1"/>
                  </w14:solidFill>
                </w14:textFill>
              </w:rPr>
              <w:t>L</w:t>
            </w:r>
            <w:r>
              <w:rPr>
                <w:rFonts w:hint="default" w:ascii="Times New Roman" w:hAnsi="Times New Roman" w:cs="Times New Roman"/>
                <w:i/>
                <w:iCs/>
                <w:color w:val="000000" w:themeColor="text1"/>
                <w:kern w:val="0"/>
                <w:highlight w:val="none"/>
                <w:vertAlign w:val="subscript"/>
                <w14:textFill>
                  <w14:solidFill>
                    <w14:schemeClr w14:val="tx1"/>
                  </w14:solidFill>
                </w14:textFill>
              </w:rPr>
              <w:t>eqg</w:t>
            </w:r>
            <w:r>
              <w:rPr>
                <w:rFonts w:hint="default" w:ascii="Times New Roman" w:hAnsi="Times New Roman" w:cs="Times New Roman"/>
                <w:color w:val="000000" w:themeColor="text1"/>
                <w:kern w:val="0"/>
                <w:highlight w:val="none"/>
                <w14:textFill>
                  <w14:solidFill>
                    <w14:schemeClr w14:val="tx1"/>
                  </w14:solidFill>
                </w14:textFill>
              </w:rPr>
              <w:t>—建设项目声源在预测点</w:t>
            </w:r>
            <w:r>
              <w:rPr>
                <w:rFonts w:hint="default" w:ascii="Times New Roman" w:hAnsi="Times New Roman" w:cs="Times New Roman"/>
                <w:color w:val="000000" w:themeColor="text1"/>
                <w:kern w:val="0"/>
                <w:highlight w:val="none"/>
                <w:lang w:val="en-US" w:eastAsia="zh-CN"/>
                <w14:textFill>
                  <w14:solidFill>
                    <w14:schemeClr w14:val="tx1"/>
                  </w14:solidFill>
                </w14:textFill>
              </w:rPr>
              <w:t>产生的噪声</w:t>
            </w:r>
            <w:r>
              <w:rPr>
                <w:rFonts w:hint="default" w:ascii="Times New Roman" w:hAnsi="Times New Roman" w:cs="Times New Roman"/>
                <w:color w:val="000000" w:themeColor="text1"/>
                <w:kern w:val="0"/>
                <w:highlight w:val="none"/>
                <w14:textFill>
                  <w14:solidFill>
                    <w14:schemeClr w14:val="tx1"/>
                  </w14:solidFill>
                </w14:textFill>
              </w:rPr>
              <w:t>贡献值，dB；</w:t>
            </w:r>
          </w:p>
          <w:p w14:paraId="17588EDD">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000000" w:themeColor="text1"/>
                <w:kern w:val="0"/>
                <w:highlight w:val="none"/>
                <w:lang w:val="en-US" w:eastAsia="zh-CN"/>
                <w14:textFill>
                  <w14:solidFill>
                    <w14:schemeClr w14:val="tx1"/>
                  </w14:solidFill>
                </w14:textFill>
              </w:rPr>
            </w:pPr>
            <w:r>
              <w:rPr>
                <w:rFonts w:hint="default" w:ascii="Times New Roman" w:hAnsi="Times New Roman" w:cs="Times New Roman"/>
                <w:i/>
                <w:iCs/>
                <w:color w:val="000000" w:themeColor="text1"/>
                <w:kern w:val="0"/>
                <w:highlight w:val="none"/>
                <w:lang w:val="en-US" w:eastAsia="zh-CN"/>
                <w14:textFill>
                  <w14:solidFill>
                    <w14:schemeClr w14:val="tx1"/>
                  </w14:solidFill>
                </w14:textFill>
              </w:rPr>
              <w:t>T</w:t>
            </w:r>
            <w:r>
              <w:rPr>
                <w:rFonts w:hint="default" w:ascii="Times New Roman" w:hAnsi="Times New Roman" w:cs="Times New Roman"/>
                <w:color w:val="000000" w:themeColor="text1"/>
                <w:kern w:val="0"/>
                <w:highlight w:val="none"/>
                <w14:textFill>
                  <w14:solidFill>
                    <w14:schemeClr w14:val="tx1"/>
                  </w14:solidFill>
                </w14:textFill>
              </w:rPr>
              <w:t>—</w:t>
            </w:r>
            <w:r>
              <w:rPr>
                <w:rFonts w:hint="default" w:ascii="Times New Roman" w:hAnsi="Times New Roman" w:cs="Times New Roman"/>
                <w:color w:val="000000" w:themeColor="text1"/>
                <w:kern w:val="0"/>
                <w:highlight w:val="none"/>
                <w:lang w:val="en-US" w:eastAsia="zh-CN"/>
                <w14:textFill>
                  <w14:solidFill>
                    <w14:schemeClr w14:val="tx1"/>
                  </w14:solidFill>
                </w14:textFill>
              </w:rPr>
              <w:t>用于计算等效声级的时间，s；</w:t>
            </w:r>
          </w:p>
          <w:p w14:paraId="2F093133">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i w:val="0"/>
                <w:i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highlight w:val="none"/>
                <w:lang w:val="en-US" w:eastAsia="zh-CN" w:bidi="ar-SA"/>
                <w14:textFill>
                  <w14:solidFill>
                    <w14:schemeClr w14:val="tx1"/>
                  </w14:solidFill>
                </w14:textFill>
              </w:rPr>
              <w:t>N—室外声源个数；</w:t>
            </w:r>
          </w:p>
          <w:p w14:paraId="537E8B65">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000000" w:themeColor="text1"/>
                <w:kern w:val="0"/>
                <w:highlight w:val="none"/>
                <w:lang w:eastAsia="zh-CN"/>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t</w:t>
            </w:r>
            <w:r>
              <w:rPr>
                <w:rFonts w:hint="default" w:ascii="Times New Roman" w:hAnsi="Times New Roman" w:cs="Times New Roman"/>
                <w:color w:val="000000" w:themeColor="text1"/>
                <w:kern w:val="0"/>
                <w:highlight w:val="none"/>
                <w:vertAlign w:val="subscript"/>
                <w14:textFill>
                  <w14:solidFill>
                    <w14:schemeClr w14:val="tx1"/>
                  </w14:solidFill>
                </w14:textFill>
              </w:rPr>
              <w:t>i</w:t>
            </w:r>
            <w:r>
              <w:rPr>
                <w:rFonts w:hint="default" w:ascii="Times New Roman" w:hAnsi="Times New Roman" w:cs="Times New Roman"/>
                <w:color w:val="000000" w:themeColor="text1"/>
                <w:kern w:val="0"/>
                <w:highlight w:val="none"/>
                <w14:textFill>
                  <w14:solidFill>
                    <w14:schemeClr w14:val="tx1"/>
                  </w14:solidFill>
                </w14:textFill>
              </w:rPr>
              <w:t>—在T</w:t>
            </w:r>
            <w:r>
              <w:rPr>
                <w:rFonts w:hint="default" w:ascii="Times New Roman" w:hAnsi="Times New Roman" w:cs="Times New Roman"/>
                <w:color w:val="000000" w:themeColor="text1"/>
                <w:kern w:val="0"/>
                <w:highlight w:val="none"/>
                <w:lang w:val="en-US" w:eastAsia="zh-CN"/>
                <w14:textFill>
                  <w14:solidFill>
                    <w14:schemeClr w14:val="tx1"/>
                  </w14:solidFill>
                </w14:textFill>
              </w:rPr>
              <w:t>时间内i声源工作</w:t>
            </w:r>
            <w:r>
              <w:rPr>
                <w:rFonts w:hint="default" w:ascii="Times New Roman" w:hAnsi="Times New Roman" w:cs="Times New Roman"/>
                <w:color w:val="000000" w:themeColor="text1"/>
                <w:kern w:val="0"/>
                <w:highlight w:val="none"/>
                <w14:textFill>
                  <w14:solidFill>
                    <w14:schemeClr w14:val="tx1"/>
                  </w14:solidFill>
                </w14:textFill>
              </w:rPr>
              <w:t>时间，s</w:t>
            </w:r>
            <w:r>
              <w:rPr>
                <w:rFonts w:hint="default" w:ascii="Times New Roman" w:hAnsi="Times New Roman" w:cs="Times New Roman"/>
                <w:color w:val="000000" w:themeColor="text1"/>
                <w:kern w:val="0"/>
                <w:highlight w:val="none"/>
                <w:lang w:eastAsia="zh-CN"/>
                <w14:textFill>
                  <w14:solidFill>
                    <w14:schemeClr w14:val="tx1"/>
                  </w14:solidFill>
                </w14:textFill>
              </w:rPr>
              <w:t>；</w:t>
            </w:r>
          </w:p>
          <w:p w14:paraId="72927D14">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000000" w:themeColor="text1"/>
                <w:kern w:val="0"/>
                <w:highlight w:val="none"/>
                <w:lang w:val="en-US" w:eastAsia="zh-CN"/>
                <w14:textFill>
                  <w14:solidFill>
                    <w14:schemeClr w14:val="tx1"/>
                  </w14:solidFill>
                </w14:textFill>
              </w:rPr>
            </w:pPr>
            <w:r>
              <w:rPr>
                <w:rFonts w:hint="default" w:ascii="Times New Roman" w:hAnsi="Times New Roman" w:cs="Times New Roman"/>
                <w:color w:val="000000" w:themeColor="text1"/>
                <w:kern w:val="0"/>
                <w:highlight w:val="none"/>
                <w:lang w:val="en-US" w:eastAsia="zh-CN"/>
                <w14:textFill>
                  <w14:solidFill>
                    <w14:schemeClr w14:val="tx1"/>
                  </w14:solidFill>
                </w14:textFill>
              </w:rPr>
              <w:t>M</w:t>
            </w:r>
            <w:r>
              <w:rPr>
                <w:rFonts w:hint="default" w:ascii="Times New Roman" w:hAnsi="Times New Roman" w:cs="Times New Roman"/>
                <w:color w:val="000000" w:themeColor="text1"/>
                <w:kern w:val="0"/>
                <w:highlight w:val="none"/>
                <w14:textFill>
                  <w14:solidFill>
                    <w14:schemeClr w14:val="tx1"/>
                  </w14:solidFill>
                </w14:textFill>
              </w:rPr>
              <w:t>—</w:t>
            </w:r>
            <w:r>
              <w:rPr>
                <w:rFonts w:hint="default" w:ascii="Times New Roman" w:hAnsi="Times New Roman" w:cs="Times New Roman"/>
                <w:color w:val="000000" w:themeColor="text1"/>
                <w:kern w:val="0"/>
                <w:highlight w:val="none"/>
                <w:lang w:val="en-US" w:eastAsia="zh-CN"/>
                <w14:textFill>
                  <w14:solidFill>
                    <w14:schemeClr w14:val="tx1"/>
                  </w14:solidFill>
                </w14:textFill>
              </w:rPr>
              <w:t>等效室外声源个数；</w:t>
            </w:r>
          </w:p>
          <w:p w14:paraId="03331C6C">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t</w:t>
            </w:r>
            <w:r>
              <w:rPr>
                <w:rFonts w:hint="default" w:ascii="Times New Roman" w:hAnsi="Times New Roman" w:cs="Times New Roman"/>
                <w:color w:val="000000" w:themeColor="text1"/>
                <w:kern w:val="0"/>
                <w:highlight w:val="none"/>
                <w:vertAlign w:val="subscript"/>
                <w:lang w:val="en-US" w:eastAsia="zh-CN"/>
                <w14:textFill>
                  <w14:solidFill>
                    <w14:schemeClr w14:val="tx1"/>
                  </w14:solidFill>
                </w14:textFill>
              </w:rPr>
              <w:t>j</w:t>
            </w:r>
            <w:r>
              <w:rPr>
                <w:rFonts w:hint="default" w:ascii="Times New Roman" w:hAnsi="Times New Roman" w:cs="Times New Roman"/>
                <w:color w:val="000000" w:themeColor="text1"/>
                <w:kern w:val="0"/>
                <w:highlight w:val="none"/>
                <w14:textFill>
                  <w14:solidFill>
                    <w14:schemeClr w14:val="tx1"/>
                  </w14:solidFill>
                </w14:textFill>
              </w:rPr>
              <w:t>—在T</w:t>
            </w:r>
            <w:r>
              <w:rPr>
                <w:rFonts w:hint="default" w:ascii="Times New Roman" w:hAnsi="Times New Roman" w:cs="Times New Roman"/>
                <w:color w:val="000000" w:themeColor="text1"/>
                <w:kern w:val="0"/>
                <w:highlight w:val="none"/>
                <w:lang w:val="en-US" w:eastAsia="zh-CN"/>
                <w14:textFill>
                  <w14:solidFill>
                    <w14:schemeClr w14:val="tx1"/>
                  </w14:solidFill>
                </w14:textFill>
              </w:rPr>
              <w:t>时间内j声源工作</w:t>
            </w:r>
            <w:r>
              <w:rPr>
                <w:rFonts w:hint="default" w:ascii="Times New Roman" w:hAnsi="Times New Roman" w:cs="Times New Roman"/>
                <w:color w:val="000000" w:themeColor="text1"/>
                <w:kern w:val="0"/>
                <w:highlight w:val="none"/>
                <w14:textFill>
                  <w14:solidFill>
                    <w14:schemeClr w14:val="tx1"/>
                  </w14:solidFill>
                </w14:textFill>
              </w:rPr>
              <w:t>时间，s。</w:t>
            </w:r>
          </w:p>
          <w:p w14:paraId="5CA4D681">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eastAsia" w:ascii="Times New Roman" w:hAnsi="Times New Roman" w:eastAsia="宋体" w:cs="Times New Roman"/>
                <w:color w:val="000000" w:themeColor="text1"/>
                <w:kern w:val="0"/>
                <w:highlight w:val="none"/>
                <w:lang w:eastAsia="zh-CN"/>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fldChar w:fldCharType="begin"/>
            </w:r>
            <w:r>
              <w:rPr>
                <w:rFonts w:hint="default" w:ascii="Times New Roman" w:hAnsi="Times New Roman" w:cs="Times New Roman"/>
                <w:color w:val="000000" w:themeColor="text1"/>
                <w:kern w:val="0"/>
                <w:highlight w:val="none"/>
                <w14:textFill>
                  <w14:solidFill>
                    <w14:schemeClr w14:val="tx1"/>
                  </w14:solidFill>
                </w14:textFill>
              </w:rPr>
              <w:instrText xml:space="preserve"> = 4 \* GB3 \* MERGEFORMAT </w:instrText>
            </w:r>
            <w:r>
              <w:rPr>
                <w:rFonts w:hint="default" w:ascii="Times New Roman" w:hAnsi="Times New Roman" w:cs="Times New Roman"/>
                <w:color w:val="000000" w:themeColor="text1"/>
                <w:kern w:val="0"/>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④</w:t>
            </w:r>
            <w:r>
              <w:rPr>
                <w:rFonts w:hint="default" w:ascii="Times New Roman" w:hAnsi="Times New Roman" w:cs="Times New Roman"/>
                <w:color w:val="000000" w:themeColor="text1"/>
                <w:kern w:val="0"/>
                <w:highlight w:val="none"/>
                <w14:textFill>
                  <w14:solidFill>
                    <w14:schemeClr w14:val="tx1"/>
                  </w14:solidFill>
                </w14:textFill>
              </w:rPr>
              <w:fldChar w:fldCharType="end"/>
            </w:r>
            <w:r>
              <w:rPr>
                <w:rFonts w:hint="default" w:ascii="Times New Roman" w:hAnsi="Times New Roman" w:cs="Times New Roman"/>
                <w:color w:val="000000" w:themeColor="text1"/>
                <w:kern w:val="0"/>
                <w:highlight w:val="none"/>
                <w14:textFill>
                  <w14:solidFill>
                    <w14:schemeClr w14:val="tx1"/>
                  </w14:solidFill>
                </w14:textFill>
              </w:rPr>
              <w:t>噪声预测值</w:t>
            </w:r>
          </w:p>
          <w:p w14:paraId="5F19C42E">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eastAsia="宋体" w:cs="Times New Roman"/>
                <w:color w:val="000000" w:themeColor="text1"/>
                <w:kern w:val="0"/>
                <w:highlight w:val="none"/>
                <w:lang w:eastAsia="zh-CN"/>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预测点的噪声预测值（L</w:t>
            </w:r>
            <w:r>
              <w:rPr>
                <w:rFonts w:hint="default" w:ascii="Times New Roman" w:hAnsi="Times New Roman" w:cs="Times New Roman"/>
                <w:color w:val="000000" w:themeColor="text1"/>
                <w:kern w:val="0"/>
                <w:highlight w:val="none"/>
                <w:vertAlign w:val="subscript"/>
                <w14:textFill>
                  <w14:solidFill>
                    <w14:schemeClr w14:val="tx1"/>
                  </w14:solidFill>
                </w14:textFill>
              </w:rPr>
              <w:t>eq</w:t>
            </w:r>
            <w:r>
              <w:rPr>
                <w:rFonts w:hint="default" w:ascii="Times New Roman" w:hAnsi="Times New Roman" w:cs="Times New Roman"/>
                <w:color w:val="000000" w:themeColor="text1"/>
                <w:kern w:val="0"/>
                <w:highlight w:val="none"/>
                <w14:textFill>
                  <w14:solidFill>
                    <w14:schemeClr w14:val="tx1"/>
                  </w14:solidFill>
                </w14:textFill>
              </w:rPr>
              <w:t>）计算公式</w:t>
            </w:r>
            <w:r>
              <w:rPr>
                <w:rFonts w:hint="default" w:ascii="Times New Roman" w:hAnsi="Times New Roman" w:cs="Times New Roman"/>
                <w:color w:val="000000" w:themeColor="text1"/>
                <w:kern w:val="0"/>
                <w:highlight w:val="none"/>
                <w:lang w:eastAsia="zh-CN"/>
                <w14:textFill>
                  <w14:solidFill>
                    <w14:schemeClr w14:val="tx1"/>
                  </w14:solidFill>
                </w14:textFill>
              </w:rPr>
              <w:t>：</w:t>
            </w:r>
          </w:p>
          <w:p w14:paraId="2F8F2D89">
            <w:pPr>
              <w:pStyle w:val="44"/>
              <w:keepNext w:val="0"/>
              <w:keepLines w:val="0"/>
              <w:pageBreakBefore w:val="0"/>
              <w:widowControl w:val="0"/>
              <w:shd w:val="clear"/>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default" w:ascii="Times New Roman" w:hAnsi="Times New Roman" w:eastAsia="宋体" w:cs="Times New Roman"/>
                <w:color w:val="000000" w:themeColor="text1"/>
                <w:kern w:val="0"/>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position w:val="-14"/>
                <w:highlight w:val="none"/>
                <w:lang w:eastAsia="zh-CN"/>
                <w14:textFill>
                  <w14:solidFill>
                    <w14:schemeClr w14:val="tx1"/>
                  </w14:solidFill>
                </w14:textFill>
              </w:rPr>
              <w:object>
                <v:shape id="_x0000_i1038" o:spt="75" type="#_x0000_t75" style="height:23pt;width:136pt;" o:ole="t" filled="f" o:preferrelative="t" stroked="f" coordsize="21600,21600">
                  <v:path/>
                  <v:fill on="f" focussize="0,0"/>
                  <v:stroke on="f"/>
                  <v:imagedata r:id="rId38" o:title=""/>
                  <o:lock v:ext="edit" aspectratio="t"/>
                  <w10:wrap type="none"/>
                  <w10:anchorlock/>
                </v:shape>
                <o:OLEObject Type="Embed" ProgID="Equation.KSEE3" ShapeID="_x0000_i1038" DrawAspect="Content" ObjectID="_1468075738" r:id="rId37">
                  <o:LockedField>false</o:LockedField>
                </o:OLEObject>
              </w:object>
            </w:r>
          </w:p>
          <w:p w14:paraId="68AFC88C">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式中：</w:t>
            </w:r>
          </w:p>
          <w:p w14:paraId="141ADE72">
            <w:pPr>
              <w:pStyle w:val="44"/>
              <w:keepNext w:val="0"/>
              <w:keepLines w:val="0"/>
              <w:pageBreakBefore w:val="0"/>
              <w:widowControl w:val="0"/>
              <w:shd w:val="clear"/>
              <w:kinsoku/>
              <w:wordWrap/>
              <w:overflowPunct/>
              <w:topLinePunct w:val="0"/>
              <w:bidi w:val="0"/>
              <w:snapToGrid/>
              <w:spacing w:before="0" w:after="0" w:line="360" w:lineRule="auto"/>
              <w:ind w:left="0" w:leftChars="0" w:firstLineChars="200"/>
              <w:textAlignment w:val="auto"/>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i/>
                <w:iCs/>
                <w:color w:val="000000" w:themeColor="text1"/>
                <w:kern w:val="0"/>
                <w:highlight w:val="none"/>
                <w14:textFill>
                  <w14:solidFill>
                    <w14:schemeClr w14:val="tx1"/>
                  </w14:solidFill>
                </w14:textFill>
              </w:rPr>
              <w:t>L</w:t>
            </w:r>
            <w:r>
              <w:rPr>
                <w:rFonts w:hint="default" w:ascii="Times New Roman" w:hAnsi="Times New Roman" w:cs="Times New Roman"/>
                <w:i/>
                <w:iCs/>
                <w:color w:val="000000" w:themeColor="text1"/>
                <w:kern w:val="0"/>
                <w:highlight w:val="none"/>
                <w:vertAlign w:val="subscript"/>
                <w14:textFill>
                  <w14:solidFill>
                    <w14:schemeClr w14:val="tx1"/>
                  </w14:solidFill>
                </w14:textFill>
              </w:rPr>
              <w:t>eq</w:t>
            </w:r>
            <w:r>
              <w:rPr>
                <w:rFonts w:hint="default" w:ascii="Times New Roman" w:hAnsi="Times New Roman" w:cs="Times New Roman"/>
                <w:color w:val="000000" w:themeColor="text1"/>
                <w:kern w:val="0"/>
                <w:highlight w:val="none"/>
                <w14:textFill>
                  <w14:solidFill>
                    <w14:schemeClr w14:val="tx1"/>
                  </w14:solidFill>
                </w14:textFill>
              </w:rPr>
              <w:t>—</w:t>
            </w:r>
            <w:r>
              <w:rPr>
                <w:rFonts w:hint="default" w:ascii="Times New Roman" w:hAnsi="Times New Roman" w:cs="Times New Roman"/>
                <w:color w:val="000000" w:themeColor="text1"/>
                <w:kern w:val="0"/>
                <w:highlight w:val="none"/>
                <w:lang w:val="en-US" w:eastAsia="zh-CN"/>
                <w14:textFill>
                  <w14:solidFill>
                    <w14:schemeClr w14:val="tx1"/>
                  </w14:solidFill>
                </w14:textFill>
              </w:rPr>
              <w:t>预测点的噪声预测值</w:t>
            </w:r>
            <w:r>
              <w:rPr>
                <w:rFonts w:hint="default" w:ascii="Times New Roman" w:hAnsi="Times New Roman" w:cs="Times New Roman"/>
                <w:color w:val="000000" w:themeColor="text1"/>
                <w:kern w:val="0"/>
                <w:highlight w:val="none"/>
                <w14:textFill>
                  <w14:solidFill>
                    <w14:schemeClr w14:val="tx1"/>
                  </w14:solidFill>
                </w14:textFill>
              </w:rPr>
              <w:t>，dB；</w:t>
            </w:r>
          </w:p>
          <w:p w14:paraId="5F43E597">
            <w:pPr>
              <w:pStyle w:val="44"/>
              <w:keepNext w:val="0"/>
              <w:keepLines w:val="0"/>
              <w:pageBreakBefore w:val="0"/>
              <w:widowControl w:val="0"/>
              <w:shd w:val="clear"/>
              <w:kinsoku/>
              <w:wordWrap/>
              <w:overflowPunct/>
              <w:topLinePunct w:val="0"/>
              <w:bidi w:val="0"/>
              <w:snapToGrid/>
              <w:spacing w:before="0" w:after="0" w:line="360" w:lineRule="auto"/>
              <w:textAlignment w:val="auto"/>
              <w:rPr>
                <w:rFonts w:hint="default" w:ascii="Times New Roman" w:hAnsi="Times New Roman" w:cs="Times New Roman"/>
                <w:color w:val="000000" w:themeColor="text1"/>
                <w:kern w:val="0"/>
                <w:highlight w:val="none"/>
                <w:lang w:val="en-US" w:eastAsia="zh-CN"/>
                <w14:textFill>
                  <w14:solidFill>
                    <w14:schemeClr w14:val="tx1"/>
                  </w14:solidFill>
                </w14:textFill>
              </w:rPr>
            </w:pPr>
            <w:r>
              <w:rPr>
                <w:rFonts w:hint="default" w:ascii="Times New Roman" w:hAnsi="Times New Roman" w:cs="Times New Roman"/>
                <w:i/>
                <w:iCs/>
                <w:color w:val="000000" w:themeColor="text1"/>
                <w:kern w:val="0"/>
                <w:highlight w:val="none"/>
                <w:lang w:val="en-US" w:eastAsia="zh-CN"/>
                <w14:textFill>
                  <w14:solidFill>
                    <w14:schemeClr w14:val="tx1"/>
                  </w14:solidFill>
                </w14:textFill>
              </w:rPr>
              <w:t>L</w:t>
            </w:r>
            <w:r>
              <w:rPr>
                <w:rFonts w:hint="default" w:ascii="Times New Roman" w:hAnsi="Times New Roman" w:cs="Times New Roman"/>
                <w:i/>
                <w:iCs/>
                <w:color w:val="000000" w:themeColor="text1"/>
                <w:kern w:val="0"/>
                <w:highlight w:val="none"/>
                <w:vertAlign w:val="subscript"/>
                <w:lang w:val="en-US" w:eastAsia="zh-CN"/>
                <w14:textFill>
                  <w14:solidFill>
                    <w14:schemeClr w14:val="tx1"/>
                  </w14:solidFill>
                </w14:textFill>
              </w:rPr>
              <w:t>eqg</w:t>
            </w:r>
            <w:r>
              <w:rPr>
                <w:rFonts w:hint="default" w:ascii="Times New Roman" w:hAnsi="Times New Roman" w:cs="Times New Roman"/>
                <w:color w:val="000000" w:themeColor="text1"/>
                <w:kern w:val="0"/>
                <w:highlight w:val="none"/>
                <w:lang w:val="en-US" w:eastAsia="zh-CN"/>
                <w14:textFill>
                  <w14:solidFill>
                    <w14:schemeClr w14:val="tx1"/>
                  </w14:solidFill>
                </w14:textFill>
              </w:rPr>
              <w:t>—建设项目声源在预测点产生的噪声贡献值，dB；</w:t>
            </w:r>
          </w:p>
          <w:p w14:paraId="3A63F71B">
            <w:pPr>
              <w:pStyle w:val="44"/>
              <w:keepNext w:val="0"/>
              <w:keepLines w:val="0"/>
              <w:pageBreakBefore w:val="0"/>
              <w:widowControl w:val="0"/>
              <w:shd w:val="clear"/>
              <w:kinsoku/>
              <w:wordWrap/>
              <w:overflowPunct/>
              <w:topLinePunct w:val="0"/>
              <w:bidi w:val="0"/>
              <w:snapToGrid/>
              <w:spacing w:before="0" w:after="0" w:line="360" w:lineRule="auto"/>
              <w:textAlignment w:val="auto"/>
              <w:rPr>
                <w:rFonts w:hint="default" w:ascii="Times New Roman" w:hAnsi="Times New Roman" w:cs="Times New Roman"/>
                <w:color w:val="000000" w:themeColor="text1"/>
                <w:kern w:val="0"/>
                <w:highlight w:val="none"/>
                <w:lang w:val="en-US" w:eastAsia="zh-CN"/>
                <w14:textFill>
                  <w14:solidFill>
                    <w14:schemeClr w14:val="tx1"/>
                  </w14:solidFill>
                </w14:textFill>
              </w:rPr>
            </w:pPr>
            <w:r>
              <w:rPr>
                <w:rFonts w:hint="default" w:ascii="Times New Roman" w:hAnsi="Times New Roman" w:cs="Times New Roman"/>
                <w:i/>
                <w:iCs/>
                <w:color w:val="000000" w:themeColor="text1"/>
                <w:kern w:val="0"/>
                <w:highlight w:val="none"/>
                <w:lang w:val="en-US" w:eastAsia="zh-CN"/>
                <w14:textFill>
                  <w14:solidFill>
                    <w14:schemeClr w14:val="tx1"/>
                  </w14:solidFill>
                </w14:textFill>
              </w:rPr>
              <w:t>L</w:t>
            </w:r>
            <w:r>
              <w:rPr>
                <w:rFonts w:hint="default" w:ascii="Times New Roman" w:hAnsi="Times New Roman" w:cs="Times New Roman"/>
                <w:i/>
                <w:iCs/>
                <w:color w:val="000000" w:themeColor="text1"/>
                <w:kern w:val="0"/>
                <w:highlight w:val="none"/>
                <w:vertAlign w:val="subscript"/>
                <w:lang w:val="en-US" w:eastAsia="zh-CN"/>
                <w14:textFill>
                  <w14:solidFill>
                    <w14:schemeClr w14:val="tx1"/>
                  </w14:solidFill>
                </w14:textFill>
              </w:rPr>
              <w:t>eqb</w:t>
            </w:r>
            <w:r>
              <w:rPr>
                <w:rFonts w:hint="default" w:ascii="Times New Roman" w:hAnsi="Times New Roman" w:cs="Times New Roman"/>
                <w:color w:val="000000" w:themeColor="text1"/>
                <w:kern w:val="0"/>
                <w:highlight w:val="none"/>
                <w:lang w:val="en-US" w:eastAsia="zh-CN"/>
                <w14:textFill>
                  <w14:solidFill>
                    <w14:schemeClr w14:val="tx1"/>
                  </w14:solidFill>
                </w14:textFill>
              </w:rPr>
              <w:t>—预测点的背景噪声值，dB。</w:t>
            </w:r>
          </w:p>
          <w:p w14:paraId="30FFEA73">
            <w:pPr>
              <w:keepNext w:val="0"/>
              <w:keepLines w:val="0"/>
              <w:pageBreakBefore w:val="0"/>
              <w:widowControl w:val="0"/>
              <w:numPr>
                <w:ilvl w:val="0"/>
                <w:numId w:val="0"/>
              </w:numPr>
              <w:shd w:val="clear"/>
              <w:kinsoku/>
              <w:wordWrap/>
              <w:overflowPunct/>
              <w:topLinePunct w:val="0"/>
              <w:autoSpaceDE w:val="0"/>
              <w:autoSpaceDN w:val="0"/>
              <w:bidi w:val="0"/>
              <w:adjustRightInd w:val="0"/>
              <w:snapToGrid/>
              <w:spacing w:line="360" w:lineRule="auto"/>
              <w:ind w:left="0" w:leftChars="0"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⑵基础数据</w:t>
            </w:r>
          </w:p>
          <w:p w14:paraId="755812B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项目噪声环境影响预测基础数据表</w:t>
            </w:r>
          </w:p>
          <w:tbl>
            <w:tblPr>
              <w:tblStyle w:val="33"/>
              <w:tblW w:w="7614"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198"/>
              <w:gridCol w:w="1932"/>
              <w:gridCol w:w="2197"/>
              <w:gridCol w:w="2287"/>
            </w:tblGrid>
            <w:tr w14:paraId="07E0CCE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32E6EC5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序号</w:t>
                  </w:r>
                </w:p>
              </w:tc>
              <w:tc>
                <w:tcPr>
                  <w:tcW w:w="1932" w:type="dxa"/>
                  <w:tcBorders>
                    <w:tl2br w:val="nil"/>
                    <w:tr2bl w:val="nil"/>
                  </w:tcBorders>
                  <w:noWrap w:val="0"/>
                  <w:vAlign w:val="center"/>
                </w:tcPr>
                <w:p w14:paraId="5CF3446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名称</w:t>
                  </w:r>
                </w:p>
              </w:tc>
              <w:tc>
                <w:tcPr>
                  <w:tcW w:w="2197" w:type="dxa"/>
                  <w:tcBorders>
                    <w:tl2br w:val="nil"/>
                    <w:tr2bl w:val="nil"/>
                  </w:tcBorders>
                  <w:noWrap w:val="0"/>
                  <w:vAlign w:val="center"/>
                </w:tcPr>
                <w:p w14:paraId="5BF9667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单位</w:t>
                  </w:r>
                </w:p>
              </w:tc>
              <w:tc>
                <w:tcPr>
                  <w:tcW w:w="2287" w:type="dxa"/>
                  <w:tcBorders>
                    <w:tl2br w:val="nil"/>
                    <w:tr2bl w:val="nil"/>
                  </w:tcBorders>
                  <w:noWrap w:val="0"/>
                  <w:vAlign w:val="center"/>
                </w:tcPr>
                <w:p w14:paraId="405F48F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数据</w:t>
                  </w:r>
                </w:p>
              </w:tc>
            </w:tr>
            <w:tr w14:paraId="4C01319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4897E7FB">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w:t>
                  </w:r>
                </w:p>
              </w:tc>
              <w:tc>
                <w:tcPr>
                  <w:tcW w:w="1932" w:type="dxa"/>
                  <w:tcBorders>
                    <w:tl2br w:val="nil"/>
                    <w:tr2bl w:val="nil"/>
                  </w:tcBorders>
                  <w:noWrap w:val="0"/>
                  <w:vAlign w:val="center"/>
                </w:tcPr>
                <w:p w14:paraId="200F9AAD">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年平均风速</w:t>
                  </w:r>
                </w:p>
              </w:tc>
              <w:tc>
                <w:tcPr>
                  <w:tcW w:w="2197" w:type="dxa"/>
                  <w:tcBorders>
                    <w:tl2br w:val="nil"/>
                    <w:tr2bl w:val="nil"/>
                  </w:tcBorders>
                  <w:noWrap w:val="0"/>
                  <w:vAlign w:val="center"/>
                </w:tcPr>
                <w:p w14:paraId="31AB6E3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/s</w:t>
                  </w:r>
                </w:p>
              </w:tc>
              <w:tc>
                <w:tcPr>
                  <w:tcW w:w="2287" w:type="dxa"/>
                  <w:tcBorders>
                    <w:tl2br w:val="nil"/>
                    <w:tr2bl w:val="nil"/>
                  </w:tcBorders>
                  <w:noWrap w:val="0"/>
                  <w:vAlign w:val="center"/>
                </w:tcPr>
                <w:p w14:paraId="3985FE65">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val="en-US" w:eastAsia="zh-CN"/>
                      <w14:textFill>
                        <w14:solidFill>
                          <w14:schemeClr w14:val="tx1"/>
                        </w14:solidFill>
                      </w14:textFill>
                    </w:rPr>
                    <w:t>0</w:t>
                  </w:r>
                </w:p>
              </w:tc>
            </w:tr>
            <w:tr w14:paraId="2468955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189DC2A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2</w:t>
                  </w:r>
                </w:p>
              </w:tc>
              <w:tc>
                <w:tcPr>
                  <w:tcW w:w="1932" w:type="dxa"/>
                  <w:tcBorders>
                    <w:tl2br w:val="nil"/>
                    <w:tr2bl w:val="nil"/>
                  </w:tcBorders>
                  <w:noWrap w:val="0"/>
                  <w:vAlign w:val="center"/>
                </w:tcPr>
                <w:p w14:paraId="4E95A61E">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主导风向</w:t>
                  </w:r>
                </w:p>
              </w:tc>
              <w:tc>
                <w:tcPr>
                  <w:tcW w:w="2197" w:type="dxa"/>
                  <w:tcBorders>
                    <w:tl2br w:val="nil"/>
                    <w:tr2bl w:val="nil"/>
                  </w:tcBorders>
                  <w:noWrap w:val="0"/>
                  <w:vAlign w:val="center"/>
                </w:tcPr>
                <w:p w14:paraId="2562914C">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2287" w:type="dxa"/>
                  <w:tcBorders>
                    <w:tl2br w:val="nil"/>
                    <w:tr2bl w:val="nil"/>
                  </w:tcBorders>
                  <w:noWrap w:val="0"/>
                  <w:vAlign w:val="center"/>
                </w:tcPr>
                <w:p w14:paraId="7473F84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NNW</w:t>
                  </w:r>
                </w:p>
              </w:tc>
            </w:tr>
            <w:tr w14:paraId="7CB1B27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2AADFDB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3</w:t>
                  </w:r>
                </w:p>
              </w:tc>
              <w:tc>
                <w:tcPr>
                  <w:tcW w:w="1932" w:type="dxa"/>
                  <w:tcBorders>
                    <w:tl2br w:val="nil"/>
                    <w:tr2bl w:val="nil"/>
                  </w:tcBorders>
                  <w:noWrap w:val="0"/>
                  <w:vAlign w:val="center"/>
                </w:tcPr>
                <w:p w14:paraId="79E07B7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年平均气温</w:t>
                  </w:r>
                </w:p>
              </w:tc>
              <w:tc>
                <w:tcPr>
                  <w:tcW w:w="2197" w:type="dxa"/>
                  <w:tcBorders>
                    <w:tl2br w:val="nil"/>
                    <w:tr2bl w:val="nil"/>
                  </w:tcBorders>
                  <w:noWrap w:val="0"/>
                  <w:vAlign w:val="center"/>
                </w:tcPr>
                <w:p w14:paraId="0C2CC690">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2287" w:type="dxa"/>
                  <w:tcBorders>
                    <w:tl2br w:val="nil"/>
                    <w:tr2bl w:val="nil"/>
                  </w:tcBorders>
                  <w:noWrap w:val="0"/>
                  <w:vAlign w:val="center"/>
                </w:tcPr>
                <w:p w14:paraId="711B542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1</w:t>
                  </w:r>
                  <w:r>
                    <w:rPr>
                      <w:rFonts w:hint="eastAsia" w:cs="Times New Roman"/>
                      <w:color w:val="000000" w:themeColor="text1"/>
                      <w:sz w:val="21"/>
                      <w:szCs w:val="21"/>
                      <w:highlight w:val="none"/>
                      <w:lang w:val="en-US" w:eastAsia="zh-CN"/>
                      <w14:textFill>
                        <w14:solidFill>
                          <w14:schemeClr w14:val="tx1"/>
                        </w14:solidFill>
                      </w14:textFill>
                    </w:rPr>
                    <w:t>2</w:t>
                  </w:r>
                </w:p>
              </w:tc>
            </w:tr>
            <w:tr w14:paraId="3DC1997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10811B1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4</w:t>
                  </w:r>
                </w:p>
              </w:tc>
              <w:tc>
                <w:tcPr>
                  <w:tcW w:w="1932" w:type="dxa"/>
                  <w:tcBorders>
                    <w:tl2br w:val="nil"/>
                    <w:tr2bl w:val="nil"/>
                  </w:tcBorders>
                  <w:noWrap w:val="0"/>
                  <w:vAlign w:val="center"/>
                </w:tcPr>
                <w:p w14:paraId="0B2A779F">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年平均相对湿度</w:t>
                  </w:r>
                </w:p>
              </w:tc>
              <w:tc>
                <w:tcPr>
                  <w:tcW w:w="2197" w:type="dxa"/>
                  <w:tcBorders>
                    <w:tl2br w:val="nil"/>
                    <w:tr2bl w:val="nil"/>
                  </w:tcBorders>
                  <w:noWrap w:val="0"/>
                  <w:vAlign w:val="center"/>
                </w:tcPr>
                <w:p w14:paraId="22347293">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2287" w:type="dxa"/>
                  <w:tcBorders>
                    <w:tl2br w:val="nil"/>
                    <w:tr2bl w:val="nil"/>
                  </w:tcBorders>
                  <w:noWrap w:val="0"/>
                  <w:vAlign w:val="center"/>
                </w:tcPr>
                <w:p w14:paraId="3B71B4F7">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10.9</w:t>
                  </w:r>
                </w:p>
              </w:tc>
            </w:tr>
            <w:tr w14:paraId="140A98C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7" w:hRule="atLeast"/>
                <w:jc w:val="center"/>
              </w:trPr>
              <w:tc>
                <w:tcPr>
                  <w:tcW w:w="1198" w:type="dxa"/>
                  <w:tcBorders>
                    <w:tl2br w:val="nil"/>
                    <w:tr2bl w:val="nil"/>
                  </w:tcBorders>
                  <w:noWrap w:val="0"/>
                  <w:vAlign w:val="center"/>
                </w:tcPr>
                <w:p w14:paraId="0C027D26">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5</w:t>
                  </w:r>
                </w:p>
              </w:tc>
              <w:tc>
                <w:tcPr>
                  <w:tcW w:w="1932" w:type="dxa"/>
                  <w:tcBorders>
                    <w:tl2br w:val="nil"/>
                    <w:tr2bl w:val="nil"/>
                  </w:tcBorders>
                  <w:noWrap w:val="0"/>
                  <w:vAlign w:val="center"/>
                </w:tcPr>
                <w:p w14:paraId="255DBD91">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大气压强</w:t>
                  </w:r>
                </w:p>
              </w:tc>
              <w:tc>
                <w:tcPr>
                  <w:tcW w:w="2197" w:type="dxa"/>
                  <w:tcBorders>
                    <w:tl2br w:val="nil"/>
                    <w:tr2bl w:val="nil"/>
                  </w:tcBorders>
                  <w:noWrap w:val="0"/>
                  <w:vAlign w:val="center"/>
                </w:tcPr>
                <w:p w14:paraId="245FECDC">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hPa</w:t>
                  </w:r>
                </w:p>
              </w:tc>
              <w:tc>
                <w:tcPr>
                  <w:tcW w:w="2287" w:type="dxa"/>
                  <w:tcBorders>
                    <w:tl2br w:val="nil"/>
                    <w:tr2bl w:val="nil"/>
                  </w:tcBorders>
                  <w:noWrap w:val="0"/>
                  <w:vAlign w:val="center"/>
                </w:tcPr>
                <w:p w14:paraId="1FF0F532">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1</w:t>
                  </w:r>
                  <w:r>
                    <w:rPr>
                      <w:rFonts w:hint="eastAsia" w:cs="Times New Roman"/>
                      <w:color w:val="000000" w:themeColor="text1"/>
                      <w:sz w:val="21"/>
                      <w:szCs w:val="21"/>
                      <w:highlight w:val="none"/>
                      <w:lang w:val="en-US" w:eastAsia="zh-CN"/>
                      <w14:textFill>
                        <w14:solidFill>
                          <w14:schemeClr w14:val="tx1"/>
                        </w14:solidFill>
                      </w14:textFill>
                    </w:rPr>
                    <w:t>011.6</w:t>
                  </w:r>
                </w:p>
              </w:tc>
            </w:tr>
          </w:tbl>
          <w:p w14:paraId="57EFBB54">
            <w:pPr>
              <w:shd w:val="clear"/>
              <w:bidi w:val="0"/>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5F4CFAEF">
            <w:pPr>
              <w:shd w:val="clear"/>
              <w:bidi w:val="0"/>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6001C51F">
            <w:pPr>
              <w:shd w:val="clear"/>
              <w:bidi w:val="0"/>
              <w:rPr>
                <w:rFonts w:hint="eastAsia" w:ascii="Times New Roman" w:hAnsi="Times New Roman" w:eastAsia="宋体" w:cs="Times New Roman"/>
                <w:color w:val="000000" w:themeColor="text1"/>
                <w:highlight w:val="none"/>
                <w:lang w:val="en-US" w:eastAsia="zh-CN"/>
                <w14:textFill>
                  <w14:solidFill>
                    <w14:schemeClr w14:val="tx1"/>
                  </w14:solidFill>
                </w14:textFill>
              </w:rPr>
            </w:pPr>
          </w:p>
          <w:p w14:paraId="4FBB687B">
            <w:pPr>
              <w:shd w:val="clear"/>
              <w:bidi w:val="0"/>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⑶</w:t>
            </w:r>
            <w:r>
              <w:rPr>
                <w:rFonts w:hint="default" w:ascii="Times New Roman" w:hAnsi="Times New Roman" w:cs="Times New Roman"/>
                <w:color w:val="000000" w:themeColor="text1"/>
                <w:highlight w:val="none"/>
                <w14:textFill>
                  <w14:solidFill>
                    <w14:schemeClr w14:val="tx1"/>
                  </w14:solidFill>
                </w14:textFill>
              </w:rPr>
              <w:t>预测结果</w:t>
            </w:r>
          </w:p>
          <w:p w14:paraId="6497309D">
            <w:pPr>
              <w:shd w:val="clear"/>
              <w:bidi w:val="0"/>
              <w:rPr>
                <w:rFonts w:hint="default" w:ascii="Times New Roman" w:hAnsi="Times New Roman" w:cs="Times New Roman"/>
                <w:color w:val="000000" w:themeColor="text1"/>
                <w:highlight w:val="none"/>
                <w:lang w:val="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w:t>
            </w:r>
            <w:r>
              <w:rPr>
                <w:rFonts w:hint="eastAsia" w:cs="Times New Roman"/>
                <w:color w:val="000000" w:themeColor="text1"/>
                <w:sz w:val="24"/>
                <w:szCs w:val="24"/>
                <w:highlight w:val="none"/>
                <w:lang w:eastAsia="zh-CN"/>
                <w14:textFill>
                  <w14:solidFill>
                    <w14:schemeClr w14:val="tx1"/>
                  </w14:solidFill>
                </w14:textFill>
              </w:rPr>
              <w:t>工业企业厂界环境噪声排放标准</w:t>
            </w:r>
            <w:r>
              <w:rPr>
                <w:rFonts w:hint="default" w:ascii="Times New Roman" w:hAnsi="Times New Roman" w:eastAsia="宋体" w:cs="Times New Roman"/>
                <w:color w:val="000000" w:themeColor="text1"/>
                <w:sz w:val="24"/>
                <w:szCs w:val="24"/>
                <w:highlight w:val="none"/>
                <w14:textFill>
                  <w14:solidFill>
                    <w14:schemeClr w14:val="tx1"/>
                  </w14:solidFill>
                </w14:textFill>
              </w:rPr>
              <w:t>》（GB</w:t>
            </w:r>
            <w:r>
              <w:rPr>
                <w:rFonts w:hint="eastAsia" w:cs="Times New Roman"/>
                <w:color w:val="000000" w:themeColor="text1"/>
                <w:sz w:val="24"/>
                <w:szCs w:val="24"/>
                <w:highlight w:val="none"/>
                <w:lang w:eastAsia="zh-CN"/>
                <w14:textFill>
                  <w14:solidFill>
                    <w14:schemeClr w14:val="tx1"/>
                  </w14:solidFill>
                </w14:textFill>
              </w:rPr>
              <w:t>12348</w:t>
            </w:r>
            <w:r>
              <w:rPr>
                <w:rFonts w:hint="default" w:ascii="Times New Roman" w:hAnsi="Times New Roman" w:eastAsia="宋体" w:cs="Times New Roman"/>
                <w:color w:val="000000" w:themeColor="text1"/>
                <w:sz w:val="24"/>
                <w:szCs w:val="24"/>
                <w:highlight w:val="none"/>
                <w14:textFill>
                  <w14:solidFill>
                    <w14:schemeClr w14:val="tx1"/>
                  </w14:solidFill>
                </w14:textFill>
              </w:rPr>
              <w:t>-2008），“厂界是指由法律文书（如土地使用证、房产证、租赁合同等）中确定的业主所拥有使用权（或所有权）的场所或建筑物边界。”</w:t>
            </w:r>
            <w:r>
              <w:rPr>
                <w:rFonts w:hint="default" w:ascii="Times New Roman" w:hAnsi="Times New Roman" w:cs="Times New Roman"/>
                <w:color w:val="000000" w:themeColor="text1"/>
                <w:highlight w:val="none"/>
                <w14:textFill>
                  <w14:solidFill>
                    <w14:schemeClr w14:val="tx1"/>
                  </w14:solidFill>
                </w14:textFill>
              </w:rPr>
              <w:t>按照噪声预测模式，</w:t>
            </w:r>
            <w:r>
              <w:rPr>
                <w:rFonts w:hint="default" w:ascii="Times New Roman" w:hAnsi="Times New Roman" w:cs="Times New Roman"/>
                <w:color w:val="000000" w:themeColor="text1"/>
                <w:highlight w:val="none"/>
                <w:lang w:val="en-US" w:eastAsia="zh-CN"/>
                <w14:textFill>
                  <w14:solidFill>
                    <w14:schemeClr w14:val="tx1"/>
                  </w14:solidFill>
                </w14:textFill>
              </w:rPr>
              <w:t>采取</w:t>
            </w:r>
            <w:r>
              <w:rPr>
                <w:rFonts w:hint="default" w:ascii="Times New Roman" w:hAnsi="Times New Roman" w:cs="Times New Roman"/>
                <w:b w:val="0"/>
                <w:bCs w:val="0"/>
                <w:color w:val="000000" w:themeColor="text1"/>
                <w:highlight w:val="none"/>
                <w14:textFill>
                  <w14:solidFill>
                    <w14:schemeClr w14:val="tx1"/>
                  </w14:solidFill>
                </w14:textFill>
              </w:rPr>
              <w:t>基础</w:t>
            </w:r>
            <w:r>
              <w:rPr>
                <w:rFonts w:hint="default" w:ascii="Times New Roman" w:hAnsi="Times New Roman" w:cs="Times New Roman"/>
                <w:b w:val="0"/>
                <w:bCs w:val="0"/>
                <w:color w:val="000000" w:themeColor="text1"/>
                <w:highlight w:val="none"/>
                <w:lang w:eastAsia="zh-CN"/>
                <w14:textFill>
                  <w14:solidFill>
                    <w14:schemeClr w14:val="tx1"/>
                  </w14:solidFill>
                </w14:textFill>
              </w:rPr>
              <w:t>减振</w:t>
            </w:r>
            <w:r>
              <w:rPr>
                <w:rFonts w:hint="default" w:ascii="Times New Roman" w:hAnsi="Times New Roman" w:cs="Times New Roman"/>
                <w:b w:val="0"/>
                <w:bCs w:val="0"/>
                <w:color w:val="000000" w:themeColor="text1"/>
                <w:highlight w:val="none"/>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厂房隔声</w:t>
            </w:r>
            <w:r>
              <w:rPr>
                <w:rFonts w:hint="default" w:ascii="Times New Roman" w:hAnsi="Times New Roman" w:cs="Times New Roman"/>
                <w:b w:val="0"/>
                <w:bCs w:val="0"/>
                <w:color w:val="000000" w:themeColor="text1"/>
                <w:highlight w:val="none"/>
                <w14:textFill>
                  <w14:solidFill>
                    <w14:schemeClr w14:val="tx1"/>
                  </w14:solidFill>
                </w14:textFill>
              </w:rPr>
              <w:t>等措施</w:t>
            </w:r>
            <w:r>
              <w:rPr>
                <w:rFonts w:hint="default" w:ascii="Times New Roman" w:hAnsi="Times New Roman" w:cs="Times New Roman"/>
                <w:color w:val="000000" w:themeColor="text1"/>
                <w:highlight w:val="none"/>
                <w:lang w:val="zh-CN"/>
                <w14:textFill>
                  <w14:solidFill>
                    <w14:schemeClr w14:val="tx1"/>
                  </w14:solidFill>
                </w14:textFill>
              </w:rPr>
              <w:t>后，厂界</w:t>
            </w:r>
            <w:r>
              <w:rPr>
                <w:rFonts w:hint="eastAsia" w:cs="Times New Roman"/>
                <w:color w:val="000000" w:themeColor="text1"/>
                <w:highlight w:val="none"/>
                <w:lang w:val="zh-CN"/>
                <w14:textFill>
                  <w14:solidFill>
                    <w14:schemeClr w14:val="tx1"/>
                  </w14:solidFill>
                </w14:textFill>
              </w:rPr>
              <w:t>噪声情况</w:t>
            </w:r>
            <w:r>
              <w:rPr>
                <w:rFonts w:hint="default" w:ascii="Times New Roman" w:hAnsi="Times New Roman" w:cs="Times New Roman"/>
                <w:color w:val="000000" w:themeColor="text1"/>
                <w:highlight w:val="none"/>
                <w:lang w:val="zh-CN"/>
                <w14:textFill>
                  <w14:solidFill>
                    <w14:schemeClr w14:val="tx1"/>
                  </w14:solidFill>
                </w14:textFill>
              </w:rPr>
              <w:t>见下表。</w:t>
            </w:r>
          </w:p>
          <w:p w14:paraId="267A007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zh-CN"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zh-CN" w:eastAsia="zh-CN"/>
                <w14:textFill>
                  <w14:solidFill>
                    <w14:schemeClr w14:val="tx1"/>
                  </w14:solidFill>
                </w14:textFill>
              </w:rPr>
              <w:t>噪声</w:t>
            </w:r>
            <w:r>
              <w:rPr>
                <w:rFonts w:hint="eastAsia" w:cs="Times New Roman"/>
                <w:b/>
                <w:bCs/>
                <w:color w:val="000000" w:themeColor="text1"/>
                <w:spacing w:val="0"/>
                <w:sz w:val="21"/>
                <w:szCs w:val="21"/>
                <w:highlight w:val="none"/>
                <w:lang w:val="zh-CN" w:eastAsia="zh-CN"/>
                <w14:textFill>
                  <w14:solidFill>
                    <w14:schemeClr w14:val="tx1"/>
                  </w14:solidFill>
                </w14:textFill>
              </w:rPr>
              <w:t>预测结果</w:t>
            </w:r>
            <w:r>
              <w:rPr>
                <w:rFonts w:hint="default" w:ascii="Times New Roman" w:hAnsi="Times New Roman" w:eastAsia="宋体" w:cs="Times New Roman"/>
                <w:b/>
                <w:bCs/>
                <w:color w:val="000000" w:themeColor="text1"/>
                <w:spacing w:val="0"/>
                <w:sz w:val="21"/>
                <w:szCs w:val="21"/>
                <w:highlight w:val="none"/>
                <w:lang w:val="zh-CN" w:eastAsia="zh-CN"/>
                <w14:textFill>
                  <w14:solidFill>
                    <w14:schemeClr w14:val="tx1"/>
                  </w14:solidFill>
                </w14:textFill>
              </w:rPr>
              <w:t>一览表</w:t>
            </w:r>
          </w:p>
          <w:tbl>
            <w:tblPr>
              <w:tblStyle w:val="33"/>
              <w:tblW w:w="7684"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277"/>
              <w:gridCol w:w="662"/>
              <w:gridCol w:w="1305"/>
              <w:gridCol w:w="1225"/>
              <w:gridCol w:w="1225"/>
              <w:gridCol w:w="1122"/>
              <w:gridCol w:w="868"/>
            </w:tblGrid>
            <w:tr w14:paraId="4ACAA7B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36" w:hRule="atLeast"/>
                <w:jc w:val="center"/>
              </w:trPr>
              <w:tc>
                <w:tcPr>
                  <w:tcW w:w="1277" w:type="dxa"/>
                  <w:tcBorders>
                    <w:tl2br w:val="nil"/>
                    <w:tr2bl w:val="nil"/>
                  </w:tcBorders>
                  <w:noWrap w:val="0"/>
                  <w:vAlign w:val="center"/>
                </w:tcPr>
                <w:p w14:paraId="03CC5FB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厂界</w:t>
                  </w:r>
                </w:p>
              </w:tc>
              <w:tc>
                <w:tcPr>
                  <w:tcW w:w="662" w:type="dxa"/>
                  <w:tcBorders>
                    <w:tl2br w:val="nil"/>
                    <w:tr2bl w:val="nil"/>
                  </w:tcBorders>
                  <w:noWrap w:val="0"/>
                  <w:vAlign w:val="center"/>
                </w:tcPr>
                <w:p w14:paraId="3937ED3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时段</w:t>
                  </w:r>
                </w:p>
              </w:tc>
              <w:tc>
                <w:tcPr>
                  <w:tcW w:w="1305" w:type="dxa"/>
                  <w:tcBorders>
                    <w:tl2br w:val="nil"/>
                    <w:tr2bl w:val="nil"/>
                  </w:tcBorders>
                  <w:noWrap w:val="0"/>
                  <w:vAlign w:val="center"/>
                </w:tcPr>
                <w:p w14:paraId="0030AFA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贡献值</w:t>
                  </w:r>
                </w:p>
                <w:p w14:paraId="7837940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dB（A）</w:t>
                  </w:r>
                </w:p>
              </w:tc>
              <w:tc>
                <w:tcPr>
                  <w:tcW w:w="1225" w:type="dxa"/>
                  <w:tcBorders>
                    <w:tl2br w:val="nil"/>
                    <w:tr2bl w:val="nil"/>
                  </w:tcBorders>
                  <w:noWrap w:val="0"/>
                  <w:vAlign w:val="center"/>
                </w:tcPr>
                <w:p w14:paraId="4D1ADE4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eastAsia" w:cs="Times New Roman"/>
                      <w:b w:val="0"/>
                      <w:bCs w:val="0"/>
                      <w:caps w:val="0"/>
                      <w:smallCaps w:val="0"/>
                      <w:snapToGrid w:val="0"/>
                      <w:color w:val="000000" w:themeColor="text1"/>
                      <w:sz w:val="21"/>
                      <w:szCs w:val="21"/>
                      <w:highlight w:val="none"/>
                      <w:lang w:val="en-US" w:eastAsia="zh-CN"/>
                      <w14:textFill>
                        <w14:solidFill>
                          <w14:schemeClr w14:val="tx1"/>
                        </w14:solidFill>
                      </w14:textFill>
                    </w:rPr>
                    <w:t>现状值</w:t>
                  </w:r>
                </w:p>
                <w:p w14:paraId="4952114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dB（A）</w:t>
                  </w:r>
                </w:p>
              </w:tc>
              <w:tc>
                <w:tcPr>
                  <w:tcW w:w="1225" w:type="dxa"/>
                  <w:tcBorders>
                    <w:tl2br w:val="nil"/>
                    <w:tr2bl w:val="nil"/>
                  </w:tcBorders>
                  <w:noWrap w:val="0"/>
                  <w:vAlign w:val="center"/>
                </w:tcPr>
                <w:p w14:paraId="2C228C28">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预测值</w:t>
                  </w:r>
                </w:p>
                <w:p w14:paraId="6A2328E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dB（A）</w:t>
                  </w:r>
                </w:p>
              </w:tc>
              <w:tc>
                <w:tcPr>
                  <w:tcW w:w="1122" w:type="dxa"/>
                  <w:tcBorders>
                    <w:tl2br w:val="nil"/>
                    <w:tr2bl w:val="nil"/>
                  </w:tcBorders>
                  <w:noWrap w:val="0"/>
                  <w:vAlign w:val="center"/>
                </w:tcPr>
                <w:p w14:paraId="6A1AB4A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标准限值</w:t>
                  </w:r>
                </w:p>
                <w:p w14:paraId="08C0762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aps w:val="0"/>
                      <w:smallCaps w:val="0"/>
                      <w:snapToGrid w:val="0"/>
                      <w:color w:val="000000" w:themeColor="text1"/>
                      <w:kern w:val="0"/>
                      <w:sz w:val="21"/>
                      <w:szCs w:val="21"/>
                      <w:highlight w:val="none"/>
                      <w:lang w:val="en-US" w:eastAsia="zh-CN"/>
                      <w14:textFill>
                        <w14:solidFill>
                          <w14:schemeClr w14:val="tx1"/>
                        </w14:solidFill>
                      </w14:textFill>
                    </w:rPr>
                    <w:t>dB</w:t>
                  </w:r>
                  <w:r>
                    <w:rPr>
                      <w:rFonts w:hint="eastAsia" w:cs="Times New Roman"/>
                      <w:b w:val="0"/>
                      <w:bCs w:val="0"/>
                      <w:caps w:val="0"/>
                      <w:smallCaps w:val="0"/>
                      <w:snapToGrid w:val="0"/>
                      <w:color w:val="000000" w:themeColor="text1"/>
                      <w:kern w:val="0"/>
                      <w:sz w:val="21"/>
                      <w:szCs w:val="21"/>
                      <w:highlight w:val="none"/>
                      <w:lang w:val="en-US" w:eastAsia="zh-CN"/>
                      <w14:textFill>
                        <w14:solidFill>
                          <w14:schemeClr w14:val="tx1"/>
                        </w14:solidFill>
                      </w14:textFill>
                    </w:rPr>
                    <w:t>（</w:t>
                  </w:r>
                  <w:r>
                    <w:rPr>
                      <w:rFonts w:hint="default" w:ascii="Times New Roman" w:hAnsi="Times New Roman" w:cs="Times New Roman"/>
                      <w:b w:val="0"/>
                      <w:bCs w:val="0"/>
                      <w:caps w:val="0"/>
                      <w:smallCaps w:val="0"/>
                      <w:snapToGrid w:val="0"/>
                      <w:color w:val="000000" w:themeColor="text1"/>
                      <w:kern w:val="0"/>
                      <w:sz w:val="21"/>
                      <w:szCs w:val="21"/>
                      <w:highlight w:val="none"/>
                      <w:lang w:val="en-US" w:eastAsia="zh-CN"/>
                      <w14:textFill>
                        <w14:solidFill>
                          <w14:schemeClr w14:val="tx1"/>
                        </w14:solidFill>
                      </w14:textFill>
                    </w:rPr>
                    <w:t>A</w:t>
                  </w:r>
                  <w:r>
                    <w:rPr>
                      <w:rFonts w:hint="eastAsia" w:cs="Times New Roman"/>
                      <w:b w:val="0"/>
                      <w:bCs w:val="0"/>
                      <w:caps w:val="0"/>
                      <w:smallCaps w:val="0"/>
                      <w:snapToGrid w:val="0"/>
                      <w:color w:val="000000" w:themeColor="text1"/>
                      <w:kern w:val="0"/>
                      <w:sz w:val="21"/>
                      <w:szCs w:val="21"/>
                      <w:highlight w:val="none"/>
                      <w:lang w:val="en-US" w:eastAsia="zh-CN"/>
                      <w14:textFill>
                        <w14:solidFill>
                          <w14:schemeClr w14:val="tx1"/>
                        </w14:solidFill>
                      </w14:textFill>
                    </w:rPr>
                    <w:t>）</w:t>
                  </w:r>
                </w:p>
              </w:tc>
              <w:tc>
                <w:tcPr>
                  <w:tcW w:w="868" w:type="dxa"/>
                  <w:tcBorders>
                    <w:tl2br w:val="nil"/>
                    <w:tr2bl w:val="nil"/>
                  </w:tcBorders>
                  <w:noWrap w:val="0"/>
                  <w:vAlign w:val="center"/>
                </w:tcPr>
                <w:p w14:paraId="2C183E2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达标情况</w:t>
                  </w:r>
                </w:p>
              </w:tc>
            </w:tr>
            <w:tr w14:paraId="168A62F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restart"/>
                  <w:tcBorders>
                    <w:tl2br w:val="nil"/>
                    <w:tr2bl w:val="nil"/>
                  </w:tcBorders>
                  <w:shd w:val="clear" w:color="auto" w:fill="auto"/>
                  <w:noWrap w:val="0"/>
                  <w:vAlign w:val="center"/>
                </w:tcPr>
                <w:p w14:paraId="2FA30E33">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东厂界</w:t>
                  </w:r>
                </w:p>
              </w:tc>
              <w:tc>
                <w:tcPr>
                  <w:tcW w:w="662" w:type="dxa"/>
                  <w:tcBorders>
                    <w:tl2br w:val="nil"/>
                    <w:tr2bl w:val="nil"/>
                  </w:tcBorders>
                  <w:noWrap w:val="0"/>
                  <w:vAlign w:val="center"/>
                </w:tcPr>
                <w:p w14:paraId="75005F7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昼</w:t>
                  </w:r>
                </w:p>
              </w:tc>
              <w:tc>
                <w:tcPr>
                  <w:tcW w:w="1305" w:type="dxa"/>
                  <w:tcBorders>
                    <w:tl2br w:val="nil"/>
                    <w:tr2bl w:val="nil"/>
                  </w:tcBorders>
                  <w:noWrap w:val="0"/>
                  <w:vAlign w:val="bottom"/>
                </w:tcPr>
                <w:p w14:paraId="2166058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34.8 </w:t>
                  </w:r>
                </w:p>
              </w:tc>
              <w:tc>
                <w:tcPr>
                  <w:tcW w:w="1225" w:type="dxa"/>
                  <w:tcBorders>
                    <w:tl2br w:val="nil"/>
                    <w:tr2bl w:val="nil"/>
                  </w:tcBorders>
                  <w:noWrap w:val="0"/>
                  <w:vAlign w:val="center"/>
                </w:tcPr>
                <w:p w14:paraId="79970DE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52</w:t>
                  </w:r>
                </w:p>
              </w:tc>
              <w:tc>
                <w:tcPr>
                  <w:tcW w:w="1225" w:type="dxa"/>
                  <w:tcBorders>
                    <w:tl2br w:val="nil"/>
                    <w:tr2bl w:val="nil"/>
                  </w:tcBorders>
                  <w:noWrap w:val="0"/>
                  <w:vAlign w:val="center"/>
                </w:tcPr>
                <w:p w14:paraId="115DB1FA">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52.1 </w:t>
                  </w:r>
                </w:p>
              </w:tc>
              <w:tc>
                <w:tcPr>
                  <w:tcW w:w="1122" w:type="dxa"/>
                  <w:tcBorders>
                    <w:tl2br w:val="nil"/>
                    <w:tr2bl w:val="nil"/>
                  </w:tcBorders>
                  <w:noWrap w:val="0"/>
                  <w:vAlign w:val="center"/>
                </w:tcPr>
                <w:p w14:paraId="6F4B28F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60</w:t>
                  </w:r>
                </w:p>
              </w:tc>
              <w:tc>
                <w:tcPr>
                  <w:tcW w:w="868" w:type="dxa"/>
                  <w:vMerge w:val="restart"/>
                  <w:tcBorders>
                    <w:tl2br w:val="nil"/>
                    <w:tr2bl w:val="nil"/>
                  </w:tcBorders>
                  <w:noWrap w:val="0"/>
                  <w:vAlign w:val="center"/>
                </w:tcPr>
                <w:p w14:paraId="13F5673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达标</w:t>
                  </w:r>
                </w:p>
              </w:tc>
            </w:tr>
            <w:tr w14:paraId="1E0BC82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continue"/>
                  <w:tcBorders>
                    <w:tl2br w:val="nil"/>
                    <w:tr2bl w:val="nil"/>
                  </w:tcBorders>
                  <w:noWrap w:val="0"/>
                  <w:vAlign w:val="center"/>
                </w:tcPr>
                <w:p w14:paraId="6A87176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62" w:type="dxa"/>
                  <w:tcBorders>
                    <w:tl2br w:val="nil"/>
                    <w:tr2bl w:val="nil"/>
                  </w:tcBorders>
                  <w:noWrap w:val="0"/>
                  <w:vAlign w:val="center"/>
                </w:tcPr>
                <w:p w14:paraId="33C7340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aps w:val="0"/>
                      <w:smallCaps w:val="0"/>
                      <w:snapToGrid w:val="0"/>
                      <w:color w:val="000000" w:themeColor="text1"/>
                      <w:sz w:val="21"/>
                      <w:szCs w:val="21"/>
                      <w:highlight w:val="none"/>
                      <w:lang w:val="en-US" w:eastAsia="zh-CN"/>
                      <w14:textFill>
                        <w14:solidFill>
                          <w14:schemeClr w14:val="tx1"/>
                        </w14:solidFill>
                      </w14:textFill>
                    </w:rPr>
                    <w:t>夜</w:t>
                  </w:r>
                </w:p>
              </w:tc>
              <w:tc>
                <w:tcPr>
                  <w:tcW w:w="1305" w:type="dxa"/>
                  <w:tcBorders>
                    <w:tl2br w:val="nil"/>
                    <w:tr2bl w:val="nil"/>
                  </w:tcBorders>
                  <w:noWrap w:val="0"/>
                  <w:vAlign w:val="bottom"/>
                </w:tcPr>
                <w:p w14:paraId="24B7C81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34.8 </w:t>
                  </w:r>
                </w:p>
              </w:tc>
              <w:tc>
                <w:tcPr>
                  <w:tcW w:w="1225" w:type="dxa"/>
                  <w:tcBorders>
                    <w:tl2br w:val="nil"/>
                    <w:tr2bl w:val="nil"/>
                  </w:tcBorders>
                  <w:noWrap w:val="0"/>
                  <w:vAlign w:val="center"/>
                </w:tcPr>
                <w:p w14:paraId="13DA706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46</w:t>
                  </w:r>
                </w:p>
              </w:tc>
              <w:tc>
                <w:tcPr>
                  <w:tcW w:w="1225" w:type="dxa"/>
                  <w:tcBorders>
                    <w:tl2br w:val="nil"/>
                    <w:tr2bl w:val="nil"/>
                  </w:tcBorders>
                  <w:noWrap w:val="0"/>
                  <w:vAlign w:val="center"/>
                </w:tcPr>
                <w:p w14:paraId="6FD3882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46.3 </w:t>
                  </w:r>
                </w:p>
              </w:tc>
              <w:tc>
                <w:tcPr>
                  <w:tcW w:w="1122" w:type="dxa"/>
                  <w:tcBorders>
                    <w:tl2br w:val="nil"/>
                    <w:tr2bl w:val="nil"/>
                  </w:tcBorders>
                  <w:noWrap w:val="0"/>
                  <w:vAlign w:val="center"/>
                </w:tcPr>
                <w:p w14:paraId="2EA26B8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50</w:t>
                  </w:r>
                </w:p>
              </w:tc>
              <w:tc>
                <w:tcPr>
                  <w:tcW w:w="868" w:type="dxa"/>
                  <w:vMerge w:val="continue"/>
                  <w:tcBorders>
                    <w:tl2br w:val="nil"/>
                    <w:tr2bl w:val="nil"/>
                  </w:tcBorders>
                  <w:noWrap w:val="0"/>
                  <w:vAlign w:val="center"/>
                </w:tcPr>
                <w:p w14:paraId="3AB8E578">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p>
              </w:tc>
            </w:tr>
            <w:tr w14:paraId="256AB5E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restart"/>
                  <w:tcBorders>
                    <w:tl2br w:val="nil"/>
                    <w:tr2bl w:val="nil"/>
                  </w:tcBorders>
                  <w:shd w:val="clear" w:color="auto" w:fill="auto"/>
                  <w:noWrap w:val="0"/>
                  <w:vAlign w:val="center"/>
                </w:tcPr>
                <w:p w14:paraId="322DAAF5">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西厂界</w:t>
                  </w:r>
                </w:p>
              </w:tc>
              <w:tc>
                <w:tcPr>
                  <w:tcW w:w="662" w:type="dxa"/>
                  <w:tcBorders>
                    <w:tl2br w:val="nil"/>
                    <w:tr2bl w:val="nil"/>
                  </w:tcBorders>
                  <w:noWrap w:val="0"/>
                  <w:vAlign w:val="center"/>
                </w:tcPr>
                <w:p w14:paraId="2574E4FD">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昼</w:t>
                  </w:r>
                </w:p>
              </w:tc>
              <w:tc>
                <w:tcPr>
                  <w:tcW w:w="1305" w:type="dxa"/>
                  <w:tcBorders>
                    <w:tl2br w:val="nil"/>
                    <w:tr2bl w:val="nil"/>
                  </w:tcBorders>
                  <w:noWrap w:val="0"/>
                  <w:vAlign w:val="bottom"/>
                </w:tcPr>
                <w:p w14:paraId="25FD983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45.0 </w:t>
                  </w:r>
                </w:p>
              </w:tc>
              <w:tc>
                <w:tcPr>
                  <w:tcW w:w="1225" w:type="dxa"/>
                  <w:tcBorders>
                    <w:tl2br w:val="nil"/>
                    <w:tr2bl w:val="nil"/>
                  </w:tcBorders>
                  <w:noWrap w:val="0"/>
                  <w:vAlign w:val="center"/>
                </w:tcPr>
                <w:p w14:paraId="3C41353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53</w:t>
                  </w:r>
                </w:p>
              </w:tc>
              <w:tc>
                <w:tcPr>
                  <w:tcW w:w="1225" w:type="dxa"/>
                  <w:tcBorders>
                    <w:tl2br w:val="nil"/>
                    <w:tr2bl w:val="nil"/>
                  </w:tcBorders>
                  <w:noWrap w:val="0"/>
                  <w:vAlign w:val="center"/>
                </w:tcPr>
                <w:p w14:paraId="7F12761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53.6 </w:t>
                  </w:r>
                </w:p>
              </w:tc>
              <w:tc>
                <w:tcPr>
                  <w:tcW w:w="1122" w:type="dxa"/>
                  <w:tcBorders>
                    <w:tl2br w:val="nil"/>
                    <w:tr2bl w:val="nil"/>
                  </w:tcBorders>
                  <w:noWrap w:val="0"/>
                  <w:vAlign w:val="center"/>
                </w:tcPr>
                <w:p w14:paraId="55AF101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60</w:t>
                  </w:r>
                </w:p>
              </w:tc>
              <w:tc>
                <w:tcPr>
                  <w:tcW w:w="868" w:type="dxa"/>
                  <w:vMerge w:val="continue"/>
                  <w:tcBorders>
                    <w:tl2br w:val="nil"/>
                    <w:tr2bl w:val="nil"/>
                  </w:tcBorders>
                  <w:noWrap w:val="0"/>
                  <w:vAlign w:val="center"/>
                </w:tcPr>
                <w:p w14:paraId="687373F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p>
              </w:tc>
            </w:tr>
            <w:tr w14:paraId="6D7004F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continue"/>
                  <w:tcBorders>
                    <w:tl2br w:val="nil"/>
                    <w:tr2bl w:val="nil"/>
                  </w:tcBorders>
                  <w:noWrap w:val="0"/>
                  <w:vAlign w:val="center"/>
                </w:tcPr>
                <w:p w14:paraId="6C35742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62" w:type="dxa"/>
                  <w:tcBorders>
                    <w:tl2br w:val="nil"/>
                    <w:tr2bl w:val="nil"/>
                  </w:tcBorders>
                  <w:noWrap w:val="0"/>
                  <w:vAlign w:val="center"/>
                </w:tcPr>
                <w:p w14:paraId="7AA3B1B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aps w:val="0"/>
                      <w:smallCaps w:val="0"/>
                      <w:snapToGrid w:val="0"/>
                      <w:color w:val="000000" w:themeColor="text1"/>
                      <w:sz w:val="21"/>
                      <w:szCs w:val="21"/>
                      <w:highlight w:val="none"/>
                      <w:lang w:val="en-US" w:eastAsia="zh-CN"/>
                      <w14:textFill>
                        <w14:solidFill>
                          <w14:schemeClr w14:val="tx1"/>
                        </w14:solidFill>
                      </w14:textFill>
                    </w:rPr>
                    <w:t>夜</w:t>
                  </w:r>
                </w:p>
              </w:tc>
              <w:tc>
                <w:tcPr>
                  <w:tcW w:w="1305" w:type="dxa"/>
                  <w:tcBorders>
                    <w:tl2br w:val="nil"/>
                    <w:tr2bl w:val="nil"/>
                  </w:tcBorders>
                  <w:noWrap w:val="0"/>
                  <w:vAlign w:val="bottom"/>
                </w:tcPr>
                <w:p w14:paraId="436F6E5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45.0 </w:t>
                  </w:r>
                </w:p>
              </w:tc>
              <w:tc>
                <w:tcPr>
                  <w:tcW w:w="1225" w:type="dxa"/>
                  <w:tcBorders>
                    <w:tl2br w:val="nil"/>
                    <w:tr2bl w:val="nil"/>
                  </w:tcBorders>
                  <w:noWrap w:val="0"/>
                  <w:vAlign w:val="center"/>
                </w:tcPr>
                <w:p w14:paraId="7D337E9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47</w:t>
                  </w:r>
                </w:p>
              </w:tc>
              <w:tc>
                <w:tcPr>
                  <w:tcW w:w="1225" w:type="dxa"/>
                  <w:tcBorders>
                    <w:tl2br w:val="nil"/>
                    <w:tr2bl w:val="nil"/>
                  </w:tcBorders>
                  <w:noWrap w:val="0"/>
                  <w:vAlign w:val="center"/>
                </w:tcPr>
                <w:p w14:paraId="55D5012D">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49.1 </w:t>
                  </w:r>
                </w:p>
              </w:tc>
              <w:tc>
                <w:tcPr>
                  <w:tcW w:w="1122" w:type="dxa"/>
                  <w:tcBorders>
                    <w:tl2br w:val="nil"/>
                    <w:tr2bl w:val="nil"/>
                  </w:tcBorders>
                  <w:noWrap w:val="0"/>
                  <w:vAlign w:val="center"/>
                </w:tcPr>
                <w:p w14:paraId="7C64B58F">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50</w:t>
                  </w:r>
                </w:p>
              </w:tc>
              <w:tc>
                <w:tcPr>
                  <w:tcW w:w="868" w:type="dxa"/>
                  <w:vMerge w:val="continue"/>
                  <w:tcBorders>
                    <w:tl2br w:val="nil"/>
                    <w:tr2bl w:val="nil"/>
                  </w:tcBorders>
                  <w:noWrap w:val="0"/>
                  <w:vAlign w:val="center"/>
                </w:tcPr>
                <w:p w14:paraId="1ACB4AD9">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p>
              </w:tc>
            </w:tr>
            <w:tr w14:paraId="6AF5131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restart"/>
                  <w:tcBorders>
                    <w:tl2br w:val="nil"/>
                    <w:tr2bl w:val="nil"/>
                  </w:tcBorders>
                  <w:shd w:val="clear" w:color="auto" w:fill="auto"/>
                  <w:noWrap w:val="0"/>
                  <w:vAlign w:val="center"/>
                </w:tcPr>
                <w:p w14:paraId="02672DFB">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南厂界</w:t>
                  </w:r>
                </w:p>
              </w:tc>
              <w:tc>
                <w:tcPr>
                  <w:tcW w:w="662" w:type="dxa"/>
                  <w:tcBorders>
                    <w:tl2br w:val="nil"/>
                    <w:tr2bl w:val="nil"/>
                  </w:tcBorders>
                  <w:noWrap w:val="0"/>
                  <w:vAlign w:val="center"/>
                </w:tcPr>
                <w:p w14:paraId="6B237C4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昼</w:t>
                  </w:r>
                </w:p>
              </w:tc>
              <w:tc>
                <w:tcPr>
                  <w:tcW w:w="1305" w:type="dxa"/>
                  <w:tcBorders>
                    <w:tl2br w:val="nil"/>
                    <w:tr2bl w:val="nil"/>
                  </w:tcBorders>
                  <w:noWrap w:val="0"/>
                  <w:vAlign w:val="bottom"/>
                </w:tcPr>
                <w:p w14:paraId="1922AB5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15.9 </w:t>
                  </w:r>
                </w:p>
              </w:tc>
              <w:tc>
                <w:tcPr>
                  <w:tcW w:w="1225" w:type="dxa"/>
                  <w:tcBorders>
                    <w:tl2br w:val="nil"/>
                    <w:tr2bl w:val="nil"/>
                  </w:tcBorders>
                  <w:noWrap w:val="0"/>
                  <w:vAlign w:val="center"/>
                </w:tcPr>
                <w:p w14:paraId="270C754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54</w:t>
                  </w:r>
                </w:p>
              </w:tc>
              <w:tc>
                <w:tcPr>
                  <w:tcW w:w="1225" w:type="dxa"/>
                  <w:tcBorders>
                    <w:tl2br w:val="nil"/>
                    <w:tr2bl w:val="nil"/>
                  </w:tcBorders>
                  <w:noWrap w:val="0"/>
                  <w:vAlign w:val="center"/>
                </w:tcPr>
                <w:p w14:paraId="69BD3FA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54.0 </w:t>
                  </w:r>
                </w:p>
              </w:tc>
              <w:tc>
                <w:tcPr>
                  <w:tcW w:w="1122" w:type="dxa"/>
                  <w:tcBorders>
                    <w:tl2br w:val="nil"/>
                    <w:tr2bl w:val="nil"/>
                  </w:tcBorders>
                  <w:noWrap w:val="0"/>
                  <w:vAlign w:val="center"/>
                </w:tcPr>
                <w:p w14:paraId="6A973C7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60</w:t>
                  </w:r>
                </w:p>
              </w:tc>
              <w:tc>
                <w:tcPr>
                  <w:tcW w:w="868" w:type="dxa"/>
                  <w:vMerge w:val="continue"/>
                  <w:tcBorders>
                    <w:tl2br w:val="nil"/>
                    <w:tr2bl w:val="nil"/>
                  </w:tcBorders>
                  <w:noWrap w:val="0"/>
                  <w:vAlign w:val="center"/>
                </w:tcPr>
                <w:p w14:paraId="75B4B0E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p>
              </w:tc>
            </w:tr>
            <w:tr w14:paraId="41E667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continue"/>
                  <w:tcBorders>
                    <w:tl2br w:val="nil"/>
                    <w:tr2bl w:val="nil"/>
                  </w:tcBorders>
                  <w:noWrap w:val="0"/>
                  <w:vAlign w:val="center"/>
                </w:tcPr>
                <w:p w14:paraId="3DF956F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62" w:type="dxa"/>
                  <w:tcBorders>
                    <w:tl2br w:val="nil"/>
                    <w:tr2bl w:val="nil"/>
                  </w:tcBorders>
                  <w:noWrap w:val="0"/>
                  <w:vAlign w:val="center"/>
                </w:tcPr>
                <w:p w14:paraId="0470EF8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aps w:val="0"/>
                      <w:smallCaps w:val="0"/>
                      <w:snapToGrid w:val="0"/>
                      <w:color w:val="000000" w:themeColor="text1"/>
                      <w:sz w:val="21"/>
                      <w:szCs w:val="21"/>
                      <w:highlight w:val="none"/>
                      <w:lang w:val="en-US" w:eastAsia="zh-CN"/>
                      <w14:textFill>
                        <w14:solidFill>
                          <w14:schemeClr w14:val="tx1"/>
                        </w14:solidFill>
                      </w14:textFill>
                    </w:rPr>
                    <w:t>夜</w:t>
                  </w:r>
                </w:p>
              </w:tc>
              <w:tc>
                <w:tcPr>
                  <w:tcW w:w="1305" w:type="dxa"/>
                  <w:tcBorders>
                    <w:tl2br w:val="nil"/>
                    <w:tr2bl w:val="nil"/>
                  </w:tcBorders>
                  <w:noWrap w:val="0"/>
                  <w:vAlign w:val="bottom"/>
                </w:tcPr>
                <w:p w14:paraId="34FF23E3">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15.9 </w:t>
                  </w:r>
                </w:p>
              </w:tc>
              <w:tc>
                <w:tcPr>
                  <w:tcW w:w="1225" w:type="dxa"/>
                  <w:tcBorders>
                    <w:tl2br w:val="nil"/>
                    <w:tr2bl w:val="nil"/>
                  </w:tcBorders>
                  <w:noWrap w:val="0"/>
                  <w:vAlign w:val="center"/>
                </w:tcPr>
                <w:p w14:paraId="18519004">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47</w:t>
                  </w:r>
                </w:p>
              </w:tc>
              <w:tc>
                <w:tcPr>
                  <w:tcW w:w="1225" w:type="dxa"/>
                  <w:tcBorders>
                    <w:tl2br w:val="nil"/>
                    <w:tr2bl w:val="nil"/>
                  </w:tcBorders>
                  <w:noWrap w:val="0"/>
                  <w:vAlign w:val="center"/>
                </w:tcPr>
                <w:p w14:paraId="1DDEB48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47.0 </w:t>
                  </w:r>
                </w:p>
              </w:tc>
              <w:tc>
                <w:tcPr>
                  <w:tcW w:w="1122" w:type="dxa"/>
                  <w:tcBorders>
                    <w:tl2br w:val="nil"/>
                    <w:tr2bl w:val="nil"/>
                  </w:tcBorders>
                  <w:noWrap w:val="0"/>
                  <w:vAlign w:val="center"/>
                </w:tcPr>
                <w:p w14:paraId="1F4C395E">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50</w:t>
                  </w:r>
                </w:p>
              </w:tc>
              <w:tc>
                <w:tcPr>
                  <w:tcW w:w="868" w:type="dxa"/>
                  <w:vMerge w:val="continue"/>
                  <w:tcBorders>
                    <w:tl2br w:val="nil"/>
                    <w:tr2bl w:val="nil"/>
                  </w:tcBorders>
                  <w:noWrap w:val="0"/>
                  <w:vAlign w:val="center"/>
                </w:tcPr>
                <w:p w14:paraId="463A4A8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p>
              </w:tc>
            </w:tr>
            <w:tr w14:paraId="501F29F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6" w:hRule="atLeast"/>
                <w:jc w:val="center"/>
              </w:trPr>
              <w:tc>
                <w:tcPr>
                  <w:tcW w:w="1277" w:type="dxa"/>
                  <w:vMerge w:val="restart"/>
                  <w:tcBorders>
                    <w:tl2br w:val="nil"/>
                    <w:tr2bl w:val="nil"/>
                  </w:tcBorders>
                  <w:noWrap w:val="0"/>
                  <w:vAlign w:val="center"/>
                </w:tcPr>
                <w:p w14:paraId="6FC17A58">
                  <w:pPr>
                    <w:keepNext w:val="0"/>
                    <w:keepLines w:val="0"/>
                    <w:pageBreakBefore w:val="0"/>
                    <w:widowControl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b w:val="0"/>
                      <w:bCs/>
                      <w:snapToGrid w:val="0"/>
                      <w:color w:val="000000" w:themeColor="text1"/>
                      <w:kern w:val="0"/>
                      <w:sz w:val="21"/>
                      <w:szCs w:val="21"/>
                      <w:highlight w:val="none"/>
                      <w:vertAlign w:val="baseline"/>
                      <w:lang w:eastAsia="zh-CN"/>
                      <w14:textFill>
                        <w14:solidFill>
                          <w14:schemeClr w14:val="tx1"/>
                        </w14:solidFill>
                      </w14:textFill>
                    </w:rPr>
                    <w:t>北厂界</w:t>
                  </w:r>
                </w:p>
              </w:tc>
              <w:tc>
                <w:tcPr>
                  <w:tcW w:w="662" w:type="dxa"/>
                  <w:tcBorders>
                    <w:tl2br w:val="nil"/>
                    <w:tr2bl w:val="nil"/>
                  </w:tcBorders>
                  <w:noWrap w:val="0"/>
                  <w:vAlign w:val="center"/>
                </w:tcPr>
                <w:p w14:paraId="0728BB4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t>昼</w:t>
                  </w:r>
                </w:p>
              </w:tc>
              <w:tc>
                <w:tcPr>
                  <w:tcW w:w="1305" w:type="dxa"/>
                  <w:tcBorders>
                    <w:tl2br w:val="nil"/>
                    <w:tr2bl w:val="nil"/>
                  </w:tcBorders>
                  <w:noWrap w:val="0"/>
                  <w:vAlign w:val="bottom"/>
                </w:tcPr>
                <w:p w14:paraId="1B4413A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33.0 </w:t>
                  </w:r>
                </w:p>
              </w:tc>
              <w:tc>
                <w:tcPr>
                  <w:tcW w:w="1225" w:type="dxa"/>
                  <w:tcBorders>
                    <w:tl2br w:val="nil"/>
                    <w:tr2bl w:val="nil"/>
                  </w:tcBorders>
                  <w:noWrap w:val="0"/>
                  <w:vAlign w:val="center"/>
                </w:tcPr>
                <w:p w14:paraId="4EFE5728">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53</w:t>
                  </w:r>
                </w:p>
              </w:tc>
              <w:tc>
                <w:tcPr>
                  <w:tcW w:w="1225" w:type="dxa"/>
                  <w:tcBorders>
                    <w:tl2br w:val="nil"/>
                    <w:tr2bl w:val="nil"/>
                  </w:tcBorders>
                  <w:noWrap w:val="0"/>
                  <w:vAlign w:val="center"/>
                </w:tcPr>
                <w:p w14:paraId="0E22854A">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53.0 </w:t>
                  </w:r>
                </w:p>
              </w:tc>
              <w:tc>
                <w:tcPr>
                  <w:tcW w:w="1122" w:type="dxa"/>
                  <w:tcBorders>
                    <w:tl2br w:val="nil"/>
                    <w:tr2bl w:val="nil"/>
                  </w:tcBorders>
                  <w:noWrap w:val="0"/>
                  <w:vAlign w:val="center"/>
                </w:tcPr>
                <w:p w14:paraId="0E49100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60</w:t>
                  </w:r>
                </w:p>
              </w:tc>
              <w:tc>
                <w:tcPr>
                  <w:tcW w:w="868" w:type="dxa"/>
                  <w:vMerge w:val="continue"/>
                  <w:tcBorders>
                    <w:tl2br w:val="nil"/>
                    <w:tr2bl w:val="nil"/>
                  </w:tcBorders>
                  <w:noWrap w:val="0"/>
                  <w:vAlign w:val="center"/>
                </w:tcPr>
                <w:p w14:paraId="79190B7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p>
              </w:tc>
            </w:tr>
            <w:tr w14:paraId="774E4AF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61" w:hRule="atLeast"/>
                <w:jc w:val="center"/>
              </w:trPr>
              <w:tc>
                <w:tcPr>
                  <w:tcW w:w="1277" w:type="dxa"/>
                  <w:vMerge w:val="continue"/>
                  <w:tcBorders>
                    <w:tl2br w:val="nil"/>
                    <w:tr2bl w:val="nil"/>
                  </w:tcBorders>
                  <w:noWrap w:val="0"/>
                  <w:vAlign w:val="center"/>
                </w:tcPr>
                <w:p w14:paraId="5782669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662" w:type="dxa"/>
                  <w:tcBorders>
                    <w:tl2br w:val="nil"/>
                    <w:tr2bl w:val="nil"/>
                  </w:tcBorders>
                  <w:noWrap w:val="0"/>
                  <w:vAlign w:val="center"/>
                </w:tcPr>
                <w:p w14:paraId="437900EB">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aps w:val="0"/>
                      <w:smallCaps w:val="0"/>
                      <w:snapToGrid w:val="0"/>
                      <w:color w:val="000000" w:themeColor="text1"/>
                      <w:sz w:val="21"/>
                      <w:szCs w:val="21"/>
                      <w:highlight w:val="none"/>
                      <w:lang w:val="en-US" w:eastAsia="zh-CN"/>
                      <w14:textFill>
                        <w14:solidFill>
                          <w14:schemeClr w14:val="tx1"/>
                        </w14:solidFill>
                      </w14:textFill>
                    </w:rPr>
                    <w:t>夜</w:t>
                  </w:r>
                </w:p>
              </w:tc>
              <w:tc>
                <w:tcPr>
                  <w:tcW w:w="1305" w:type="dxa"/>
                  <w:tcBorders>
                    <w:tl2br w:val="nil"/>
                    <w:tr2bl w:val="nil"/>
                  </w:tcBorders>
                  <w:noWrap w:val="0"/>
                  <w:vAlign w:val="bottom"/>
                </w:tcPr>
                <w:p w14:paraId="5735C3C2">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33.0 </w:t>
                  </w:r>
                </w:p>
              </w:tc>
              <w:tc>
                <w:tcPr>
                  <w:tcW w:w="1225" w:type="dxa"/>
                  <w:tcBorders>
                    <w:tl2br w:val="nil"/>
                    <w:tr2bl w:val="nil"/>
                  </w:tcBorders>
                  <w:noWrap w:val="0"/>
                  <w:vAlign w:val="center"/>
                </w:tcPr>
                <w:p w14:paraId="3D9B246A">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46</w:t>
                  </w:r>
                </w:p>
              </w:tc>
              <w:tc>
                <w:tcPr>
                  <w:tcW w:w="1225" w:type="dxa"/>
                  <w:tcBorders>
                    <w:tl2br w:val="nil"/>
                    <w:tr2bl w:val="nil"/>
                  </w:tcBorders>
                  <w:noWrap w:val="0"/>
                  <w:vAlign w:val="center"/>
                </w:tcPr>
                <w:p w14:paraId="7B743898">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default"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 xml:space="preserve">46.2 </w:t>
                  </w:r>
                </w:p>
              </w:tc>
              <w:tc>
                <w:tcPr>
                  <w:tcW w:w="1122" w:type="dxa"/>
                  <w:tcBorders>
                    <w:tl2br w:val="nil"/>
                    <w:tr2bl w:val="nil"/>
                  </w:tcBorders>
                  <w:noWrap w:val="0"/>
                  <w:vAlign w:val="center"/>
                </w:tcPr>
                <w:p w14:paraId="7DC1BCBC">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aps w:val="0"/>
                      <w:smallCaps w:val="0"/>
                      <w:snapToGrid w:val="0"/>
                      <w:color w:val="000000" w:themeColor="text1"/>
                      <w:kern w:val="2"/>
                      <w:sz w:val="21"/>
                      <w:szCs w:val="21"/>
                      <w:highlight w:val="none"/>
                      <w:lang w:val="en-US" w:eastAsia="zh-CN" w:bidi="ar-SA"/>
                      <w14:textFill>
                        <w14:solidFill>
                          <w14:schemeClr w14:val="tx1"/>
                        </w14:solidFill>
                      </w14:textFill>
                    </w:rPr>
                    <w:t>50</w:t>
                  </w:r>
                </w:p>
              </w:tc>
              <w:tc>
                <w:tcPr>
                  <w:tcW w:w="868" w:type="dxa"/>
                  <w:vMerge w:val="continue"/>
                  <w:tcBorders>
                    <w:tl2br w:val="nil"/>
                    <w:tr2bl w:val="nil"/>
                  </w:tcBorders>
                  <w:noWrap w:val="0"/>
                  <w:vAlign w:val="center"/>
                </w:tcPr>
                <w:p w14:paraId="57B5902A">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aps w:val="0"/>
                      <w:smallCaps w:val="0"/>
                      <w:snapToGrid w:val="0"/>
                      <w:color w:val="000000" w:themeColor="text1"/>
                      <w:sz w:val="21"/>
                      <w:szCs w:val="21"/>
                      <w:highlight w:val="none"/>
                      <w:lang w:val="en-US" w:eastAsia="zh-CN"/>
                      <w14:textFill>
                        <w14:solidFill>
                          <w14:schemeClr w14:val="tx1"/>
                        </w14:solidFill>
                      </w14:textFill>
                    </w:rPr>
                  </w:pPr>
                </w:p>
              </w:tc>
            </w:tr>
          </w:tbl>
          <w:p w14:paraId="2AF9AAA0">
            <w:pPr>
              <w:keepNext w:val="0"/>
              <w:keepLines w:val="0"/>
              <w:pageBreakBefore w:val="0"/>
              <w:widowControl w:val="0"/>
              <w:shd w:val="clear"/>
              <w:kinsoku/>
              <w:wordWrap/>
              <w:overflowPunct/>
              <w:topLinePunct w:val="0"/>
              <w:autoSpaceDE/>
              <w:autoSpaceDN/>
              <w:bidi w:val="0"/>
              <w:adjustRightInd/>
              <w:snapToGrid/>
              <w:spacing w:line="460" w:lineRule="exact"/>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3.2达标情况分析</w:t>
            </w:r>
          </w:p>
          <w:p w14:paraId="0B3F8FEA">
            <w:pPr>
              <w:keepNext w:val="0"/>
              <w:keepLines w:val="0"/>
              <w:widowControl/>
              <w:suppressLineNumbers w:val="0"/>
              <w:shd w:val="clear"/>
              <w:spacing w:line="360" w:lineRule="auto"/>
              <w:ind w:firstLine="480"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本项目噪声源主要为设备运行过程产生的噪声，在对设备采取基础减振、厂房隔声等降噪措施后</w:t>
            </w:r>
            <w:r>
              <w:rPr>
                <w:rFonts w:hint="default" w:ascii="Times New Roman" w:hAnsi="Times New Roman" w:cs="Times New Roman"/>
                <w:color w:val="000000" w:themeColor="text1"/>
                <w:sz w:val="24"/>
                <w:szCs w:val="24"/>
                <w:highlight w:val="none"/>
                <w:lang w:val="en-GB"/>
                <w14:textFill>
                  <w14:solidFill>
                    <w14:schemeClr w14:val="tx1"/>
                  </w14:solidFill>
                </w14:textFill>
              </w:rPr>
              <w:t>，</w:t>
            </w:r>
            <w:r>
              <w:rPr>
                <w:rFonts w:hint="default" w:ascii="Times New Roman" w:hAnsi="Times New Roman" w:cs="Times New Roman"/>
                <w:caps w:val="0"/>
                <w:smallCaps w:val="0"/>
                <w:color w:val="000000" w:themeColor="text1"/>
                <w:kern w:val="0"/>
                <w:sz w:val="24"/>
                <w:szCs w:val="24"/>
                <w:highlight w:val="none"/>
                <w14:textFill>
                  <w14:solidFill>
                    <w14:schemeClr w14:val="tx1"/>
                  </w14:solidFill>
                </w14:textFill>
              </w:rPr>
              <w:t>本项目</w:t>
            </w:r>
            <w:r>
              <w:rPr>
                <w:rFonts w:hint="default" w:ascii="Times New Roman" w:hAnsi="Times New Roman" w:cs="Times New Roman"/>
                <w:caps w:val="0"/>
                <w:smallCaps w:val="0"/>
                <w:color w:val="000000" w:themeColor="text1"/>
                <w:kern w:val="0"/>
                <w:sz w:val="24"/>
                <w:szCs w:val="24"/>
                <w:highlight w:val="none"/>
                <w:lang w:eastAsia="zh-CN"/>
                <w14:textFill>
                  <w14:solidFill>
                    <w14:schemeClr w14:val="tx1"/>
                  </w14:solidFill>
                </w14:textFill>
              </w:rPr>
              <w:t>建成后四周</w:t>
            </w:r>
            <w:r>
              <w:rPr>
                <w:rFonts w:hint="default" w:ascii="Times New Roman" w:hAnsi="Times New Roman" w:cs="Times New Roman"/>
                <w:caps w:val="0"/>
                <w:smallCaps w:val="0"/>
                <w:color w:val="000000" w:themeColor="text1"/>
                <w:kern w:val="0"/>
                <w:sz w:val="24"/>
                <w:szCs w:val="24"/>
                <w:highlight w:val="none"/>
                <w14:textFill>
                  <w14:solidFill>
                    <w14:schemeClr w14:val="tx1"/>
                  </w14:solidFill>
                </w14:textFill>
              </w:rPr>
              <w:t>厂界噪声</w:t>
            </w:r>
            <w:r>
              <w:rPr>
                <w:rFonts w:hint="eastAsia" w:ascii="Times New Roman" w:hAnsi="Times New Roman" w:cs="Times New Roman"/>
                <w:caps w:val="0"/>
                <w:smallCaps w:val="0"/>
                <w:color w:val="000000" w:themeColor="text1"/>
                <w:kern w:val="0"/>
                <w:sz w:val="24"/>
                <w:szCs w:val="24"/>
                <w:highlight w:val="none"/>
                <w:lang w:eastAsia="zh-CN"/>
                <w14:textFill>
                  <w14:solidFill>
                    <w14:schemeClr w14:val="tx1"/>
                  </w14:solidFill>
                </w14:textFill>
              </w:rPr>
              <w:t>贡献值为</w:t>
            </w:r>
            <w:r>
              <w:rPr>
                <w:rFonts w:hint="eastAsia" w:cs="Times New Roman"/>
                <w:caps w:val="0"/>
                <w:smallCaps w:val="0"/>
                <w:color w:val="000000" w:themeColor="text1"/>
                <w:kern w:val="0"/>
                <w:sz w:val="24"/>
                <w:szCs w:val="24"/>
                <w:highlight w:val="none"/>
                <w:lang w:val="en-US" w:eastAsia="zh-CN"/>
                <w14:textFill>
                  <w14:solidFill>
                    <w14:schemeClr w14:val="tx1"/>
                  </w14:solidFill>
                </w14:textFill>
              </w:rPr>
              <w:t>15.9</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w:t>
            </w:r>
            <w:r>
              <w:rPr>
                <w:rFonts w:hint="eastAsia" w:cs="Times New Roman"/>
                <w:caps w:val="0"/>
                <w:smallCaps w:val="0"/>
                <w:color w:val="000000" w:themeColor="text1"/>
                <w:kern w:val="0"/>
                <w:sz w:val="24"/>
                <w:szCs w:val="24"/>
                <w:highlight w:val="none"/>
                <w:lang w:val="en-US" w:eastAsia="zh-CN"/>
                <w14:textFill>
                  <w14:solidFill>
                    <w14:schemeClr w14:val="tx1"/>
                  </w14:solidFill>
                </w14:textFill>
              </w:rPr>
              <w:t>45.0</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dB（A），</w:t>
            </w:r>
            <w:r>
              <w:rPr>
                <w:rFonts w:hint="eastAsia" w:cs="Times New Roman"/>
                <w:caps w:val="0"/>
                <w:smallCaps w:val="0"/>
                <w:color w:val="000000" w:themeColor="text1"/>
                <w:kern w:val="0"/>
                <w:sz w:val="24"/>
                <w:szCs w:val="24"/>
                <w:highlight w:val="none"/>
                <w:lang w:val="en-US" w:eastAsia="zh-CN"/>
                <w14:textFill>
                  <w14:solidFill>
                    <w14:schemeClr w14:val="tx1"/>
                  </w14:solidFill>
                </w14:textFill>
              </w:rPr>
              <w:t>昼间噪声</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预测值为5</w:t>
            </w:r>
            <w:r>
              <w:rPr>
                <w:rFonts w:hint="eastAsia" w:cs="Times New Roman"/>
                <w:caps w:val="0"/>
                <w:smallCaps w:val="0"/>
                <w:color w:val="000000" w:themeColor="text1"/>
                <w:kern w:val="0"/>
                <w:sz w:val="24"/>
                <w:szCs w:val="24"/>
                <w:highlight w:val="none"/>
                <w:lang w:val="en-US" w:eastAsia="zh-CN"/>
                <w14:textFill>
                  <w14:solidFill>
                    <w14:schemeClr w14:val="tx1"/>
                  </w14:solidFill>
                </w14:textFill>
              </w:rPr>
              <w:t>2.1</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w:t>
            </w:r>
            <w:r>
              <w:rPr>
                <w:rFonts w:hint="eastAsia" w:cs="Times New Roman"/>
                <w:caps w:val="0"/>
                <w:smallCaps w:val="0"/>
                <w:color w:val="000000" w:themeColor="text1"/>
                <w:kern w:val="0"/>
                <w:sz w:val="24"/>
                <w:szCs w:val="24"/>
                <w:highlight w:val="none"/>
                <w:lang w:val="en-US" w:eastAsia="zh-CN"/>
                <w14:textFill>
                  <w14:solidFill>
                    <w14:schemeClr w14:val="tx1"/>
                  </w14:solidFill>
                </w14:textFill>
              </w:rPr>
              <w:t>54.0</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dB（A）</w:t>
            </w:r>
            <w:r>
              <w:rPr>
                <w:rFonts w:hint="eastAsia" w:cs="Times New Roman"/>
                <w:caps w:val="0"/>
                <w:smallCaps w:val="0"/>
                <w:color w:val="000000" w:themeColor="text1"/>
                <w:kern w:val="0"/>
                <w:sz w:val="24"/>
                <w:szCs w:val="24"/>
                <w:highlight w:val="none"/>
                <w:lang w:val="en-US" w:eastAsia="zh-CN"/>
                <w14:textFill>
                  <w14:solidFill>
                    <w14:schemeClr w14:val="tx1"/>
                  </w14:solidFill>
                </w14:textFill>
              </w:rPr>
              <w:t>，</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夜间</w:t>
            </w:r>
            <w:r>
              <w:rPr>
                <w:rFonts w:hint="default" w:ascii="Times New Roman" w:hAnsi="Times New Roman" w:cs="Times New Roman"/>
                <w:caps w:val="0"/>
                <w:smallCaps w:val="0"/>
                <w:color w:val="000000" w:themeColor="text1"/>
                <w:kern w:val="0"/>
                <w:sz w:val="24"/>
                <w:szCs w:val="24"/>
                <w:highlight w:val="none"/>
                <w14:textFill>
                  <w14:solidFill>
                    <w14:schemeClr w14:val="tx1"/>
                  </w14:solidFill>
                </w14:textFill>
              </w:rPr>
              <w:t>噪声</w:t>
            </w:r>
            <w:r>
              <w:rPr>
                <w:rFonts w:hint="eastAsia" w:cs="Times New Roman"/>
                <w:caps w:val="0"/>
                <w:smallCaps w:val="0"/>
                <w:color w:val="000000" w:themeColor="text1"/>
                <w:kern w:val="0"/>
                <w:sz w:val="24"/>
                <w:szCs w:val="24"/>
                <w:highlight w:val="none"/>
                <w:lang w:eastAsia="zh-CN"/>
                <w14:textFill>
                  <w14:solidFill>
                    <w14:schemeClr w14:val="tx1"/>
                  </w14:solidFill>
                </w14:textFill>
              </w:rPr>
              <w:t>预测</w:t>
            </w:r>
            <w:r>
              <w:rPr>
                <w:rFonts w:hint="eastAsia" w:ascii="Times New Roman" w:hAnsi="Times New Roman" w:cs="Times New Roman"/>
                <w:caps w:val="0"/>
                <w:smallCaps w:val="0"/>
                <w:color w:val="000000" w:themeColor="text1"/>
                <w:kern w:val="0"/>
                <w:sz w:val="24"/>
                <w:szCs w:val="24"/>
                <w:highlight w:val="none"/>
                <w:lang w:eastAsia="zh-CN"/>
                <w14:textFill>
                  <w14:solidFill>
                    <w14:schemeClr w14:val="tx1"/>
                  </w14:solidFill>
                </w14:textFill>
              </w:rPr>
              <w:t>值</w:t>
            </w:r>
            <w:r>
              <w:rPr>
                <w:rFonts w:hint="eastAsia" w:cs="Times New Roman"/>
                <w:caps w:val="0"/>
                <w:smallCaps w:val="0"/>
                <w:color w:val="000000" w:themeColor="text1"/>
                <w:kern w:val="0"/>
                <w:sz w:val="24"/>
                <w:szCs w:val="24"/>
                <w:highlight w:val="none"/>
                <w:lang w:eastAsia="zh-CN"/>
                <w14:textFill>
                  <w14:solidFill>
                    <w14:schemeClr w14:val="tx1"/>
                  </w14:solidFill>
                </w14:textFill>
              </w:rPr>
              <w:t>为</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4</w:t>
            </w:r>
            <w:r>
              <w:rPr>
                <w:rFonts w:hint="eastAsia" w:cs="Times New Roman"/>
                <w:caps w:val="0"/>
                <w:smallCaps w:val="0"/>
                <w:color w:val="000000" w:themeColor="text1"/>
                <w:kern w:val="0"/>
                <w:sz w:val="24"/>
                <w:szCs w:val="24"/>
                <w:highlight w:val="none"/>
                <w:lang w:val="en-US" w:eastAsia="zh-CN"/>
                <w14:textFill>
                  <w14:solidFill>
                    <w14:schemeClr w14:val="tx1"/>
                  </w14:solidFill>
                </w14:textFill>
              </w:rPr>
              <w:t>6.2</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w:t>
            </w:r>
            <w:r>
              <w:rPr>
                <w:rFonts w:hint="eastAsia" w:cs="Times New Roman"/>
                <w:caps w:val="0"/>
                <w:smallCaps w:val="0"/>
                <w:color w:val="000000" w:themeColor="text1"/>
                <w:kern w:val="0"/>
                <w:sz w:val="24"/>
                <w:szCs w:val="24"/>
                <w:highlight w:val="none"/>
                <w:lang w:val="en-US" w:eastAsia="zh-CN"/>
                <w14:textFill>
                  <w14:solidFill>
                    <w14:schemeClr w14:val="tx1"/>
                  </w14:solidFill>
                </w14:textFill>
              </w:rPr>
              <w:t>49.1</w:t>
            </w:r>
            <w:r>
              <w:rPr>
                <w:rFonts w:hint="eastAsia" w:ascii="Times New Roman" w:hAnsi="Times New Roman" w:cs="Times New Roman"/>
                <w:caps w:val="0"/>
                <w:smallCaps w:val="0"/>
                <w:color w:val="000000" w:themeColor="text1"/>
                <w:kern w:val="0"/>
                <w:sz w:val="24"/>
                <w:szCs w:val="24"/>
                <w:highlight w:val="none"/>
                <w:lang w:val="en-US" w:eastAsia="zh-CN"/>
                <w14:textFill>
                  <w14:solidFill>
                    <w14:schemeClr w14:val="tx1"/>
                  </w14:solidFill>
                </w14:textFill>
              </w:rPr>
              <w:t>dB（A），可以</w:t>
            </w:r>
            <w:r>
              <w:rPr>
                <w:rFonts w:hint="default" w:ascii="Times New Roman" w:hAnsi="Times New Roman" w:cs="Times New Roman"/>
                <w:caps w:val="0"/>
                <w:smallCaps w:val="0"/>
                <w:color w:val="000000" w:themeColor="text1"/>
                <w:kern w:val="0"/>
                <w:sz w:val="24"/>
                <w:szCs w:val="24"/>
                <w:highlight w:val="none"/>
                <w14:textFill>
                  <w14:solidFill>
                    <w14:schemeClr w14:val="tx1"/>
                  </w14:solidFill>
                </w14:textFill>
              </w:rPr>
              <w:t>满足</w:t>
            </w:r>
            <w:r>
              <w:rPr>
                <w:rFonts w:hint="default" w:ascii="Times New Roman" w:hAnsi="Times New Roman" w:cs="Times New Roman"/>
                <w:caps w:val="0"/>
                <w:smallCaps w:val="0"/>
                <w:snapToGrid w:val="0"/>
                <w:color w:val="000000" w:themeColor="text1"/>
                <w:kern w:val="0"/>
                <w:sz w:val="24"/>
                <w:szCs w:val="24"/>
                <w:highlight w:val="none"/>
                <w:lang w:bidi="ar"/>
                <w14:textFill>
                  <w14:solidFill>
                    <w14:schemeClr w14:val="tx1"/>
                  </w14:solidFill>
                </w14:textFill>
              </w:rPr>
              <w:t>《</w:t>
            </w:r>
            <w:r>
              <w:rPr>
                <w:rFonts w:hint="eastAsia" w:cs="Times New Roman"/>
                <w:caps w:val="0"/>
                <w:smallCaps w:val="0"/>
                <w:snapToGrid w:val="0"/>
                <w:color w:val="000000" w:themeColor="text1"/>
                <w:kern w:val="0"/>
                <w:sz w:val="24"/>
                <w:szCs w:val="24"/>
                <w:highlight w:val="none"/>
                <w:lang w:eastAsia="zh-CN" w:bidi="ar"/>
                <w14:textFill>
                  <w14:solidFill>
                    <w14:schemeClr w14:val="tx1"/>
                  </w14:solidFill>
                </w14:textFill>
              </w:rPr>
              <w:t>工业企业厂界环境噪声排放标准</w:t>
            </w:r>
            <w:r>
              <w:rPr>
                <w:rFonts w:hint="default" w:ascii="Times New Roman" w:hAnsi="Times New Roman" w:cs="Times New Roman"/>
                <w:caps w:val="0"/>
                <w:smallCaps w:val="0"/>
                <w:snapToGrid w:val="0"/>
                <w:color w:val="000000" w:themeColor="text1"/>
                <w:kern w:val="0"/>
                <w:sz w:val="24"/>
                <w:szCs w:val="24"/>
                <w:highlight w:val="none"/>
                <w:lang w:bidi="ar"/>
                <w14:textFill>
                  <w14:solidFill>
                    <w14:schemeClr w14:val="tx1"/>
                  </w14:solidFill>
                </w14:textFill>
              </w:rPr>
              <w:t>》（GB</w:t>
            </w:r>
            <w:r>
              <w:rPr>
                <w:rFonts w:hint="eastAsia" w:cs="Times New Roman"/>
                <w:caps w:val="0"/>
                <w:smallCaps w:val="0"/>
                <w:snapToGrid w:val="0"/>
                <w:color w:val="000000" w:themeColor="text1"/>
                <w:kern w:val="0"/>
                <w:sz w:val="24"/>
                <w:szCs w:val="24"/>
                <w:highlight w:val="none"/>
                <w:lang w:eastAsia="zh-CN" w:bidi="ar"/>
                <w14:textFill>
                  <w14:solidFill>
                    <w14:schemeClr w14:val="tx1"/>
                  </w14:solidFill>
                </w14:textFill>
              </w:rPr>
              <w:t>12348</w:t>
            </w:r>
            <w:r>
              <w:rPr>
                <w:rFonts w:hint="default" w:ascii="Times New Roman" w:hAnsi="Times New Roman" w:cs="Times New Roman"/>
                <w:caps w:val="0"/>
                <w:smallCaps w:val="0"/>
                <w:snapToGrid w:val="0"/>
                <w:color w:val="000000" w:themeColor="text1"/>
                <w:kern w:val="0"/>
                <w:sz w:val="24"/>
                <w:szCs w:val="24"/>
                <w:highlight w:val="none"/>
                <w:lang w:bidi="ar"/>
                <w14:textFill>
                  <w14:solidFill>
                    <w14:schemeClr w14:val="tx1"/>
                  </w14:solidFill>
                </w14:textFill>
              </w:rPr>
              <w:t>-2008）</w:t>
            </w:r>
            <w:r>
              <w:rPr>
                <w:rFonts w:hint="eastAsia" w:cs="Times New Roman"/>
                <w:caps w:val="0"/>
                <w:smallCaps w:val="0"/>
                <w:snapToGrid w:val="0"/>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cs="Times New Roman"/>
                <w:caps w:val="0"/>
                <w:smallCaps w:val="0"/>
                <w:snapToGrid w:val="0"/>
                <w:color w:val="000000" w:themeColor="text1"/>
                <w:kern w:val="0"/>
                <w:sz w:val="24"/>
                <w:szCs w:val="24"/>
                <w:highlight w:val="none"/>
                <w:lang w:bidi="ar"/>
                <w14:textFill>
                  <w14:solidFill>
                    <w14:schemeClr w14:val="tx1"/>
                  </w14:solidFill>
                </w14:textFill>
              </w:rPr>
              <w:t>类标准：</w:t>
            </w:r>
            <w:r>
              <w:rPr>
                <w:rFonts w:hint="default" w:ascii="Times New Roman" w:hAnsi="Times New Roman" w:cs="Times New Roman"/>
                <w:caps w:val="0"/>
                <w:smallCaps w:val="0"/>
                <w:color w:val="000000" w:themeColor="text1"/>
                <w:kern w:val="24"/>
                <w:sz w:val="24"/>
                <w:szCs w:val="24"/>
                <w:highlight w:val="none"/>
                <w:lang w:bidi="ar"/>
                <w14:textFill>
                  <w14:solidFill>
                    <w14:schemeClr w14:val="tx1"/>
                  </w14:solidFill>
                </w14:textFill>
              </w:rPr>
              <w:t>昼间6</w:t>
            </w:r>
            <w:r>
              <w:rPr>
                <w:rFonts w:hint="eastAsia" w:cs="Times New Roman"/>
                <w:caps w:val="0"/>
                <w:smallCaps w:val="0"/>
                <w:color w:val="000000" w:themeColor="text1"/>
                <w:kern w:val="24"/>
                <w:sz w:val="24"/>
                <w:szCs w:val="24"/>
                <w:highlight w:val="none"/>
                <w:lang w:val="en-US" w:eastAsia="zh-CN" w:bidi="ar"/>
                <w14:textFill>
                  <w14:solidFill>
                    <w14:schemeClr w14:val="tx1"/>
                  </w14:solidFill>
                </w14:textFill>
              </w:rPr>
              <w:t>0</w:t>
            </w:r>
            <w:r>
              <w:rPr>
                <w:rFonts w:hint="default" w:ascii="Times New Roman" w:hAnsi="Times New Roman" w:cs="Times New Roman"/>
                <w:caps w:val="0"/>
                <w:smallCaps w:val="0"/>
                <w:snapToGrid w:val="0"/>
                <w:color w:val="000000" w:themeColor="text1"/>
                <w:kern w:val="0"/>
                <w:sz w:val="24"/>
                <w:szCs w:val="24"/>
                <w:highlight w:val="none"/>
                <w:lang w:bidi="ar"/>
                <w14:textFill>
                  <w14:solidFill>
                    <w14:schemeClr w14:val="tx1"/>
                  </w14:solidFill>
                </w14:textFill>
              </w:rPr>
              <w:t>dB（A）</w:t>
            </w:r>
            <w:r>
              <w:rPr>
                <w:rFonts w:hint="default" w:ascii="Times New Roman" w:hAnsi="Times New Roman" w:cs="Times New Roman"/>
                <w:caps w:val="0"/>
                <w:smallCaps w:val="0"/>
                <w:snapToGrid w:val="0"/>
                <w:color w:val="000000" w:themeColor="text1"/>
                <w:kern w:val="0"/>
                <w:sz w:val="24"/>
                <w:szCs w:val="24"/>
                <w:highlight w:val="none"/>
                <w:lang w:eastAsia="zh-CN" w:bidi="ar"/>
                <w14:textFill>
                  <w14:solidFill>
                    <w14:schemeClr w14:val="tx1"/>
                  </w14:solidFill>
                </w14:textFill>
              </w:rPr>
              <w:t>、夜间</w:t>
            </w:r>
            <w:r>
              <w:rPr>
                <w:rFonts w:hint="default" w:ascii="Times New Roman" w:hAnsi="Times New Roman" w:cs="Times New Roman"/>
                <w:caps w:val="0"/>
                <w:smallCaps w:val="0"/>
                <w:snapToGrid w:val="0"/>
                <w:color w:val="000000" w:themeColor="text1"/>
                <w:kern w:val="0"/>
                <w:sz w:val="24"/>
                <w:szCs w:val="24"/>
                <w:highlight w:val="none"/>
                <w:lang w:val="en-US" w:eastAsia="zh-CN" w:bidi="ar"/>
                <w14:textFill>
                  <w14:solidFill>
                    <w14:schemeClr w14:val="tx1"/>
                  </w14:solidFill>
                </w14:textFill>
              </w:rPr>
              <w:t>5</w:t>
            </w:r>
            <w:r>
              <w:rPr>
                <w:rFonts w:hint="eastAsia" w:cs="Times New Roman"/>
                <w:caps w:val="0"/>
                <w:smallCaps w:val="0"/>
                <w:color w:val="000000" w:themeColor="text1"/>
                <w:kern w:val="24"/>
                <w:sz w:val="24"/>
                <w:szCs w:val="24"/>
                <w:highlight w:val="none"/>
                <w:lang w:val="en-US" w:eastAsia="zh-CN" w:bidi="ar"/>
                <w14:textFill>
                  <w14:solidFill>
                    <w14:schemeClr w14:val="tx1"/>
                  </w14:solidFill>
                </w14:textFill>
              </w:rPr>
              <w:t>0</w:t>
            </w:r>
            <w:r>
              <w:rPr>
                <w:rFonts w:hint="default" w:ascii="Times New Roman" w:hAnsi="Times New Roman" w:cs="Times New Roman"/>
                <w:caps w:val="0"/>
                <w:smallCaps w:val="0"/>
                <w:snapToGrid w:val="0"/>
                <w:color w:val="000000" w:themeColor="text1"/>
                <w:kern w:val="0"/>
                <w:sz w:val="24"/>
                <w:szCs w:val="24"/>
                <w:highlight w:val="none"/>
                <w:lang w:bidi="ar"/>
                <w14:textFill>
                  <w14:solidFill>
                    <w14:schemeClr w14:val="tx1"/>
                  </w14:solidFill>
                </w14:textFill>
              </w:rPr>
              <w:t>dB（A）的限值要求</w:t>
            </w:r>
            <w:r>
              <w:rPr>
                <w:rFonts w:hint="default" w:ascii="Times New Roman" w:hAnsi="Times New Roman" w:cs="Times New Roman"/>
                <w:caps w:val="0"/>
                <w:smallCaps w:val="0"/>
                <w:color w:val="000000" w:themeColor="text1"/>
                <w:sz w:val="24"/>
                <w:szCs w:val="24"/>
                <w:highlight w:val="none"/>
                <w14:textFill>
                  <w14:solidFill>
                    <w14:schemeClr w14:val="tx1"/>
                  </w14:solidFill>
                </w14:textFill>
              </w:rPr>
              <w:t>。</w:t>
            </w:r>
            <w:r>
              <w:rPr>
                <w:rFonts w:hint="eastAsia" w:ascii="宋体" w:hAnsi="宋体" w:cs="宋体"/>
                <w:b w:val="0"/>
                <w:bCs w:val="0"/>
                <w:i w:val="0"/>
                <w:iCs w:val="0"/>
                <w:color w:val="000000" w:themeColor="text1"/>
                <w:kern w:val="0"/>
                <w:sz w:val="24"/>
                <w:szCs w:val="24"/>
                <w:highlight w:val="none"/>
                <w:u w:val="none"/>
                <w:lang w:val="en-US" w:eastAsia="zh-CN" w:bidi="ar"/>
                <w14:textFill>
                  <w14:solidFill>
                    <w14:schemeClr w14:val="tx1"/>
                  </w14:solidFill>
                </w14:textFill>
              </w:rPr>
              <w:t>因此，</w:t>
            </w:r>
            <w:r>
              <w:rPr>
                <w:rFonts w:hint="eastAsia"/>
                <w:color w:val="000000" w:themeColor="text1"/>
                <w:highlight w:val="none"/>
                <w:lang w:val="en-US" w:eastAsia="zh-CN"/>
                <w14:textFill>
                  <w14:solidFill>
                    <w14:schemeClr w14:val="tx1"/>
                  </w14:solidFill>
                </w14:textFill>
              </w:rPr>
              <w:t>项目的实施</w:t>
            </w:r>
            <w:r>
              <w:rPr>
                <w:color w:val="000000" w:themeColor="text1"/>
                <w:highlight w:val="none"/>
                <w14:textFill>
                  <w14:solidFill>
                    <w14:schemeClr w14:val="tx1"/>
                  </w14:solidFill>
                </w14:textFill>
              </w:rPr>
              <w:t>对</w:t>
            </w:r>
            <w:r>
              <w:rPr>
                <w:rFonts w:hint="eastAsia"/>
                <w:color w:val="000000" w:themeColor="text1"/>
                <w:highlight w:val="none"/>
                <w:lang w:val="en-US" w:eastAsia="zh-CN"/>
                <w14:textFill>
                  <w14:solidFill>
                    <w14:schemeClr w14:val="tx1"/>
                  </w14:solidFill>
                </w14:textFill>
              </w:rPr>
              <w:t>周边声环境</w:t>
            </w:r>
            <w:r>
              <w:rPr>
                <w:color w:val="000000" w:themeColor="text1"/>
                <w:highlight w:val="none"/>
                <w14:textFill>
                  <w14:solidFill>
                    <w14:schemeClr w14:val="tx1"/>
                  </w14:solidFill>
                </w14:textFill>
              </w:rPr>
              <w:t>影响</w:t>
            </w:r>
            <w:r>
              <w:rPr>
                <w:rFonts w:hint="eastAsia" w:ascii="Times New Roman" w:eastAsia="宋体"/>
                <w:color w:val="000000" w:themeColor="text1"/>
                <w:highlight w:val="none"/>
                <w:lang w:val="en-US" w:eastAsia="zh-CN"/>
                <w14:textFill>
                  <w14:solidFill>
                    <w14:schemeClr w14:val="tx1"/>
                  </w14:solidFill>
                </w14:textFill>
              </w:rPr>
              <w:t>较</w:t>
            </w:r>
            <w:r>
              <w:rPr>
                <w:color w:val="000000" w:themeColor="text1"/>
                <w:highlight w:val="none"/>
                <w14:textFill>
                  <w14:solidFill>
                    <w14:schemeClr w14:val="tx1"/>
                  </w14:solidFill>
                </w14:textFill>
              </w:rPr>
              <w:t>小</w:t>
            </w:r>
            <w:r>
              <w:rPr>
                <w:rFonts w:hint="eastAsia"/>
                <w:color w:val="000000" w:themeColor="text1"/>
                <w:highlight w:val="none"/>
                <w:lang w:val="en-US" w:eastAsia="zh-CN"/>
                <w14:textFill>
                  <w14:solidFill>
                    <w14:schemeClr w14:val="tx1"/>
                  </w14:solidFill>
                </w14:textFill>
              </w:rPr>
              <w:t>，不会对项目周边声环境造成明显不利影响。</w:t>
            </w:r>
          </w:p>
          <w:p w14:paraId="408D7887">
            <w:pPr>
              <w:keepNext w:val="0"/>
              <w:keepLines w:val="0"/>
              <w:pageBreakBefore w:val="0"/>
              <w:widowControl w:val="0"/>
              <w:numPr>
                <w:ilvl w:val="0"/>
                <w:numId w:val="0"/>
              </w:numPr>
              <w:shd w:val="clear"/>
              <w:kinsoku/>
              <w:wordWrap/>
              <w:overflowPunct/>
              <w:topLinePunct w:val="0"/>
              <w:autoSpaceDE/>
              <w:autoSpaceDN/>
              <w:bidi w:val="0"/>
              <w:adjustRightInd/>
              <w:snapToGrid/>
              <w:spacing w:line="460" w:lineRule="exact"/>
              <w:ind w:firstLine="482" w:firstLineChars="200"/>
              <w:textAlignment w:val="auto"/>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3.3监测计划</w:t>
            </w:r>
          </w:p>
          <w:p w14:paraId="27195908">
            <w:pPr>
              <w:pStyle w:val="11"/>
              <w:shd w:val="clear"/>
              <w:rPr>
                <w:rFonts w:hint="default" w:ascii="Times New Roman" w:hAnsi="Times New Roman" w:cs="Times New Roman"/>
                <w:color w:val="000000" w:themeColor="text1"/>
                <w:kern w:val="1"/>
                <w:sz w:val="24"/>
                <w:szCs w:val="24"/>
                <w:highlight w:val="none"/>
                <w:lang w:val="en-US" w:eastAsia="zh-CN" w:bidi="ar"/>
                <w14:textFill>
                  <w14:solidFill>
                    <w14:schemeClr w14:val="tx1"/>
                  </w14:solidFill>
                </w14:textFill>
              </w:rPr>
            </w:pPr>
            <w:r>
              <w:rPr>
                <w:rFonts w:hint="default" w:ascii="Times New Roman" w:hAnsi="Times New Roman" w:cs="Times New Roman"/>
                <w:snapToGrid w:val="0"/>
                <w:color w:val="000000" w:themeColor="text1"/>
                <w:kern w:val="0"/>
                <w:sz w:val="24"/>
                <w:szCs w:val="24"/>
                <w:highlight w:val="none"/>
                <w:lang w:bidi="ar"/>
                <w14:textFill>
                  <w14:solidFill>
                    <w14:schemeClr w14:val="tx1"/>
                  </w14:solidFill>
                </w14:textFill>
              </w:rPr>
              <w:t>根据本建设项目性质与实际情况，</w: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t>按照《</w: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fldChar w:fldCharType="begin"/>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instrText xml:space="preserve"> HYPERLINK "http://www.mee.gov.cn/ywgz/fgbz/bz/bzwb/shjbh/xgbzh/201705/W020170511332490849000.pdf" </w:instrTex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fldChar w:fldCharType="separate"/>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t>排污单位自行监测技术指南</w:t>
            </w:r>
            <w:r>
              <w:rPr>
                <w:rFonts w:hint="eastAsia" w:cs="Times New Roman"/>
                <w:b w:val="0"/>
                <w:bCs/>
                <w:i w:val="0"/>
                <w:snapToGrid w:val="0"/>
                <w:color w:val="000000" w:themeColor="text1"/>
                <w:kern w:val="0"/>
                <w:sz w:val="24"/>
                <w:szCs w:val="24"/>
                <w:highlight w:val="none"/>
                <w:lang w:val="en-US" w:eastAsia="zh-CN" w:bidi="ar"/>
                <w14:textFill>
                  <w14:solidFill>
                    <w14:schemeClr w14:val="tx1"/>
                  </w14:solidFill>
                </w14:textFill>
              </w:rPr>
              <w:t xml:space="preserve"> </w: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t>总则</w: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fldChar w:fldCharType="end"/>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t>》（HJ819-2017）</w:t>
            </w:r>
            <w:r>
              <w:rPr>
                <w:rFonts w:hint="eastAsia" w:cs="Times New Roman"/>
                <w:b w:val="0"/>
                <w:bCs/>
                <w:i w:val="0"/>
                <w:snapToGrid w:val="0"/>
                <w:color w:val="000000" w:themeColor="text1"/>
                <w:kern w:val="0"/>
                <w:sz w:val="24"/>
                <w:szCs w:val="24"/>
                <w:highlight w:val="none"/>
                <w:lang w:val="en-US" w:eastAsia="zh-CN" w:bidi="ar"/>
                <w14:textFill>
                  <w14:solidFill>
                    <w14:schemeClr w14:val="tx1"/>
                  </w14:solidFill>
                </w14:textFill>
              </w:rPr>
              <w:t>和</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排污许可证申请与核发技术规范 工业噪声</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HJ1301-2023）</w:t>
            </w:r>
            <w:r>
              <w:rPr>
                <w:rFonts w:hint="default" w:ascii="Times New Roman" w:hAnsi="Times New Roman" w:cs="Times New Roman"/>
                <w:color w:val="000000" w:themeColor="text1"/>
                <w:kern w:val="1"/>
                <w:sz w:val="24"/>
                <w:szCs w:val="24"/>
                <w:highlight w:val="none"/>
                <w:lang w:val="en-US" w:eastAsia="zh-CN" w:bidi="ar"/>
                <w14:textFill>
                  <w14:solidFill>
                    <w14:schemeClr w14:val="tx1"/>
                  </w14:solidFill>
                </w14:textFill>
              </w:rPr>
              <w:t>要求，企业投入运营后噪声监测情况见下表。</w:t>
            </w:r>
          </w:p>
          <w:p w14:paraId="2D7F0B5C">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zh-CN"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zh-CN" w:eastAsia="zh-CN"/>
                <w14:textFill>
                  <w14:solidFill>
                    <w14:schemeClr w14:val="tx1"/>
                  </w14:solidFill>
                </w14:textFill>
              </w:rPr>
              <w:t>项目厂界噪声监测计划表</w:t>
            </w:r>
          </w:p>
          <w:tbl>
            <w:tblPr>
              <w:tblStyle w:val="32"/>
              <w:tblW w:w="7778"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Layout w:type="fixed"/>
              <w:tblCellMar>
                <w:top w:w="0" w:type="dxa"/>
                <w:left w:w="108" w:type="dxa"/>
                <w:bottom w:w="0" w:type="dxa"/>
                <w:right w:w="108" w:type="dxa"/>
              </w:tblCellMar>
            </w:tblPr>
            <w:tblGrid>
              <w:gridCol w:w="1493"/>
              <w:gridCol w:w="1768"/>
              <w:gridCol w:w="1199"/>
              <w:gridCol w:w="3318"/>
            </w:tblGrid>
            <w:tr w14:paraId="30FEA054">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458" w:hRule="atLeast"/>
                <w:jc w:val="center"/>
              </w:trPr>
              <w:tc>
                <w:tcPr>
                  <w:tcW w:w="1493" w:type="dxa"/>
                  <w:tcBorders>
                    <w:tl2br w:val="nil"/>
                    <w:tr2bl w:val="nil"/>
                  </w:tcBorders>
                  <w:noWrap w:val="0"/>
                  <w:tcMar>
                    <w:top w:w="15" w:type="dxa"/>
                    <w:left w:w="15" w:type="dxa"/>
                    <w:bottom w:w="15" w:type="dxa"/>
                    <w:right w:w="15" w:type="dxa"/>
                  </w:tcMar>
                  <w:vAlign w:val="center"/>
                </w:tcPr>
                <w:p w14:paraId="57CDE3F5">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监测点位</w:t>
                  </w:r>
                </w:p>
              </w:tc>
              <w:tc>
                <w:tcPr>
                  <w:tcW w:w="1768" w:type="dxa"/>
                  <w:tcBorders>
                    <w:tl2br w:val="nil"/>
                    <w:tr2bl w:val="nil"/>
                  </w:tcBorders>
                  <w:noWrap w:val="0"/>
                  <w:tcMar>
                    <w:top w:w="15" w:type="dxa"/>
                    <w:left w:w="15" w:type="dxa"/>
                    <w:bottom w:w="15" w:type="dxa"/>
                    <w:right w:w="15" w:type="dxa"/>
                  </w:tcMar>
                  <w:vAlign w:val="center"/>
                </w:tcPr>
                <w:p w14:paraId="57311139">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监测指标</w:t>
                  </w:r>
                </w:p>
              </w:tc>
              <w:tc>
                <w:tcPr>
                  <w:tcW w:w="1199" w:type="dxa"/>
                  <w:tcBorders>
                    <w:tl2br w:val="nil"/>
                    <w:tr2bl w:val="nil"/>
                  </w:tcBorders>
                  <w:noWrap w:val="0"/>
                  <w:tcMar>
                    <w:top w:w="15" w:type="dxa"/>
                    <w:left w:w="15" w:type="dxa"/>
                    <w:bottom w:w="15" w:type="dxa"/>
                    <w:right w:w="15" w:type="dxa"/>
                  </w:tcMar>
                  <w:vAlign w:val="center"/>
                </w:tcPr>
                <w:p w14:paraId="2C0AAAAA">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监测频次</w:t>
                  </w:r>
                </w:p>
              </w:tc>
              <w:tc>
                <w:tcPr>
                  <w:tcW w:w="3318" w:type="dxa"/>
                  <w:tcBorders>
                    <w:tl2br w:val="nil"/>
                    <w:tr2bl w:val="nil"/>
                  </w:tcBorders>
                  <w:noWrap w:val="0"/>
                  <w:tcMar>
                    <w:top w:w="15" w:type="dxa"/>
                    <w:left w:w="15" w:type="dxa"/>
                    <w:bottom w:w="15" w:type="dxa"/>
                    <w:right w:w="15" w:type="dxa"/>
                  </w:tcMar>
                  <w:vAlign w:val="center"/>
                </w:tcPr>
                <w:p w14:paraId="77181648">
                  <w:pPr>
                    <w:pStyle w:val="43"/>
                    <w:keepNext w:val="0"/>
                    <w:keepLines w:val="0"/>
                    <w:pageBreakBefore w:val="0"/>
                    <w:widowControl w:val="0"/>
                    <w:shd w:val="clear"/>
                    <w:kinsoku/>
                    <w:wordWrap/>
                    <w:overflowPunct/>
                    <w:topLinePunct w:val="0"/>
                    <w:autoSpaceDE/>
                    <w:autoSpaceDN/>
                    <w:bidi w:val="0"/>
                    <w:adjustRightInd/>
                    <w:snapToGrid/>
                    <w:spacing w:before="0" w:after="0" w:line="0" w:lineRule="atLeas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执行排放标准</w:t>
                  </w:r>
                </w:p>
              </w:tc>
            </w:tr>
            <w:tr w14:paraId="0CA76BD6">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tblCellMar>
                  <w:top w:w="0" w:type="dxa"/>
                  <w:left w:w="108" w:type="dxa"/>
                  <w:bottom w:w="0" w:type="dxa"/>
                  <w:right w:w="108" w:type="dxa"/>
                </w:tblCellMar>
              </w:tblPrEx>
              <w:trPr>
                <w:trHeight w:val="672" w:hRule="atLeast"/>
                <w:jc w:val="center"/>
              </w:trPr>
              <w:tc>
                <w:tcPr>
                  <w:tcW w:w="1493" w:type="dxa"/>
                  <w:tcBorders>
                    <w:tl2br w:val="nil"/>
                    <w:tr2bl w:val="nil"/>
                  </w:tcBorders>
                  <w:noWrap w:val="0"/>
                  <w:tcMar>
                    <w:top w:w="15" w:type="dxa"/>
                    <w:left w:w="15" w:type="dxa"/>
                    <w:bottom w:w="15" w:type="dxa"/>
                    <w:right w:w="15" w:type="dxa"/>
                  </w:tcMar>
                  <w:vAlign w:val="center"/>
                </w:tcPr>
                <w:p w14:paraId="1C128079">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厂</w:t>
                  </w:r>
                  <w:r>
                    <w:rPr>
                      <w:rFonts w:hint="default" w:ascii="Times New Roman" w:hAnsi="Times New Roman" w:cs="Times New Roman"/>
                      <w:color w:val="000000" w:themeColor="text1"/>
                      <w:sz w:val="21"/>
                      <w:szCs w:val="21"/>
                      <w:highlight w:val="none"/>
                      <w14:textFill>
                        <w14:solidFill>
                          <w14:schemeClr w14:val="tx1"/>
                        </w14:solidFill>
                      </w14:textFill>
                    </w:rPr>
                    <w:t>界外1m处</w:t>
                  </w:r>
                </w:p>
              </w:tc>
              <w:tc>
                <w:tcPr>
                  <w:tcW w:w="1768" w:type="dxa"/>
                  <w:tcBorders>
                    <w:tl2br w:val="nil"/>
                    <w:tr2bl w:val="nil"/>
                  </w:tcBorders>
                  <w:noWrap w:val="0"/>
                  <w:tcMar>
                    <w:top w:w="15" w:type="dxa"/>
                    <w:left w:w="15" w:type="dxa"/>
                    <w:bottom w:w="15" w:type="dxa"/>
                    <w:right w:w="15" w:type="dxa"/>
                  </w:tcMar>
                  <w:vAlign w:val="center"/>
                </w:tcPr>
                <w:p w14:paraId="4863681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等效连续A声级</w:t>
                  </w:r>
                </w:p>
              </w:tc>
              <w:tc>
                <w:tcPr>
                  <w:tcW w:w="1199" w:type="dxa"/>
                  <w:tcBorders>
                    <w:tl2br w:val="nil"/>
                    <w:tr2bl w:val="nil"/>
                  </w:tcBorders>
                  <w:noWrap w:val="0"/>
                  <w:tcMar>
                    <w:top w:w="15" w:type="dxa"/>
                    <w:left w:w="15" w:type="dxa"/>
                    <w:bottom w:w="15" w:type="dxa"/>
                    <w:right w:w="15" w:type="dxa"/>
                  </w:tcMar>
                  <w:vAlign w:val="center"/>
                </w:tcPr>
                <w:p w14:paraId="29AB319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1次</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/季度</w:t>
                  </w:r>
                </w:p>
              </w:tc>
              <w:tc>
                <w:tcPr>
                  <w:tcW w:w="3318" w:type="dxa"/>
                  <w:tcBorders>
                    <w:tl2br w:val="nil"/>
                    <w:tr2bl w:val="nil"/>
                  </w:tcBorders>
                  <w:noWrap w:val="0"/>
                  <w:tcMar>
                    <w:top w:w="15" w:type="dxa"/>
                    <w:left w:w="15" w:type="dxa"/>
                    <w:bottom w:w="15" w:type="dxa"/>
                    <w:right w:w="15" w:type="dxa"/>
                  </w:tcMar>
                  <w:vAlign w:val="center"/>
                </w:tcPr>
                <w:p w14:paraId="339313C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eastAsia" w:cs="Times New Roman"/>
                      <w:color w:val="000000" w:themeColor="text1"/>
                      <w:sz w:val="21"/>
                      <w:szCs w:val="21"/>
                      <w:highlight w:val="none"/>
                      <w:lang w:eastAsia="zh-CN"/>
                      <w14:textFill>
                        <w14:solidFill>
                          <w14:schemeClr w14:val="tx1"/>
                        </w14:solidFill>
                      </w14:textFill>
                    </w:rPr>
                    <w:t>工业企业厂界环境噪声排放标准</w:t>
                  </w:r>
                  <w:r>
                    <w:rPr>
                      <w:rFonts w:hint="default" w:ascii="Times New Roman" w:hAnsi="Times New Roman" w:cs="Times New Roman"/>
                      <w:color w:val="000000" w:themeColor="text1"/>
                      <w:sz w:val="21"/>
                      <w:szCs w:val="21"/>
                      <w:highlight w:val="none"/>
                      <w14:textFill>
                        <w14:solidFill>
                          <w14:schemeClr w14:val="tx1"/>
                        </w14:solidFill>
                      </w14:textFill>
                    </w:rPr>
                    <w:t>》（GB</w:t>
                  </w:r>
                  <w:r>
                    <w:rPr>
                      <w:rFonts w:hint="eastAsia" w:cs="Times New Roman"/>
                      <w:color w:val="000000" w:themeColor="text1"/>
                      <w:sz w:val="21"/>
                      <w:szCs w:val="21"/>
                      <w:highlight w:val="none"/>
                      <w:lang w:eastAsia="zh-CN"/>
                      <w14:textFill>
                        <w14:solidFill>
                          <w14:schemeClr w14:val="tx1"/>
                        </w14:solidFill>
                      </w14:textFill>
                    </w:rPr>
                    <w:t>12348</w:t>
                  </w:r>
                  <w:r>
                    <w:rPr>
                      <w:rFonts w:hint="default" w:ascii="Times New Roman" w:hAnsi="Times New Roman" w:cs="Times New Roman"/>
                      <w:color w:val="000000" w:themeColor="text1"/>
                      <w:sz w:val="21"/>
                      <w:szCs w:val="21"/>
                      <w:highlight w:val="none"/>
                      <w14:textFill>
                        <w14:solidFill>
                          <w14:schemeClr w14:val="tx1"/>
                        </w14:solidFill>
                      </w14:textFill>
                    </w:rPr>
                    <w:t>-2008）中</w:t>
                  </w:r>
                  <w:r>
                    <w:rPr>
                      <w:rFonts w:hint="eastAsia"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类标准</w:t>
                  </w:r>
                </w:p>
              </w:tc>
            </w:tr>
          </w:tbl>
          <w:p w14:paraId="5372D3F5">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4、固体废物</w:t>
            </w:r>
          </w:p>
          <w:p w14:paraId="2B75996B">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482" w:firstLineChars="200"/>
              <w:textAlignment w:val="auto"/>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4.1一般工业固体废物</w:t>
            </w:r>
          </w:p>
          <w:p w14:paraId="4DCBCACE">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482" w:firstLineChars="200"/>
              <w:textAlignment w:val="auto"/>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4.1.1一般工业固体废物基本情况</w:t>
            </w:r>
          </w:p>
          <w:p w14:paraId="07843651">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本项目</w:t>
            </w:r>
            <w:r>
              <w:rPr>
                <w:rFonts w:hint="eastAsia"/>
                <w:color w:val="000000" w:themeColor="text1"/>
                <w:highlight w:val="none"/>
                <w:lang w:val="en-US" w:eastAsia="zh-CN"/>
                <w14:textFill>
                  <w14:solidFill>
                    <w14:schemeClr w14:val="tx1"/>
                  </w14:solidFill>
                </w14:textFill>
              </w:rPr>
              <w:t>一般固体废物基本情况如下</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4C7C213">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一般</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工业</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固体废物产生量及处置一览表</w:t>
            </w:r>
          </w:p>
          <w:tbl>
            <w:tblPr>
              <w:tblStyle w:val="32"/>
              <w:tblW w:w="775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679"/>
              <w:gridCol w:w="780"/>
              <w:gridCol w:w="870"/>
              <w:gridCol w:w="1050"/>
              <w:gridCol w:w="930"/>
              <w:gridCol w:w="3448"/>
            </w:tblGrid>
            <w:tr w14:paraId="611A620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57" w:hRule="atLeast"/>
                <w:jc w:val="center"/>
              </w:trPr>
              <w:tc>
                <w:tcPr>
                  <w:tcW w:w="679" w:type="dxa"/>
                  <w:tcBorders>
                    <w:tl2br w:val="nil"/>
                    <w:tr2bl w:val="nil"/>
                  </w:tcBorders>
                  <w:noWrap w:val="0"/>
                  <w:vAlign w:val="center"/>
                </w:tcPr>
                <w:p w14:paraId="3E9AA731">
                  <w:pPr>
                    <w:pStyle w:val="15"/>
                    <w:keepNext w:val="0"/>
                    <w:keepLines w:val="0"/>
                    <w:pageBreakBefore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序号</w:t>
                  </w:r>
                </w:p>
              </w:tc>
              <w:tc>
                <w:tcPr>
                  <w:tcW w:w="780" w:type="dxa"/>
                  <w:tcBorders>
                    <w:tl2br w:val="nil"/>
                    <w:tr2bl w:val="nil"/>
                  </w:tcBorders>
                  <w:noWrap w:val="0"/>
                  <w:vAlign w:val="center"/>
                </w:tcPr>
                <w:p w14:paraId="29A7E44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产污环节</w:t>
                  </w:r>
                </w:p>
              </w:tc>
              <w:tc>
                <w:tcPr>
                  <w:tcW w:w="870" w:type="dxa"/>
                  <w:tcBorders>
                    <w:tl2br w:val="nil"/>
                    <w:tr2bl w:val="nil"/>
                  </w:tcBorders>
                  <w:noWrap w:val="0"/>
                  <w:vAlign w:val="center"/>
                </w:tcPr>
                <w:p w14:paraId="65C4960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固废名称</w:t>
                  </w:r>
                </w:p>
              </w:tc>
              <w:tc>
                <w:tcPr>
                  <w:tcW w:w="1050" w:type="dxa"/>
                  <w:tcBorders>
                    <w:tl2br w:val="nil"/>
                    <w:tr2bl w:val="nil"/>
                  </w:tcBorders>
                  <w:noWrap w:val="0"/>
                  <w:vAlign w:val="center"/>
                </w:tcPr>
                <w:p w14:paraId="4ACDD3B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废物代码</w:t>
                  </w:r>
                </w:p>
              </w:tc>
              <w:tc>
                <w:tcPr>
                  <w:tcW w:w="930" w:type="dxa"/>
                  <w:tcBorders>
                    <w:tl2br w:val="nil"/>
                    <w:tr2bl w:val="nil"/>
                  </w:tcBorders>
                  <w:noWrap w:val="0"/>
                  <w:vAlign w:val="center"/>
                </w:tcPr>
                <w:p w14:paraId="488E8F3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产生量（t/a）</w:t>
                  </w:r>
                </w:p>
              </w:tc>
              <w:tc>
                <w:tcPr>
                  <w:tcW w:w="3448" w:type="dxa"/>
                  <w:tcBorders>
                    <w:tl2br w:val="nil"/>
                    <w:tr2bl w:val="nil"/>
                  </w:tcBorders>
                  <w:noWrap w:val="0"/>
                  <w:vAlign w:val="center"/>
                </w:tcPr>
                <w:p w14:paraId="5D732C7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收集、处置方式</w:t>
                  </w:r>
                </w:p>
              </w:tc>
            </w:tr>
            <w:tr w14:paraId="195ACA6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99" w:hRule="atLeast"/>
                <w:jc w:val="center"/>
              </w:trPr>
              <w:tc>
                <w:tcPr>
                  <w:tcW w:w="679" w:type="dxa"/>
                  <w:tcBorders>
                    <w:tl2br w:val="nil"/>
                    <w:tr2bl w:val="nil"/>
                  </w:tcBorders>
                  <w:noWrap w:val="0"/>
                  <w:vAlign w:val="center"/>
                </w:tcPr>
                <w:p w14:paraId="265A06F5">
                  <w:pPr>
                    <w:pStyle w:val="15"/>
                    <w:keepNext w:val="0"/>
                    <w:keepLines w:val="0"/>
                    <w:pageBreakBefore w:val="0"/>
                    <w:numPr>
                      <w:ilvl w:val="0"/>
                      <w:numId w:val="16"/>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eastAsia="宋体"/>
                      <w:color w:val="000000" w:themeColor="text1"/>
                      <w:sz w:val="21"/>
                      <w:szCs w:val="21"/>
                      <w:highlight w:val="none"/>
                      <w:lang w:val="en-US" w:eastAsia="zh-CN"/>
                      <w14:textFill>
                        <w14:solidFill>
                          <w14:schemeClr w14:val="tx1"/>
                        </w14:solidFill>
                      </w14:textFill>
                    </w:rPr>
                  </w:pPr>
                </w:p>
              </w:tc>
              <w:tc>
                <w:tcPr>
                  <w:tcW w:w="780" w:type="dxa"/>
                  <w:vMerge w:val="restart"/>
                  <w:tcBorders>
                    <w:tl2br w:val="nil"/>
                    <w:tr2bl w:val="nil"/>
                  </w:tcBorders>
                  <w:noWrap w:val="0"/>
                  <w:vAlign w:val="center"/>
                </w:tcPr>
                <w:p w14:paraId="303C4176">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布袋除尘器</w:t>
                  </w:r>
                </w:p>
              </w:tc>
              <w:tc>
                <w:tcPr>
                  <w:tcW w:w="870" w:type="dxa"/>
                  <w:tcBorders>
                    <w:tl2br w:val="nil"/>
                    <w:tr2bl w:val="nil"/>
                  </w:tcBorders>
                  <w:shd w:val="clear" w:color="auto" w:fill="auto"/>
                  <w:noWrap w:val="0"/>
                  <w:vAlign w:val="center"/>
                </w:tcPr>
                <w:p w14:paraId="502AAACB">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废布袋</w:t>
                  </w:r>
                </w:p>
              </w:tc>
              <w:tc>
                <w:tcPr>
                  <w:tcW w:w="1050" w:type="dxa"/>
                  <w:tcBorders>
                    <w:tl2br w:val="nil"/>
                    <w:tr2bl w:val="nil"/>
                  </w:tcBorders>
                  <w:noWrap w:val="0"/>
                  <w:vAlign w:val="center"/>
                </w:tcPr>
                <w:p w14:paraId="4A4DBE90">
                  <w:pPr>
                    <w:pStyle w:val="50"/>
                    <w:shd w:val="clear"/>
                    <w:spacing w:line="0" w:lineRule="atLeast"/>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900-009-S59</w:t>
                  </w:r>
                </w:p>
              </w:tc>
              <w:tc>
                <w:tcPr>
                  <w:tcW w:w="930" w:type="dxa"/>
                  <w:tcBorders>
                    <w:tl2br w:val="nil"/>
                    <w:tr2bl w:val="nil"/>
                  </w:tcBorders>
                  <w:noWrap w:val="0"/>
                  <w:vAlign w:val="center"/>
                </w:tcPr>
                <w:p w14:paraId="0158183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0.1</w:t>
                  </w:r>
                </w:p>
              </w:tc>
              <w:tc>
                <w:tcPr>
                  <w:tcW w:w="3448" w:type="dxa"/>
                  <w:tcBorders>
                    <w:tl2br w:val="nil"/>
                    <w:tr2bl w:val="nil"/>
                  </w:tcBorders>
                  <w:noWrap w:val="0"/>
                  <w:vAlign w:val="center"/>
                </w:tcPr>
                <w:p w14:paraId="7D79DF77">
                  <w:pPr>
                    <w:shd w:val="clear"/>
                    <w:spacing w:line="0" w:lineRule="atLeast"/>
                    <w:ind w:left="0" w:leftChars="0" w:right="0" w:rightChars="0" w:firstLine="0" w:firstLineChars="0"/>
                    <w:jc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更换后，直接外售废品回收站</w:t>
                  </w:r>
                </w:p>
              </w:tc>
            </w:tr>
            <w:tr w14:paraId="6308926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9" w:hRule="atLeast"/>
                <w:jc w:val="center"/>
              </w:trPr>
              <w:tc>
                <w:tcPr>
                  <w:tcW w:w="679" w:type="dxa"/>
                  <w:tcBorders>
                    <w:tl2br w:val="nil"/>
                    <w:tr2bl w:val="nil"/>
                  </w:tcBorders>
                  <w:noWrap w:val="0"/>
                  <w:vAlign w:val="center"/>
                </w:tcPr>
                <w:p w14:paraId="7A352279">
                  <w:pPr>
                    <w:keepNext w:val="0"/>
                    <w:keepLines w:val="0"/>
                    <w:pageBreakBefore w:val="0"/>
                    <w:numPr>
                      <w:ilvl w:val="0"/>
                      <w:numId w:val="16"/>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780" w:type="dxa"/>
                  <w:vMerge w:val="continue"/>
                  <w:tcBorders>
                    <w:tl2br w:val="nil"/>
                    <w:tr2bl w:val="nil"/>
                  </w:tcBorders>
                  <w:noWrap w:val="0"/>
                  <w:vAlign w:val="center"/>
                </w:tcPr>
                <w:p w14:paraId="2EBFD1A2">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color w:val="000000" w:themeColor="text1"/>
                      <w:sz w:val="21"/>
                      <w:szCs w:val="21"/>
                      <w:highlight w:val="none"/>
                      <w:lang w:val="en-US" w:eastAsia="zh-CN"/>
                      <w14:textFill>
                        <w14:solidFill>
                          <w14:schemeClr w14:val="tx1"/>
                        </w14:solidFill>
                      </w14:textFill>
                    </w:rPr>
                  </w:pPr>
                </w:p>
              </w:tc>
              <w:tc>
                <w:tcPr>
                  <w:tcW w:w="870" w:type="dxa"/>
                  <w:tcBorders>
                    <w:tl2br w:val="nil"/>
                    <w:tr2bl w:val="nil"/>
                  </w:tcBorders>
                  <w:shd w:val="clear" w:color="auto" w:fill="auto"/>
                  <w:noWrap w:val="0"/>
                  <w:vAlign w:val="center"/>
                </w:tcPr>
                <w:p w14:paraId="65550C26">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除尘灰</w:t>
                  </w:r>
                </w:p>
              </w:tc>
              <w:tc>
                <w:tcPr>
                  <w:tcW w:w="1050" w:type="dxa"/>
                  <w:tcBorders>
                    <w:tl2br w:val="nil"/>
                    <w:tr2bl w:val="nil"/>
                  </w:tcBorders>
                  <w:noWrap w:val="0"/>
                  <w:vAlign w:val="center"/>
                </w:tcPr>
                <w:p w14:paraId="2E682EFB">
                  <w:pPr>
                    <w:pStyle w:val="50"/>
                    <w:shd w:val="clear"/>
                    <w:spacing w:line="0" w:lineRule="atLeast"/>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bidi="ar"/>
                      <w14:textFill>
                        <w14:solidFill>
                          <w14:schemeClr w14:val="tx1"/>
                        </w14:solidFill>
                      </w14:textFill>
                    </w:rPr>
                    <w:t>900-099-S</w:t>
                  </w:r>
                  <w:r>
                    <w:rPr>
                      <w:rFonts w:hint="eastAsia"/>
                      <w:color w:val="000000" w:themeColor="text1"/>
                      <w:sz w:val="21"/>
                      <w:szCs w:val="21"/>
                      <w:highlight w:val="none"/>
                      <w:lang w:val="en-US" w:eastAsia="zh-CN" w:bidi="ar"/>
                      <w14:textFill>
                        <w14:solidFill>
                          <w14:schemeClr w14:val="tx1"/>
                        </w14:solidFill>
                      </w14:textFill>
                    </w:rPr>
                    <w:t>59</w:t>
                  </w:r>
                </w:p>
              </w:tc>
              <w:tc>
                <w:tcPr>
                  <w:tcW w:w="930" w:type="dxa"/>
                  <w:tcBorders>
                    <w:tl2br w:val="nil"/>
                    <w:tr2bl w:val="nil"/>
                  </w:tcBorders>
                  <w:noWrap w:val="0"/>
                  <w:vAlign w:val="center"/>
                </w:tcPr>
                <w:p w14:paraId="4CF55FD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160.787</w:t>
                  </w:r>
                </w:p>
              </w:tc>
              <w:tc>
                <w:tcPr>
                  <w:tcW w:w="3448" w:type="dxa"/>
                  <w:tcBorders>
                    <w:tl2br w:val="nil"/>
                    <w:tr2bl w:val="nil"/>
                  </w:tcBorders>
                  <w:noWrap w:val="0"/>
                  <w:vAlign w:val="center"/>
                </w:tcPr>
                <w:p w14:paraId="49255E9B">
                  <w:pPr>
                    <w:shd w:val="clear"/>
                    <w:spacing w:line="0" w:lineRule="atLeast"/>
                    <w:ind w:left="0" w:leftChars="0" w:right="0" w:rightChars="0" w:firstLine="0" w:firstLineChars="0"/>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eastAsia="zh-CN"/>
                      <w14:textFill>
                        <w14:solidFill>
                          <w14:schemeClr w14:val="tx1"/>
                        </w14:solidFill>
                      </w14:textFill>
                    </w:rPr>
                    <w:t>集中收集，暂存于一般固废暂存间，定期外售水泥厂</w:t>
                  </w:r>
                </w:p>
              </w:tc>
            </w:tr>
            <w:tr w14:paraId="49D0F7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9" w:hRule="atLeast"/>
                <w:jc w:val="center"/>
              </w:trPr>
              <w:tc>
                <w:tcPr>
                  <w:tcW w:w="679" w:type="dxa"/>
                  <w:tcBorders>
                    <w:tl2br w:val="nil"/>
                    <w:tr2bl w:val="nil"/>
                  </w:tcBorders>
                  <w:noWrap w:val="0"/>
                  <w:vAlign w:val="center"/>
                </w:tcPr>
                <w:p w14:paraId="19A44ADF">
                  <w:pPr>
                    <w:keepNext w:val="0"/>
                    <w:keepLines w:val="0"/>
                    <w:pageBreakBefore w:val="0"/>
                    <w:numPr>
                      <w:ilvl w:val="0"/>
                      <w:numId w:val="16"/>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780" w:type="dxa"/>
                  <w:tcBorders>
                    <w:tl2br w:val="nil"/>
                    <w:tr2bl w:val="nil"/>
                  </w:tcBorders>
                  <w:noWrap w:val="0"/>
                  <w:vAlign w:val="center"/>
                </w:tcPr>
                <w:p w14:paraId="7156CF06">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洗车平台</w:t>
                  </w:r>
                </w:p>
              </w:tc>
              <w:tc>
                <w:tcPr>
                  <w:tcW w:w="870" w:type="dxa"/>
                  <w:tcBorders>
                    <w:tl2br w:val="nil"/>
                    <w:tr2bl w:val="nil"/>
                  </w:tcBorders>
                  <w:shd w:val="clear" w:color="auto" w:fill="auto"/>
                  <w:noWrap w:val="0"/>
                  <w:vAlign w:val="center"/>
                </w:tcPr>
                <w:p w14:paraId="5CB0021A">
                  <w:pPr>
                    <w:keepNext w:val="0"/>
                    <w:keepLines w:val="0"/>
                    <w:pageBreakBefore w:val="0"/>
                    <w:widowControl w:val="0"/>
                    <w:suppressLineNumbers w:val="0"/>
                    <w:shd w:val="clear"/>
                    <w:tabs>
                      <w:tab w:val="left" w:pos="2604"/>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沉淀池</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污泥</w:t>
                  </w:r>
                </w:p>
              </w:tc>
              <w:tc>
                <w:tcPr>
                  <w:tcW w:w="1050" w:type="dxa"/>
                  <w:tcBorders>
                    <w:tl2br w:val="nil"/>
                    <w:tr2bl w:val="nil"/>
                  </w:tcBorders>
                  <w:noWrap w:val="0"/>
                  <w:vAlign w:val="center"/>
                </w:tcPr>
                <w:p w14:paraId="314EEF5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bidi="ar"/>
                      <w14:textFill>
                        <w14:solidFill>
                          <w14:schemeClr w14:val="tx1"/>
                        </w14:solidFill>
                      </w14:textFill>
                    </w:rPr>
                    <w:t>900-099-S</w:t>
                  </w:r>
                  <w:r>
                    <w:rPr>
                      <w:rFonts w:hint="eastAsia"/>
                      <w:color w:val="000000" w:themeColor="text1"/>
                      <w:sz w:val="21"/>
                      <w:szCs w:val="21"/>
                      <w:highlight w:val="none"/>
                      <w:lang w:val="en-US" w:eastAsia="zh-CN" w:bidi="ar"/>
                      <w14:textFill>
                        <w14:solidFill>
                          <w14:schemeClr w14:val="tx1"/>
                        </w14:solidFill>
                      </w14:textFill>
                    </w:rPr>
                    <w:t>59</w:t>
                  </w:r>
                </w:p>
              </w:tc>
              <w:tc>
                <w:tcPr>
                  <w:tcW w:w="930" w:type="dxa"/>
                  <w:tcBorders>
                    <w:tl2br w:val="nil"/>
                    <w:tr2bl w:val="nil"/>
                  </w:tcBorders>
                  <w:noWrap w:val="0"/>
                  <w:vAlign w:val="center"/>
                </w:tcPr>
                <w:p w14:paraId="500537B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2.5</w:t>
                  </w:r>
                </w:p>
              </w:tc>
              <w:tc>
                <w:tcPr>
                  <w:tcW w:w="3448" w:type="dxa"/>
                  <w:tcBorders>
                    <w:tl2br w:val="nil"/>
                    <w:tr2bl w:val="nil"/>
                  </w:tcBorders>
                  <w:noWrap w:val="0"/>
                  <w:vAlign w:val="center"/>
                </w:tcPr>
                <w:p w14:paraId="4E67CD02">
                  <w:pPr>
                    <w:shd w:val="clear"/>
                    <w:spacing w:line="0" w:lineRule="atLeast"/>
                    <w:ind w:left="0" w:leftChars="0" w:right="0" w:rightChars="0" w:firstLine="0" w:firstLineChars="0"/>
                    <w:jc w:val="center"/>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定期清理，清理后</w:t>
                  </w:r>
                  <w:r>
                    <w:rPr>
                      <w:rFonts w:hint="eastAsia" w:cs="Times New Roman"/>
                      <w:b w:val="0"/>
                      <w:bCs/>
                      <w:color w:val="000000" w:themeColor="text1"/>
                      <w:sz w:val="21"/>
                      <w:szCs w:val="21"/>
                      <w:highlight w:val="none"/>
                      <w:lang w:val="en-US" w:eastAsia="zh-CN"/>
                      <w14:textFill>
                        <w14:solidFill>
                          <w14:schemeClr w14:val="tx1"/>
                        </w14:solidFill>
                      </w14:textFill>
                    </w:rPr>
                    <w:t>直接外售水泥厂</w:t>
                  </w:r>
                </w:p>
              </w:tc>
            </w:tr>
            <w:tr w14:paraId="47A70E0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89" w:hRule="atLeast"/>
                <w:jc w:val="center"/>
              </w:trPr>
              <w:tc>
                <w:tcPr>
                  <w:tcW w:w="679" w:type="dxa"/>
                  <w:tcBorders>
                    <w:tl2br w:val="nil"/>
                    <w:tr2bl w:val="nil"/>
                  </w:tcBorders>
                  <w:noWrap w:val="0"/>
                  <w:vAlign w:val="center"/>
                </w:tcPr>
                <w:p w14:paraId="286E2009">
                  <w:pPr>
                    <w:keepNext w:val="0"/>
                    <w:keepLines w:val="0"/>
                    <w:pageBreakBefore w:val="0"/>
                    <w:numPr>
                      <w:ilvl w:val="0"/>
                      <w:numId w:val="16"/>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1"/>
                      <w:szCs w:val="21"/>
                      <w:highlight w:val="none"/>
                      <w:lang w:eastAsia="zh-CN"/>
                      <w14:textFill>
                        <w14:solidFill>
                          <w14:schemeClr w14:val="tx1"/>
                        </w14:solidFill>
                      </w14:textFill>
                    </w:rPr>
                  </w:pPr>
                </w:p>
              </w:tc>
              <w:tc>
                <w:tcPr>
                  <w:tcW w:w="780" w:type="dxa"/>
                  <w:tcBorders>
                    <w:tl2br w:val="nil"/>
                    <w:tr2bl w:val="nil"/>
                  </w:tcBorders>
                  <w:noWrap w:val="0"/>
                  <w:vAlign w:val="center"/>
                </w:tcPr>
                <w:p w14:paraId="47D40C7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筛下料</w:t>
                  </w:r>
                </w:p>
              </w:tc>
              <w:tc>
                <w:tcPr>
                  <w:tcW w:w="870" w:type="dxa"/>
                  <w:tcBorders>
                    <w:tl2br w:val="nil"/>
                    <w:tr2bl w:val="nil"/>
                  </w:tcBorders>
                  <w:shd w:val="clear" w:color="auto" w:fill="auto"/>
                  <w:noWrap w:val="0"/>
                  <w:vAlign w:val="center"/>
                </w:tcPr>
                <w:p w14:paraId="69D3DFA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土渣</w:t>
                  </w:r>
                </w:p>
              </w:tc>
              <w:tc>
                <w:tcPr>
                  <w:tcW w:w="1050" w:type="dxa"/>
                  <w:tcBorders>
                    <w:tl2br w:val="nil"/>
                    <w:tr2bl w:val="nil"/>
                  </w:tcBorders>
                  <w:noWrap w:val="0"/>
                  <w:vAlign w:val="center"/>
                </w:tcPr>
                <w:p w14:paraId="23DD89D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bidi="ar"/>
                      <w14:textFill>
                        <w14:solidFill>
                          <w14:schemeClr w14:val="tx1"/>
                        </w14:solidFill>
                      </w14:textFill>
                    </w:rPr>
                    <w:t>900-099-S</w:t>
                  </w:r>
                  <w:r>
                    <w:rPr>
                      <w:rFonts w:hint="eastAsia"/>
                      <w:color w:val="000000" w:themeColor="text1"/>
                      <w:sz w:val="21"/>
                      <w:szCs w:val="21"/>
                      <w:highlight w:val="none"/>
                      <w:lang w:val="en-US" w:eastAsia="zh-CN" w:bidi="ar"/>
                      <w14:textFill>
                        <w14:solidFill>
                          <w14:schemeClr w14:val="tx1"/>
                        </w14:solidFill>
                      </w14:textFill>
                    </w:rPr>
                    <w:t>59</w:t>
                  </w:r>
                </w:p>
              </w:tc>
              <w:tc>
                <w:tcPr>
                  <w:tcW w:w="930" w:type="dxa"/>
                  <w:tcBorders>
                    <w:tl2br w:val="nil"/>
                    <w:tr2bl w:val="nil"/>
                  </w:tcBorders>
                  <w:noWrap w:val="0"/>
                  <w:vAlign w:val="center"/>
                </w:tcPr>
                <w:p w14:paraId="0E49E44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29837.555</w:t>
                  </w:r>
                </w:p>
              </w:tc>
              <w:tc>
                <w:tcPr>
                  <w:tcW w:w="3448" w:type="dxa"/>
                  <w:tcBorders>
                    <w:tl2br w:val="nil"/>
                    <w:tr2bl w:val="nil"/>
                  </w:tcBorders>
                  <w:noWrap w:val="0"/>
                  <w:vAlign w:val="center"/>
                </w:tcPr>
                <w:p w14:paraId="4406D9C5">
                  <w:pPr>
                    <w:shd w:val="clear"/>
                    <w:spacing w:line="0" w:lineRule="atLeast"/>
                    <w:ind w:left="0" w:leftChars="0" w:right="0" w:rightChars="0" w:firstLine="0" w:firstLineChars="0"/>
                    <w:jc w:val="center"/>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土渣暂存于预处理车间土渣储存区，定期外售水泥厂</w:t>
                  </w:r>
                </w:p>
              </w:tc>
            </w:tr>
          </w:tbl>
          <w:p w14:paraId="2859FF75">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一般固体废物收集及存储：</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布袋除尘器产生的废布袋，</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更换后，直接外售废品回收站</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除尘灰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集中</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收集</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，暂存于</w:t>
            </w:r>
            <w:r>
              <w:rPr>
                <w:rFonts w:hint="eastAsia" w:cs="Times New Roman"/>
                <w:color w:val="000000" w:themeColor="text1"/>
                <w:kern w:val="0"/>
                <w:sz w:val="24"/>
                <w:szCs w:val="24"/>
                <w:highlight w:val="none"/>
                <w:lang w:val="en-US" w:eastAsia="zh-CN" w:bidi="ar"/>
                <w14:textFill>
                  <w14:solidFill>
                    <w14:schemeClr w14:val="tx1"/>
                  </w14:solidFill>
                </w14:textFill>
              </w:rPr>
              <w:t>现有工程</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一般固废暂存间</w:t>
            </w:r>
            <w:r>
              <w:rPr>
                <w:rFonts w:hint="eastAsia" w:cs="Times New Roman"/>
                <w:color w:val="000000" w:themeColor="text1"/>
                <w:kern w:val="0"/>
                <w:sz w:val="24"/>
                <w:szCs w:val="24"/>
                <w:highlight w:val="none"/>
                <w:lang w:val="en-US" w:eastAsia="zh-CN" w:bidi="ar"/>
                <w14:textFill>
                  <w14:solidFill>
                    <w14:schemeClr w14:val="tx1"/>
                  </w14:solidFill>
                </w14:textFill>
              </w:rPr>
              <w:t>（建筑面积810m</w:t>
            </w:r>
            <w:r>
              <w:rPr>
                <w:rFonts w:hint="eastAsia"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，定期外售水泥厂；沉淀池污泥定期清理，清理后</w:t>
            </w:r>
            <w:r>
              <w:rPr>
                <w:rFonts w:hint="eastAsia" w:cs="Times New Roman"/>
                <w:color w:val="000000" w:themeColor="text1"/>
                <w:kern w:val="0"/>
                <w:sz w:val="24"/>
                <w:szCs w:val="24"/>
                <w:highlight w:val="none"/>
                <w:lang w:val="en-US" w:eastAsia="zh-CN" w:bidi="ar"/>
                <w14:textFill>
                  <w14:solidFill>
                    <w14:schemeClr w14:val="tx1"/>
                  </w14:solidFill>
                </w14:textFill>
              </w:rPr>
              <w:t>直接外售水泥厂</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；土渣暂存于预处理车间土渣储存区，定期外售水泥厂。</w:t>
            </w:r>
          </w:p>
          <w:p w14:paraId="308C84D7">
            <w:pPr>
              <w:pStyle w:val="65"/>
              <w:keepNext w:val="0"/>
              <w:keepLines w:val="0"/>
              <w:pageBreakBefore w:val="0"/>
              <w:shd w:val="clear"/>
              <w:kinsoku/>
              <w:wordWrap/>
              <w:overflowPunct/>
              <w:topLinePunct w:val="0"/>
              <w:autoSpaceDE/>
              <w:autoSpaceDN/>
              <w:bidi w:val="0"/>
              <w:snapToGrid w:val="0"/>
              <w:spacing w:line="478" w:lineRule="exact"/>
              <w:ind w:firstLine="480" w:firstLineChars="200"/>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本次技改完成后，全厂一般固体废物种类、产生量变化情况如下：</w:t>
            </w:r>
          </w:p>
          <w:p w14:paraId="5180A10B">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本次技改后全厂一般废物变化情况（单位：t/a）</w:t>
            </w:r>
          </w:p>
          <w:tbl>
            <w:tblPr>
              <w:tblStyle w:val="33"/>
              <w:tblW w:w="779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01"/>
              <w:gridCol w:w="2418"/>
              <w:gridCol w:w="1520"/>
              <w:gridCol w:w="1761"/>
              <w:gridCol w:w="1298"/>
            </w:tblGrid>
            <w:tr w14:paraId="29A1062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19" w:hRule="atLeast"/>
                <w:jc w:val="center"/>
              </w:trPr>
              <w:tc>
                <w:tcPr>
                  <w:tcW w:w="801" w:type="dxa"/>
                  <w:vMerge w:val="restart"/>
                  <w:tcBorders>
                    <w:tl2br w:val="nil"/>
                    <w:tr2bl w:val="nil"/>
                  </w:tcBorders>
                  <w:vAlign w:val="center"/>
                </w:tcPr>
                <w:p w14:paraId="42FC5754">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序号</w:t>
                  </w:r>
                </w:p>
              </w:tc>
              <w:tc>
                <w:tcPr>
                  <w:tcW w:w="2418" w:type="dxa"/>
                  <w:vMerge w:val="restart"/>
                  <w:tcBorders>
                    <w:tl2br w:val="nil"/>
                    <w:tr2bl w:val="nil"/>
                  </w:tcBorders>
                  <w:vAlign w:val="center"/>
                </w:tcPr>
                <w:p w14:paraId="6BC0A66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名称</w:t>
                  </w:r>
                </w:p>
              </w:tc>
              <w:tc>
                <w:tcPr>
                  <w:tcW w:w="3281" w:type="dxa"/>
                  <w:gridSpan w:val="2"/>
                  <w:tcBorders>
                    <w:tl2br w:val="nil"/>
                    <w:tr2bl w:val="nil"/>
                  </w:tcBorders>
                  <w:vAlign w:val="center"/>
                </w:tcPr>
                <w:p w14:paraId="342BA0C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产生量</w:t>
                  </w:r>
                </w:p>
              </w:tc>
              <w:tc>
                <w:tcPr>
                  <w:tcW w:w="1298" w:type="dxa"/>
                  <w:vMerge w:val="restart"/>
                  <w:tcBorders>
                    <w:tl2br w:val="nil"/>
                    <w:tr2bl w:val="nil"/>
                  </w:tcBorders>
                  <w:vAlign w:val="center"/>
                </w:tcPr>
                <w:p w14:paraId="02CCA4B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增减量</w:t>
                  </w:r>
                </w:p>
              </w:tc>
            </w:tr>
            <w:tr w14:paraId="4AEA3CB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vMerge w:val="continue"/>
                  <w:tcBorders>
                    <w:tl2br w:val="nil"/>
                    <w:tr2bl w:val="nil"/>
                  </w:tcBorders>
                  <w:vAlign w:val="center"/>
                </w:tcPr>
                <w:p w14:paraId="758B521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p>
              </w:tc>
              <w:tc>
                <w:tcPr>
                  <w:tcW w:w="2418" w:type="dxa"/>
                  <w:vMerge w:val="continue"/>
                  <w:tcBorders>
                    <w:tl2br w:val="nil"/>
                    <w:tr2bl w:val="nil"/>
                  </w:tcBorders>
                  <w:vAlign w:val="center"/>
                </w:tcPr>
                <w:p w14:paraId="54156CAB">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p>
              </w:tc>
              <w:tc>
                <w:tcPr>
                  <w:tcW w:w="1520" w:type="dxa"/>
                  <w:tcBorders>
                    <w:tl2br w:val="nil"/>
                    <w:tr2bl w:val="nil"/>
                  </w:tcBorders>
                  <w:shd w:val="clear" w:color="auto" w:fill="auto"/>
                  <w:vAlign w:val="center"/>
                </w:tcPr>
                <w:p w14:paraId="1C4F8BD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现有工程</w:t>
                  </w:r>
                </w:p>
              </w:tc>
              <w:tc>
                <w:tcPr>
                  <w:tcW w:w="1761" w:type="dxa"/>
                  <w:tcBorders>
                    <w:tl2br w:val="nil"/>
                    <w:tr2bl w:val="nil"/>
                  </w:tcBorders>
                  <w:shd w:val="clear" w:color="auto" w:fill="auto"/>
                  <w:vAlign w:val="center"/>
                </w:tcPr>
                <w:p w14:paraId="715212F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本次技改完毕</w:t>
                  </w:r>
                </w:p>
              </w:tc>
              <w:tc>
                <w:tcPr>
                  <w:tcW w:w="1298" w:type="dxa"/>
                  <w:vMerge w:val="continue"/>
                  <w:tcBorders>
                    <w:tl2br w:val="nil"/>
                    <w:tr2bl w:val="nil"/>
                  </w:tcBorders>
                  <w:shd w:val="clear" w:color="auto" w:fill="auto"/>
                  <w:vAlign w:val="center"/>
                </w:tcPr>
                <w:p w14:paraId="7C57203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p>
              </w:tc>
            </w:tr>
            <w:tr w14:paraId="067CB2E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6C07071E">
                  <w:pPr>
                    <w:pStyle w:val="15"/>
                    <w:keepNext w:val="0"/>
                    <w:keepLines w:val="0"/>
                    <w:pageBreakBefore w:val="0"/>
                    <w:widowControl w:val="0"/>
                    <w:numPr>
                      <w:ilvl w:val="0"/>
                      <w:numId w:val="17"/>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p>
              </w:tc>
              <w:tc>
                <w:tcPr>
                  <w:tcW w:w="2418" w:type="dxa"/>
                  <w:tcBorders>
                    <w:tl2br w:val="nil"/>
                    <w:tr2bl w:val="nil"/>
                  </w:tcBorders>
                  <w:vAlign w:val="center"/>
                </w:tcPr>
                <w:p w14:paraId="62FF96C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尾矿砂</w:t>
                  </w:r>
                </w:p>
              </w:tc>
              <w:tc>
                <w:tcPr>
                  <w:tcW w:w="1520" w:type="dxa"/>
                  <w:tcBorders>
                    <w:tl2br w:val="nil"/>
                    <w:tr2bl w:val="nil"/>
                  </w:tcBorders>
                  <w:vAlign w:val="center"/>
                </w:tcPr>
                <w:p w14:paraId="77DF4AB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19802.24</w:t>
                  </w:r>
                </w:p>
              </w:tc>
              <w:tc>
                <w:tcPr>
                  <w:tcW w:w="1761" w:type="dxa"/>
                  <w:tcBorders>
                    <w:tl2br w:val="nil"/>
                    <w:tr2bl w:val="nil"/>
                  </w:tcBorders>
                  <w:vAlign w:val="center"/>
                </w:tcPr>
                <w:p w14:paraId="0A5458BD">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19802.24</w:t>
                  </w:r>
                </w:p>
              </w:tc>
              <w:tc>
                <w:tcPr>
                  <w:tcW w:w="1298" w:type="dxa"/>
                  <w:tcBorders>
                    <w:tl2br w:val="nil"/>
                    <w:tr2bl w:val="nil"/>
                  </w:tcBorders>
                  <w:vAlign w:val="center"/>
                </w:tcPr>
                <w:p w14:paraId="2D89453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w:t>
                  </w:r>
                </w:p>
              </w:tc>
            </w:tr>
            <w:tr w14:paraId="1A19EE0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43BB912A">
                  <w:pPr>
                    <w:pStyle w:val="15"/>
                    <w:keepNext w:val="0"/>
                    <w:keepLines w:val="0"/>
                    <w:pageBreakBefore w:val="0"/>
                    <w:widowControl w:val="0"/>
                    <w:numPr>
                      <w:ilvl w:val="0"/>
                      <w:numId w:val="17"/>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p>
              </w:tc>
              <w:tc>
                <w:tcPr>
                  <w:tcW w:w="2418" w:type="dxa"/>
                  <w:tcBorders>
                    <w:tl2br w:val="nil"/>
                    <w:tr2bl w:val="nil"/>
                  </w:tcBorders>
                  <w:vAlign w:val="center"/>
                </w:tcPr>
                <w:p w14:paraId="65000C62">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除尘灰</w:t>
                  </w:r>
                </w:p>
              </w:tc>
              <w:tc>
                <w:tcPr>
                  <w:tcW w:w="1520" w:type="dxa"/>
                  <w:tcBorders>
                    <w:tl2br w:val="nil"/>
                    <w:tr2bl w:val="nil"/>
                  </w:tcBorders>
                  <w:vAlign w:val="center"/>
                </w:tcPr>
                <w:p w14:paraId="66429270">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77.2</w:t>
                  </w:r>
                </w:p>
              </w:tc>
              <w:tc>
                <w:tcPr>
                  <w:tcW w:w="1761" w:type="dxa"/>
                  <w:tcBorders>
                    <w:tl2br w:val="nil"/>
                    <w:tr2bl w:val="nil"/>
                  </w:tcBorders>
                  <w:vAlign w:val="center"/>
                </w:tcPr>
                <w:p w14:paraId="01183B5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218.587</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①</w:t>
                  </w:r>
                </w:p>
              </w:tc>
              <w:tc>
                <w:tcPr>
                  <w:tcW w:w="1298" w:type="dxa"/>
                  <w:tcBorders>
                    <w:tl2br w:val="nil"/>
                    <w:tr2bl w:val="nil"/>
                  </w:tcBorders>
                  <w:vAlign w:val="center"/>
                </w:tcPr>
                <w:p w14:paraId="689CF8B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eastAsia" w:cs="Times New Roman"/>
                      <w:color w:val="000000" w:themeColor="text1"/>
                      <w:kern w:val="2"/>
                      <w:sz w:val="21"/>
                      <w:szCs w:val="21"/>
                      <w:highlight w:val="none"/>
                      <w:lang w:val="en-US" w:eastAsia="zh-CN" w:bidi="ar-SA"/>
                      <w14:textFill>
                        <w14:solidFill>
                          <w14:schemeClr w14:val="tx1"/>
                        </w14:solidFill>
                      </w14:textFill>
                    </w:rPr>
                    <w:t>141.387</w:t>
                  </w:r>
                </w:p>
              </w:tc>
            </w:tr>
            <w:tr w14:paraId="6A475DF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141D7139">
                  <w:pPr>
                    <w:pStyle w:val="15"/>
                    <w:keepNext w:val="0"/>
                    <w:keepLines w:val="0"/>
                    <w:pageBreakBefore w:val="0"/>
                    <w:widowControl w:val="0"/>
                    <w:numPr>
                      <w:ilvl w:val="0"/>
                      <w:numId w:val="17"/>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p>
              </w:tc>
              <w:tc>
                <w:tcPr>
                  <w:tcW w:w="2418" w:type="dxa"/>
                  <w:tcBorders>
                    <w:tl2br w:val="nil"/>
                    <w:tr2bl w:val="nil"/>
                  </w:tcBorders>
                  <w:vAlign w:val="center"/>
                </w:tcPr>
                <w:p w14:paraId="35023FB4">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洗车平台污泥</w:t>
                  </w:r>
                </w:p>
              </w:tc>
              <w:tc>
                <w:tcPr>
                  <w:tcW w:w="1520" w:type="dxa"/>
                  <w:tcBorders>
                    <w:tl2br w:val="nil"/>
                    <w:tr2bl w:val="nil"/>
                  </w:tcBorders>
                  <w:vAlign w:val="center"/>
                </w:tcPr>
                <w:p w14:paraId="7AF53C8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10</w:t>
                  </w:r>
                </w:p>
              </w:tc>
              <w:tc>
                <w:tcPr>
                  <w:tcW w:w="1761" w:type="dxa"/>
                  <w:tcBorders>
                    <w:tl2br w:val="nil"/>
                    <w:tr2bl w:val="nil"/>
                  </w:tcBorders>
                  <w:vAlign w:val="center"/>
                </w:tcPr>
                <w:p w14:paraId="259CE6AC">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12.5</w:t>
                  </w:r>
                </w:p>
              </w:tc>
              <w:tc>
                <w:tcPr>
                  <w:tcW w:w="1298" w:type="dxa"/>
                  <w:tcBorders>
                    <w:tl2br w:val="nil"/>
                    <w:tr2bl w:val="nil"/>
                  </w:tcBorders>
                  <w:vAlign w:val="center"/>
                </w:tcPr>
                <w:p w14:paraId="3CE9E0D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+2.5</w:t>
                  </w:r>
                </w:p>
              </w:tc>
            </w:tr>
            <w:tr w14:paraId="4BC7655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53CD2F2B">
                  <w:pPr>
                    <w:pStyle w:val="15"/>
                    <w:keepNext w:val="0"/>
                    <w:keepLines w:val="0"/>
                    <w:pageBreakBefore w:val="0"/>
                    <w:widowControl w:val="0"/>
                    <w:numPr>
                      <w:ilvl w:val="0"/>
                      <w:numId w:val="17"/>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p>
              </w:tc>
              <w:tc>
                <w:tcPr>
                  <w:tcW w:w="2418" w:type="dxa"/>
                  <w:tcBorders>
                    <w:tl2br w:val="nil"/>
                    <w:tr2bl w:val="nil"/>
                  </w:tcBorders>
                  <w:vAlign w:val="center"/>
                </w:tcPr>
                <w:p w14:paraId="464B706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废布袋</w:t>
                  </w:r>
                </w:p>
              </w:tc>
              <w:tc>
                <w:tcPr>
                  <w:tcW w:w="1520" w:type="dxa"/>
                  <w:tcBorders>
                    <w:tl2br w:val="nil"/>
                    <w:tr2bl w:val="nil"/>
                  </w:tcBorders>
                  <w:vAlign w:val="center"/>
                </w:tcPr>
                <w:p w14:paraId="44D5510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0.1</w:t>
                  </w:r>
                </w:p>
              </w:tc>
              <w:tc>
                <w:tcPr>
                  <w:tcW w:w="1761" w:type="dxa"/>
                  <w:tcBorders>
                    <w:tl2br w:val="nil"/>
                    <w:tr2bl w:val="nil"/>
                  </w:tcBorders>
                  <w:vAlign w:val="center"/>
                </w:tcPr>
                <w:p w14:paraId="33CE394B">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0.2</w:t>
                  </w:r>
                </w:p>
              </w:tc>
              <w:tc>
                <w:tcPr>
                  <w:tcW w:w="1298" w:type="dxa"/>
                  <w:tcBorders>
                    <w:tl2br w:val="nil"/>
                    <w:tr2bl w:val="nil"/>
                  </w:tcBorders>
                  <w:vAlign w:val="center"/>
                </w:tcPr>
                <w:p w14:paraId="42A1B50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+0.1</w:t>
                  </w:r>
                </w:p>
              </w:tc>
            </w:tr>
            <w:tr w14:paraId="5EC53D3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5" w:hRule="atLeast"/>
                <w:jc w:val="center"/>
              </w:trPr>
              <w:tc>
                <w:tcPr>
                  <w:tcW w:w="801" w:type="dxa"/>
                  <w:tcBorders>
                    <w:tl2br w:val="nil"/>
                    <w:tr2bl w:val="nil"/>
                  </w:tcBorders>
                  <w:vAlign w:val="center"/>
                </w:tcPr>
                <w:p w14:paraId="32251B1C">
                  <w:pPr>
                    <w:pStyle w:val="15"/>
                    <w:keepNext w:val="0"/>
                    <w:keepLines w:val="0"/>
                    <w:pageBreakBefore w:val="0"/>
                    <w:widowControl w:val="0"/>
                    <w:numPr>
                      <w:ilvl w:val="0"/>
                      <w:numId w:val="17"/>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p>
              </w:tc>
              <w:tc>
                <w:tcPr>
                  <w:tcW w:w="2418" w:type="dxa"/>
                  <w:tcBorders>
                    <w:tl2br w:val="nil"/>
                    <w:tr2bl w:val="nil"/>
                  </w:tcBorders>
                  <w:shd w:val="clear" w:color="auto" w:fill="auto"/>
                  <w:vAlign w:val="center"/>
                </w:tcPr>
                <w:p w14:paraId="2F6EA7FB">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铁精粉</w:t>
                  </w:r>
                </w:p>
              </w:tc>
              <w:tc>
                <w:tcPr>
                  <w:tcW w:w="1520" w:type="dxa"/>
                  <w:tcBorders>
                    <w:tl2br w:val="nil"/>
                    <w:tr2bl w:val="nil"/>
                  </w:tcBorders>
                  <w:shd w:val="clear" w:color="auto" w:fill="auto"/>
                  <w:vAlign w:val="center"/>
                </w:tcPr>
                <w:p w14:paraId="3DBFCD43">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120</w:t>
                  </w:r>
                </w:p>
              </w:tc>
              <w:tc>
                <w:tcPr>
                  <w:tcW w:w="1761" w:type="dxa"/>
                  <w:tcBorders>
                    <w:tl2br w:val="nil"/>
                    <w:tr2bl w:val="nil"/>
                  </w:tcBorders>
                  <w:vAlign w:val="center"/>
                </w:tcPr>
                <w:p w14:paraId="332373E4">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120</w:t>
                  </w:r>
                </w:p>
              </w:tc>
              <w:tc>
                <w:tcPr>
                  <w:tcW w:w="1298" w:type="dxa"/>
                  <w:tcBorders>
                    <w:tl2br w:val="nil"/>
                    <w:tr2bl w:val="nil"/>
                  </w:tcBorders>
                  <w:vAlign w:val="center"/>
                </w:tcPr>
                <w:p w14:paraId="0CD39D5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w:t>
                  </w:r>
                </w:p>
              </w:tc>
            </w:tr>
            <w:tr w14:paraId="0A1397C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1" w:hRule="atLeast"/>
                <w:jc w:val="center"/>
              </w:trPr>
              <w:tc>
                <w:tcPr>
                  <w:tcW w:w="801" w:type="dxa"/>
                  <w:tcBorders>
                    <w:tl2br w:val="nil"/>
                    <w:tr2bl w:val="nil"/>
                  </w:tcBorders>
                  <w:vAlign w:val="center"/>
                </w:tcPr>
                <w:p w14:paraId="1FE2C260">
                  <w:pPr>
                    <w:pStyle w:val="15"/>
                    <w:keepNext w:val="0"/>
                    <w:keepLines w:val="0"/>
                    <w:pageBreakBefore w:val="0"/>
                    <w:widowControl w:val="0"/>
                    <w:numPr>
                      <w:ilvl w:val="0"/>
                      <w:numId w:val="17"/>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p>
              </w:tc>
              <w:tc>
                <w:tcPr>
                  <w:tcW w:w="2418" w:type="dxa"/>
                  <w:tcBorders>
                    <w:tl2br w:val="nil"/>
                    <w:tr2bl w:val="nil"/>
                  </w:tcBorders>
                  <w:shd w:val="clear" w:color="auto" w:fill="auto"/>
                  <w:vAlign w:val="center"/>
                </w:tcPr>
                <w:p w14:paraId="53CF4A9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土渣</w:t>
                  </w:r>
                </w:p>
              </w:tc>
              <w:tc>
                <w:tcPr>
                  <w:tcW w:w="1520" w:type="dxa"/>
                  <w:tcBorders>
                    <w:tl2br w:val="nil"/>
                    <w:tr2bl w:val="nil"/>
                  </w:tcBorders>
                  <w:shd w:val="clear" w:color="auto" w:fill="auto"/>
                  <w:vAlign w:val="center"/>
                </w:tcPr>
                <w:p w14:paraId="29F9D979">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w:t>
                  </w:r>
                </w:p>
              </w:tc>
              <w:tc>
                <w:tcPr>
                  <w:tcW w:w="1761" w:type="dxa"/>
                  <w:tcBorders>
                    <w:tl2br w:val="nil"/>
                    <w:tr2bl w:val="nil"/>
                  </w:tcBorders>
                  <w:vAlign w:val="center"/>
                </w:tcPr>
                <w:p w14:paraId="4E6A0AE8">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29837.555</w:t>
                  </w:r>
                </w:p>
              </w:tc>
              <w:tc>
                <w:tcPr>
                  <w:tcW w:w="1298" w:type="dxa"/>
                  <w:tcBorders>
                    <w:tl2br w:val="nil"/>
                    <w:tr2bl w:val="nil"/>
                  </w:tcBorders>
                  <w:vAlign w:val="center"/>
                </w:tcPr>
                <w:p w14:paraId="073BF5A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eastAsia"/>
                      <w:color w:val="000000" w:themeColor="text1"/>
                      <w:sz w:val="21"/>
                      <w:szCs w:val="21"/>
                      <w:highlight w:val="none"/>
                      <w:vertAlign w:val="baseline"/>
                      <w:lang w:val="en-US" w:eastAsia="zh-CN"/>
                      <w14:textFill>
                        <w14:solidFill>
                          <w14:schemeClr w14:val="tx1"/>
                        </w14:solidFill>
                      </w14:textFill>
                    </w:rPr>
                    <w:t>29837.555</w:t>
                  </w:r>
                </w:p>
              </w:tc>
            </w:tr>
            <w:tr w14:paraId="271A184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41" w:hRule="atLeast"/>
                <w:jc w:val="center"/>
              </w:trPr>
              <w:tc>
                <w:tcPr>
                  <w:tcW w:w="7798" w:type="dxa"/>
                  <w:gridSpan w:val="5"/>
                  <w:tcBorders>
                    <w:tl2br w:val="nil"/>
                    <w:tr2bl w:val="nil"/>
                  </w:tcBorders>
                  <w:vAlign w:val="center"/>
                </w:tcPr>
                <w:p w14:paraId="674F560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both"/>
                    <w:textAlignment w:val="center"/>
                    <w:rPr>
                      <w:rFonts w:hint="default"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①备注：本次技改完成后，现有工程有组织废气产生量有所减少，因此，除尘灰相应减少，现有工程有组织排放量减少</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0.097t/a</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，除尘灰相应减少19.4t/a，本次技改完成后，除尘灰全厂年产生量=77.2-19.4+160.787=218.587t/a</w:t>
                  </w:r>
                </w:p>
              </w:tc>
            </w:tr>
          </w:tbl>
          <w:p w14:paraId="5ED20198">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4.1.2一般工业固体废物管理措施</w:t>
            </w:r>
          </w:p>
          <w:p w14:paraId="68037818">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⑴</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采用库房、包装工具（罐、桶、包装袋等）贮存一般工业固体废物的，贮存过程应满足相应防渗漏、防雨淋、防扬尘等环境保护要求；</w:t>
            </w:r>
          </w:p>
          <w:p w14:paraId="53FAD6F7">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⑵危险废物和生活垃圾不得进入一般工业固体废物贮存场及填埋场；</w:t>
            </w:r>
          </w:p>
          <w:p w14:paraId="0D451B4B">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⑶不相容的一般工业固体废物应设置不同的分区进行贮存和填埋作业；</w:t>
            </w:r>
          </w:p>
          <w:p w14:paraId="0657ABBB">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⑷贮存场应设置清晰、完整的一般工业固体废物标志牌等。</w:t>
            </w:r>
          </w:p>
          <w:p w14:paraId="5EAF3E30">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⑸排污单位生产运营期间一般工业固体废物自行贮存/利用/处置设施的环境管理和相关设施运行维护要求还应符合GB15562.2、GB18599、GB30485和HJ2035等相关标准规范要求。</w:t>
            </w:r>
          </w:p>
          <w:p w14:paraId="596226E6">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right="0" w:rightChars="0"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现有工程一般固废储存间符合要求，</w:t>
            </w:r>
            <w:r>
              <w:rPr>
                <w:rFonts w:hint="eastAsia"/>
                <w:color w:val="000000" w:themeColor="text1"/>
                <w:highlight w:val="none"/>
                <w:lang w:val="en-US" w:eastAsia="zh-CN"/>
                <w14:textFill>
                  <w14:solidFill>
                    <w14:schemeClr w14:val="tx1"/>
                  </w14:solidFill>
                </w14:textFill>
              </w:rPr>
              <w:t>因此，本项目依托</w:t>
            </w:r>
            <w:r>
              <w:rPr>
                <w:rFonts w:hint="eastAsia" w:cs="Times New Roman"/>
                <w:color w:val="000000" w:themeColor="text1"/>
                <w:sz w:val="24"/>
                <w:szCs w:val="24"/>
                <w:highlight w:val="none"/>
                <w:lang w:val="en-US" w:eastAsia="zh-CN"/>
                <w14:textFill>
                  <w14:solidFill>
                    <w14:schemeClr w14:val="tx1"/>
                  </w14:solidFill>
                </w14:textFill>
              </w:rPr>
              <w:t>现有工程一般固废暂存间可行。本项目产生的土渣暂存于</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预处理车间土渣储存区</w:t>
            </w:r>
            <w:r>
              <w:rPr>
                <w:rFonts w:hint="eastAsia" w:cs="Times New Roman"/>
                <w:color w:val="000000" w:themeColor="text1"/>
                <w:kern w:val="0"/>
                <w:sz w:val="24"/>
                <w:szCs w:val="24"/>
                <w:highlight w:val="none"/>
                <w:lang w:val="en-US" w:eastAsia="zh-CN" w:bidi="ar"/>
                <w14:textFill>
                  <w14:solidFill>
                    <w14:schemeClr w14:val="tx1"/>
                  </w14:solidFill>
                </w14:textFill>
              </w:rPr>
              <w:t>，该区域满足</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一</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般工业固体废物管理措施</w:t>
            </w:r>
            <w:r>
              <w:rPr>
                <w:rFonts w:hint="eastAsia" w:cs="Times New Roman"/>
                <w:b w:val="0"/>
                <w:bCs w:val="0"/>
                <w:color w:val="000000" w:themeColor="text1"/>
                <w:sz w:val="24"/>
                <w:szCs w:val="24"/>
                <w:highlight w:val="none"/>
                <w:lang w:val="en-US" w:eastAsia="zh-CN"/>
                <w14:textFill>
                  <w14:solidFill>
                    <w14:schemeClr w14:val="tx1"/>
                  </w14:solidFill>
                </w14:textFill>
              </w:rPr>
              <w:t>要求。</w:t>
            </w:r>
          </w:p>
          <w:p w14:paraId="714DFD11">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Chars="0"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eastAsia"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危险废物</w:t>
            </w:r>
          </w:p>
          <w:p w14:paraId="7D8EB6EA">
            <w:pPr>
              <w:keepNext w:val="0"/>
              <w:keepLines w:val="0"/>
              <w:pageBreakBefore w:val="0"/>
              <w:widowControl w:val="0"/>
              <w:shd w:val="clear"/>
              <w:kinsoku/>
              <w:wordWrap/>
              <w:overflowPunct/>
              <w:topLinePunct w:val="0"/>
              <w:autoSpaceDE/>
              <w:autoSpaceDN/>
              <w:bidi w:val="0"/>
              <w:adjustRightInd/>
              <w:snapToGrid/>
              <w:spacing w:line="480" w:lineRule="exact"/>
              <w:ind w:leftChars="0"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eastAsia"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危险废物基本情况</w:t>
            </w:r>
          </w:p>
          <w:p w14:paraId="20B4EF32">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根据《国家危险废物名录（202</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年版）》中的规定</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本项目产生的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危险废物类别、代码、产生量及收集、处置方式见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表。</w:t>
            </w:r>
          </w:p>
          <w:p w14:paraId="5A05F9E9">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本项目</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危险废物类别、代码、产生量及收集、处置一览表</w:t>
            </w:r>
          </w:p>
          <w:tbl>
            <w:tblPr>
              <w:tblStyle w:val="32"/>
              <w:tblW w:w="781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411"/>
              <w:gridCol w:w="1115"/>
              <w:gridCol w:w="650"/>
              <w:gridCol w:w="680"/>
              <w:gridCol w:w="634"/>
              <w:gridCol w:w="662"/>
              <w:gridCol w:w="604"/>
              <w:gridCol w:w="665"/>
              <w:gridCol w:w="618"/>
              <w:gridCol w:w="623"/>
              <w:gridCol w:w="1155"/>
            </w:tblGrid>
            <w:tr w14:paraId="2AAA649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16" w:hRule="atLeast"/>
                <w:jc w:val="center"/>
              </w:trPr>
              <w:tc>
                <w:tcPr>
                  <w:tcW w:w="411" w:type="dxa"/>
                  <w:tcBorders>
                    <w:tl2br w:val="nil"/>
                    <w:tr2bl w:val="nil"/>
                  </w:tcBorders>
                  <w:noWrap w:val="0"/>
                  <w:vAlign w:val="center"/>
                </w:tcPr>
                <w:p w14:paraId="784F1539">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序号</w:t>
                  </w:r>
                </w:p>
              </w:tc>
              <w:tc>
                <w:tcPr>
                  <w:tcW w:w="1115" w:type="dxa"/>
                  <w:tcBorders>
                    <w:tl2br w:val="nil"/>
                    <w:tr2bl w:val="nil"/>
                  </w:tcBorders>
                  <w:noWrap w:val="0"/>
                  <w:vAlign w:val="center"/>
                </w:tcPr>
                <w:p w14:paraId="009FD209">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危险废物名称</w:t>
                  </w:r>
                </w:p>
              </w:tc>
              <w:tc>
                <w:tcPr>
                  <w:tcW w:w="650" w:type="dxa"/>
                  <w:tcBorders>
                    <w:tl2br w:val="nil"/>
                    <w:tr2bl w:val="nil"/>
                  </w:tcBorders>
                  <w:noWrap w:val="0"/>
                  <w:vAlign w:val="center"/>
                </w:tcPr>
                <w:p w14:paraId="710C9551">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危险废物类别</w:t>
                  </w:r>
                </w:p>
              </w:tc>
              <w:tc>
                <w:tcPr>
                  <w:tcW w:w="680" w:type="dxa"/>
                  <w:tcBorders>
                    <w:tl2br w:val="nil"/>
                    <w:tr2bl w:val="nil"/>
                  </w:tcBorders>
                  <w:noWrap w:val="0"/>
                  <w:vAlign w:val="center"/>
                </w:tcPr>
                <w:p w14:paraId="3C0F560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危险废物代码</w:t>
                  </w:r>
                </w:p>
              </w:tc>
              <w:tc>
                <w:tcPr>
                  <w:tcW w:w="634" w:type="dxa"/>
                  <w:tcBorders>
                    <w:tl2br w:val="nil"/>
                    <w:tr2bl w:val="nil"/>
                  </w:tcBorders>
                  <w:noWrap w:val="0"/>
                  <w:vAlign w:val="center"/>
                </w:tcPr>
                <w:p w14:paraId="68461AC8">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产生量</w:t>
                  </w:r>
                </w:p>
              </w:tc>
              <w:tc>
                <w:tcPr>
                  <w:tcW w:w="662" w:type="dxa"/>
                  <w:tcBorders>
                    <w:tl2br w:val="nil"/>
                    <w:tr2bl w:val="nil"/>
                  </w:tcBorders>
                  <w:noWrap w:val="0"/>
                  <w:vAlign w:val="center"/>
                </w:tcPr>
                <w:p w14:paraId="15D43C48">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产生工序及装置</w:t>
                  </w:r>
                </w:p>
              </w:tc>
              <w:tc>
                <w:tcPr>
                  <w:tcW w:w="604" w:type="dxa"/>
                  <w:tcBorders>
                    <w:tl2br w:val="nil"/>
                    <w:tr2bl w:val="nil"/>
                  </w:tcBorders>
                  <w:noWrap w:val="0"/>
                  <w:vAlign w:val="center"/>
                </w:tcPr>
                <w:p w14:paraId="1D92A3EB">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形态</w:t>
                  </w:r>
                </w:p>
              </w:tc>
              <w:tc>
                <w:tcPr>
                  <w:tcW w:w="665" w:type="dxa"/>
                  <w:tcBorders>
                    <w:tl2br w:val="nil"/>
                    <w:tr2bl w:val="nil"/>
                  </w:tcBorders>
                  <w:noWrap w:val="0"/>
                  <w:vAlign w:val="center"/>
                </w:tcPr>
                <w:p w14:paraId="0CAF039C">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有害成分</w:t>
                  </w:r>
                </w:p>
              </w:tc>
              <w:tc>
                <w:tcPr>
                  <w:tcW w:w="618" w:type="dxa"/>
                  <w:tcBorders>
                    <w:tl2br w:val="nil"/>
                    <w:tr2bl w:val="nil"/>
                  </w:tcBorders>
                  <w:noWrap w:val="0"/>
                  <w:vAlign w:val="center"/>
                </w:tcPr>
                <w:p w14:paraId="37147D1C">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产废周期</w:t>
                  </w:r>
                </w:p>
              </w:tc>
              <w:tc>
                <w:tcPr>
                  <w:tcW w:w="623" w:type="dxa"/>
                  <w:tcBorders>
                    <w:tl2br w:val="nil"/>
                    <w:tr2bl w:val="nil"/>
                  </w:tcBorders>
                  <w:noWrap w:val="0"/>
                  <w:vAlign w:val="center"/>
                </w:tcPr>
                <w:p w14:paraId="226C9CB5">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危险特性</w:t>
                  </w:r>
                </w:p>
              </w:tc>
              <w:tc>
                <w:tcPr>
                  <w:tcW w:w="1155" w:type="dxa"/>
                  <w:tcBorders>
                    <w:tl2br w:val="nil"/>
                    <w:tr2bl w:val="nil"/>
                  </w:tcBorders>
                  <w:noWrap w:val="0"/>
                  <w:vAlign w:val="center"/>
                </w:tcPr>
                <w:p w14:paraId="45D2B8ED">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val="0"/>
                      <w:color w:val="000000" w:themeColor="text1"/>
                      <w:sz w:val="18"/>
                      <w:szCs w:val="18"/>
                      <w:highlight w:val="none"/>
                      <w:lang w:bidi="ar"/>
                      <w14:textFill>
                        <w14:solidFill>
                          <w14:schemeClr w14:val="tx1"/>
                        </w14:solidFill>
                      </w14:textFill>
                    </w:rPr>
                    <w:t>收集、处置方式</w:t>
                  </w:r>
                </w:p>
              </w:tc>
            </w:tr>
            <w:tr w14:paraId="68AC4A6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48" w:hRule="atLeast"/>
                <w:jc w:val="center"/>
              </w:trPr>
              <w:tc>
                <w:tcPr>
                  <w:tcW w:w="411" w:type="dxa"/>
                  <w:tcBorders>
                    <w:tl2br w:val="nil"/>
                    <w:tr2bl w:val="nil"/>
                  </w:tcBorders>
                  <w:noWrap w:val="0"/>
                  <w:vAlign w:val="center"/>
                </w:tcPr>
                <w:p w14:paraId="3E61EEF1">
                  <w:pPr>
                    <w:keepNext w:val="0"/>
                    <w:keepLines w:val="0"/>
                    <w:pageBreakBefore w:val="0"/>
                    <w:widowControl w:val="0"/>
                    <w:numPr>
                      <w:ilvl w:val="0"/>
                      <w:numId w:val="18"/>
                    </w:numPr>
                    <w:shd w:val="clear"/>
                    <w:kinsoku/>
                    <w:wordWrap/>
                    <w:overflowPunct/>
                    <w:topLinePunct/>
                    <w:autoSpaceDE/>
                    <w:autoSpaceDN/>
                    <w:bidi w:val="0"/>
                    <w:adjustRightInd w:val="0"/>
                    <w:snapToGrid/>
                    <w:spacing w:line="0" w:lineRule="atLeast"/>
                    <w:ind w:left="0" w:leftChars="0" w:firstLine="0" w:firstLineChars="0"/>
                    <w:jc w:val="center"/>
                    <w:textAlignment w:val="auto"/>
                    <w:rPr>
                      <w:b w:val="0"/>
                      <w:bCs w:val="0"/>
                      <w:color w:val="000000" w:themeColor="text1"/>
                      <w:kern w:val="0"/>
                      <w:sz w:val="18"/>
                      <w:szCs w:val="18"/>
                      <w:highlight w:val="none"/>
                      <w14:textFill>
                        <w14:solidFill>
                          <w14:schemeClr w14:val="tx1"/>
                        </w14:solidFill>
                      </w14:textFill>
                    </w:rPr>
                  </w:pPr>
                </w:p>
              </w:tc>
              <w:tc>
                <w:tcPr>
                  <w:tcW w:w="1115" w:type="dxa"/>
                  <w:tcBorders>
                    <w:tl2br w:val="nil"/>
                    <w:tr2bl w:val="nil"/>
                  </w:tcBorders>
                  <w:shd w:val="clear" w:color="auto" w:fill="auto"/>
                  <w:noWrap w:val="0"/>
                  <w:vAlign w:val="center"/>
                </w:tcPr>
                <w:p w14:paraId="5BC32CA6">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default" w:ascii="Times New Roman" w:hAnsi="Times New Roman" w:eastAsia="宋体" w:cs="Times New Roman"/>
                      <w:color w:val="000000" w:themeColor="text1"/>
                      <w:w w:val="9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w w:val="100"/>
                      <w:kern w:val="2"/>
                      <w:sz w:val="18"/>
                      <w:szCs w:val="18"/>
                      <w:highlight w:val="none"/>
                      <w:vertAlign w:val="baseline"/>
                      <w:lang w:val="en-US" w:eastAsia="zh-CN" w:bidi="ar-SA"/>
                      <w14:textFill>
                        <w14:solidFill>
                          <w14:schemeClr w14:val="tx1"/>
                        </w14:solidFill>
                      </w14:textFill>
                    </w:rPr>
                    <w:t>废润滑油</w:t>
                  </w:r>
                </w:p>
              </w:tc>
              <w:tc>
                <w:tcPr>
                  <w:tcW w:w="650" w:type="dxa"/>
                  <w:vMerge w:val="restart"/>
                  <w:tcBorders>
                    <w:tl2br w:val="nil"/>
                    <w:tr2bl w:val="nil"/>
                  </w:tcBorders>
                  <w:shd w:val="clear" w:color="auto" w:fill="auto"/>
                  <w:noWrap w:val="0"/>
                  <w:vAlign w:val="center"/>
                </w:tcPr>
                <w:p w14:paraId="2008DCC2">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000000" w:themeColor="text1"/>
                      <w:sz w:val="18"/>
                      <w:szCs w:val="18"/>
                      <w:highlight w:val="none"/>
                      <w:lang w:val="en-US" w:eastAsia="zh-CN"/>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HW08</w:t>
                  </w:r>
                </w:p>
              </w:tc>
              <w:tc>
                <w:tcPr>
                  <w:tcW w:w="680" w:type="dxa"/>
                  <w:tcBorders>
                    <w:tl2br w:val="nil"/>
                    <w:tr2bl w:val="nil"/>
                  </w:tcBorders>
                  <w:shd w:val="clear" w:color="auto" w:fill="auto"/>
                  <w:noWrap w:val="0"/>
                  <w:vAlign w:val="center"/>
                </w:tcPr>
                <w:p w14:paraId="2F060C51">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900-217-08</w:t>
                  </w:r>
                </w:p>
              </w:tc>
              <w:tc>
                <w:tcPr>
                  <w:tcW w:w="634" w:type="dxa"/>
                  <w:tcBorders>
                    <w:tl2br w:val="nil"/>
                    <w:tr2bl w:val="nil"/>
                  </w:tcBorders>
                  <w:shd w:val="clear" w:color="auto" w:fill="auto"/>
                  <w:noWrap w:val="0"/>
                  <w:vAlign w:val="center"/>
                </w:tcPr>
                <w:p w14:paraId="25E6E6F9">
                  <w:pPr>
                    <w:keepNext w:val="0"/>
                    <w:keepLines w:val="0"/>
                    <w:pageBreakBefore w:val="0"/>
                    <w:widowControl/>
                    <w:shd w:val="clear"/>
                    <w:kinsoku/>
                    <w:wordWrap/>
                    <w:overflowPunct/>
                    <w:autoSpaceDE/>
                    <w:autoSpaceDN/>
                    <w:bidi w:val="0"/>
                    <w:snapToGrid/>
                    <w:spacing w:line="0" w:lineRule="atLeast"/>
                    <w:ind w:firstLine="0" w:firstLineChars="0"/>
                    <w:jc w:val="center"/>
                    <w:textAlignment w:val="center"/>
                    <w:rPr>
                      <w:rFonts w:hint="default" w:ascii="Times New Roman" w:hAnsi="Times New Roman" w:eastAsia="宋体" w:cs="Times New Roman"/>
                      <w:b w:val="0"/>
                      <w:bCs w:val="0"/>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18"/>
                      <w:szCs w:val="18"/>
                      <w:highlight w:val="none"/>
                      <w:lang w:val="en-US" w:eastAsia="zh-CN" w:bidi="ar-SA"/>
                      <w14:textFill>
                        <w14:solidFill>
                          <w14:schemeClr w14:val="tx1"/>
                        </w14:solidFill>
                      </w14:textFill>
                    </w:rPr>
                    <w:t>0.</w:t>
                  </w:r>
                  <w:r>
                    <w:rPr>
                      <w:rFonts w:hint="eastAsia" w:cs="Times New Roman"/>
                      <w:b w:val="0"/>
                      <w:bCs w:val="0"/>
                      <w:color w:val="000000" w:themeColor="text1"/>
                      <w:kern w:val="0"/>
                      <w:sz w:val="18"/>
                      <w:szCs w:val="18"/>
                      <w:highlight w:val="none"/>
                      <w:lang w:val="en-US" w:eastAsia="zh-CN" w:bidi="ar-SA"/>
                      <w14:textFill>
                        <w14:solidFill>
                          <w14:schemeClr w14:val="tx1"/>
                        </w14:solidFill>
                      </w14:textFill>
                    </w:rPr>
                    <w:t>04</w:t>
                  </w:r>
                </w:p>
              </w:tc>
              <w:tc>
                <w:tcPr>
                  <w:tcW w:w="662" w:type="dxa"/>
                  <w:vMerge w:val="restart"/>
                  <w:tcBorders>
                    <w:tl2br w:val="nil"/>
                    <w:tr2bl w:val="nil"/>
                  </w:tcBorders>
                  <w:noWrap w:val="0"/>
                  <w:vAlign w:val="center"/>
                </w:tcPr>
                <w:p w14:paraId="019E76A9">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000000" w:themeColor="text1"/>
                      <w:kern w:val="0"/>
                      <w:sz w:val="18"/>
                      <w:szCs w:val="18"/>
                      <w:highlight w:val="none"/>
                      <w:lang w:eastAsia="zh-CN"/>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设备维修</w:t>
                  </w:r>
                </w:p>
              </w:tc>
              <w:tc>
                <w:tcPr>
                  <w:tcW w:w="604" w:type="dxa"/>
                  <w:tcBorders>
                    <w:tl2br w:val="nil"/>
                    <w:tr2bl w:val="nil"/>
                  </w:tcBorders>
                  <w:shd w:val="clear" w:color="auto" w:fill="auto"/>
                  <w:noWrap w:val="0"/>
                  <w:vAlign w:val="center"/>
                </w:tcPr>
                <w:p w14:paraId="322A95FE">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液态</w:t>
                  </w:r>
                </w:p>
              </w:tc>
              <w:tc>
                <w:tcPr>
                  <w:tcW w:w="665" w:type="dxa"/>
                  <w:tcBorders>
                    <w:tl2br w:val="nil"/>
                    <w:tr2bl w:val="nil"/>
                  </w:tcBorders>
                  <w:shd w:val="clear" w:color="auto" w:fill="auto"/>
                  <w:noWrap w:val="0"/>
                  <w:vAlign w:val="center"/>
                </w:tcPr>
                <w:p w14:paraId="3A9BECD6">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cs="Times New Roman"/>
                      <w:color w:val="000000" w:themeColor="text1"/>
                      <w:kern w:val="0"/>
                      <w:sz w:val="18"/>
                      <w:szCs w:val="18"/>
                      <w:highlight w:val="none"/>
                      <w:lang w:val="en-US" w:eastAsia="zh-CN"/>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废矿物油</w:t>
                  </w:r>
                </w:p>
              </w:tc>
              <w:tc>
                <w:tcPr>
                  <w:tcW w:w="618" w:type="dxa"/>
                  <w:tcBorders>
                    <w:tl2br w:val="nil"/>
                    <w:tr2bl w:val="nil"/>
                  </w:tcBorders>
                  <w:shd w:val="clear" w:color="auto" w:fill="auto"/>
                  <w:noWrap w:val="0"/>
                  <w:vAlign w:val="center"/>
                </w:tcPr>
                <w:p w14:paraId="606267F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000000" w:themeColor="text1"/>
                      <w:kern w:val="0"/>
                      <w:sz w:val="18"/>
                      <w:szCs w:val="18"/>
                      <w:highlight w:val="none"/>
                      <w:lang w:val="en-US" w:eastAsia="zh-CN"/>
                      <w14:textFill>
                        <w14:solidFill>
                          <w14:schemeClr w14:val="tx1"/>
                        </w14:solidFill>
                      </w14:textFill>
                    </w:rPr>
                  </w:pPr>
                  <w:r>
                    <w:rPr>
                      <w:rFonts w:hint="eastAsia"/>
                      <w:b w:val="0"/>
                      <w:bCs w:val="0"/>
                      <w:color w:val="000000" w:themeColor="text1"/>
                      <w:kern w:val="0"/>
                      <w:sz w:val="18"/>
                      <w:szCs w:val="18"/>
                      <w:highlight w:val="none"/>
                      <w:lang w:val="en-US" w:eastAsia="zh-CN"/>
                      <w14:textFill>
                        <w14:solidFill>
                          <w14:schemeClr w14:val="tx1"/>
                        </w14:solidFill>
                      </w14:textFill>
                    </w:rPr>
                    <w:t>1</w:t>
                  </w:r>
                  <w:r>
                    <w:rPr>
                      <w:rFonts w:hint="eastAsia"/>
                      <w:b w:val="0"/>
                      <w:bCs w:val="0"/>
                      <w:color w:val="000000" w:themeColor="text1"/>
                      <w:kern w:val="0"/>
                      <w:sz w:val="18"/>
                      <w:szCs w:val="18"/>
                      <w:highlight w:val="none"/>
                      <w:lang w:eastAsia="zh-CN"/>
                      <w14:textFill>
                        <w14:solidFill>
                          <w14:schemeClr w14:val="tx1"/>
                        </w14:solidFill>
                      </w14:textFill>
                    </w:rPr>
                    <w:t>年</w:t>
                  </w:r>
                </w:p>
              </w:tc>
              <w:tc>
                <w:tcPr>
                  <w:tcW w:w="623" w:type="dxa"/>
                  <w:tcBorders>
                    <w:tl2br w:val="nil"/>
                    <w:tr2bl w:val="nil"/>
                  </w:tcBorders>
                  <w:shd w:val="clear" w:color="auto" w:fill="auto"/>
                  <w:noWrap w:val="0"/>
                  <w:vAlign w:val="center"/>
                </w:tcPr>
                <w:p w14:paraId="4E6AFFCD">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ascii="Times New Roman" w:hAnsi="Times New Roman" w:eastAsia="Times New Roman" w:cs="Times New Roman"/>
                      <w:color w:val="000000" w:themeColor="text1"/>
                      <w:spacing w:val="4"/>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T，I</w:t>
                  </w:r>
                </w:p>
              </w:tc>
              <w:tc>
                <w:tcPr>
                  <w:tcW w:w="1155" w:type="dxa"/>
                  <w:vMerge w:val="restart"/>
                  <w:tcBorders>
                    <w:tl2br w:val="nil"/>
                    <w:tr2bl w:val="nil"/>
                  </w:tcBorders>
                  <w:noWrap w:val="0"/>
                  <w:vAlign w:val="center"/>
                </w:tcPr>
                <w:p w14:paraId="21641B52">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default" w:ascii="Times New Roman" w:hAnsi="Times New Roman" w:eastAsia="宋体" w:cs="Times New Roman"/>
                      <w:b w:val="0"/>
                      <w:bCs w:val="0"/>
                      <w:color w:val="000000" w:themeColor="text1"/>
                      <w:sz w:val="18"/>
                      <w:szCs w:val="18"/>
                      <w:highlight w:val="none"/>
                      <w:lang w:bidi="ar"/>
                      <w14:textFill>
                        <w14:solidFill>
                          <w14:schemeClr w14:val="tx1"/>
                        </w14:solidFill>
                      </w14:textFill>
                    </w:rPr>
                  </w:pPr>
                  <w:r>
                    <w:rPr>
                      <w:rFonts w:hint="eastAsia"/>
                      <w:b w:val="0"/>
                      <w:bCs w:val="0"/>
                      <w:color w:val="000000" w:themeColor="text1"/>
                      <w:kern w:val="0"/>
                      <w:sz w:val="18"/>
                      <w:szCs w:val="18"/>
                      <w:highlight w:val="none"/>
                      <w:lang w:bidi="ar"/>
                      <w14:textFill>
                        <w14:solidFill>
                          <w14:schemeClr w14:val="tx1"/>
                        </w14:solidFill>
                      </w14:textFill>
                    </w:rPr>
                    <w:t>危险废物集中收集，分类储存，暂存于危险废物暂存间内，委托有资质的危险废物处置单位定期处理</w:t>
                  </w:r>
                </w:p>
              </w:tc>
            </w:tr>
            <w:tr w14:paraId="00A9E47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64" w:hRule="atLeast"/>
                <w:jc w:val="center"/>
              </w:trPr>
              <w:tc>
                <w:tcPr>
                  <w:tcW w:w="411" w:type="dxa"/>
                  <w:tcBorders>
                    <w:tl2br w:val="nil"/>
                    <w:tr2bl w:val="nil"/>
                  </w:tcBorders>
                  <w:noWrap w:val="0"/>
                  <w:vAlign w:val="center"/>
                </w:tcPr>
                <w:p w14:paraId="5AB5D661">
                  <w:pPr>
                    <w:keepNext w:val="0"/>
                    <w:keepLines w:val="0"/>
                    <w:pageBreakBefore w:val="0"/>
                    <w:widowControl w:val="0"/>
                    <w:numPr>
                      <w:ilvl w:val="0"/>
                      <w:numId w:val="18"/>
                    </w:numPr>
                    <w:shd w:val="clear"/>
                    <w:kinsoku/>
                    <w:wordWrap/>
                    <w:overflowPunct/>
                    <w:topLinePunct/>
                    <w:autoSpaceDE/>
                    <w:autoSpaceDN/>
                    <w:bidi w:val="0"/>
                    <w:adjustRightInd w:val="0"/>
                    <w:snapToGrid/>
                    <w:spacing w:line="0" w:lineRule="atLeast"/>
                    <w:ind w:left="0" w:leftChars="0" w:firstLine="0" w:firstLineChars="0"/>
                    <w:jc w:val="center"/>
                    <w:textAlignment w:val="auto"/>
                    <w:rPr>
                      <w:b w:val="0"/>
                      <w:bCs w:val="0"/>
                      <w:color w:val="000000" w:themeColor="text1"/>
                      <w:kern w:val="0"/>
                      <w:sz w:val="18"/>
                      <w:szCs w:val="18"/>
                      <w:highlight w:val="none"/>
                      <w14:textFill>
                        <w14:solidFill>
                          <w14:schemeClr w14:val="tx1"/>
                        </w14:solidFill>
                      </w14:textFill>
                    </w:rPr>
                  </w:pPr>
                </w:p>
              </w:tc>
              <w:tc>
                <w:tcPr>
                  <w:tcW w:w="1115" w:type="dxa"/>
                  <w:tcBorders>
                    <w:tl2br w:val="nil"/>
                    <w:tr2bl w:val="nil"/>
                  </w:tcBorders>
                  <w:shd w:val="clear" w:color="auto" w:fill="auto"/>
                  <w:noWrap w:val="0"/>
                  <w:vAlign w:val="center"/>
                </w:tcPr>
                <w:p w14:paraId="1024FBFD">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default" w:ascii="Times New Roman" w:hAnsi="Times New Roman" w:eastAsia="宋体" w:cs="Times New Roman"/>
                      <w:color w:val="000000" w:themeColor="text1"/>
                      <w:w w:val="90"/>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w w:val="100"/>
                      <w:kern w:val="2"/>
                      <w:sz w:val="18"/>
                      <w:szCs w:val="18"/>
                      <w:highlight w:val="none"/>
                      <w:vertAlign w:val="baseline"/>
                      <w:lang w:val="en-US" w:eastAsia="zh-CN" w:bidi="ar-SA"/>
                      <w14:textFill>
                        <w14:solidFill>
                          <w14:schemeClr w14:val="tx1"/>
                        </w14:solidFill>
                      </w14:textFill>
                    </w:rPr>
                    <w:t>废油桶</w:t>
                  </w:r>
                </w:p>
              </w:tc>
              <w:tc>
                <w:tcPr>
                  <w:tcW w:w="650" w:type="dxa"/>
                  <w:vMerge w:val="continue"/>
                  <w:tcBorders>
                    <w:tl2br w:val="nil"/>
                    <w:tr2bl w:val="nil"/>
                  </w:tcBorders>
                  <w:shd w:val="clear" w:color="auto" w:fill="auto"/>
                  <w:noWrap w:val="0"/>
                  <w:vAlign w:val="center"/>
                </w:tcPr>
                <w:p w14:paraId="1CFB6B93">
                  <w:pPr>
                    <w:pStyle w:val="15"/>
                    <w:keepNext w:val="0"/>
                    <w:keepLines w:val="0"/>
                    <w:pageBreakBefore w:val="0"/>
                    <w:shd w:val="clear"/>
                    <w:kinsoku/>
                    <w:wordWrap/>
                    <w:overflowPunct/>
                    <w:autoSpaceDE/>
                    <w:autoSpaceDN/>
                    <w:bidi w:val="0"/>
                    <w:snapToGrid/>
                    <w:spacing w:after="0" w:line="0" w:lineRule="atLeast"/>
                    <w:ind w:left="0" w:leftChars="0" w:right="0" w:rightChars="0" w:firstLine="0" w:firstLineChars="0"/>
                    <w:jc w:val="center"/>
                    <w:rPr>
                      <w:rFonts w:hint="eastAsia"/>
                      <w:b w:val="0"/>
                      <w:bCs w:val="0"/>
                      <w:color w:val="000000" w:themeColor="text1"/>
                      <w:sz w:val="18"/>
                      <w:szCs w:val="18"/>
                      <w:highlight w:val="none"/>
                      <w:lang w:val="en-US" w:eastAsia="zh-CN"/>
                      <w14:textFill>
                        <w14:solidFill>
                          <w14:schemeClr w14:val="tx1"/>
                        </w14:solidFill>
                      </w14:textFill>
                    </w:rPr>
                  </w:pPr>
                </w:p>
              </w:tc>
              <w:tc>
                <w:tcPr>
                  <w:tcW w:w="680" w:type="dxa"/>
                  <w:tcBorders>
                    <w:tl2br w:val="nil"/>
                    <w:tr2bl w:val="nil"/>
                  </w:tcBorders>
                  <w:shd w:val="clear" w:color="auto" w:fill="auto"/>
                  <w:noWrap w:val="0"/>
                  <w:vAlign w:val="center"/>
                </w:tcPr>
                <w:p w14:paraId="65BDEB76">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900-249-08</w:t>
                  </w:r>
                </w:p>
              </w:tc>
              <w:tc>
                <w:tcPr>
                  <w:tcW w:w="634" w:type="dxa"/>
                  <w:tcBorders>
                    <w:tl2br w:val="nil"/>
                    <w:tr2bl w:val="nil"/>
                  </w:tcBorders>
                  <w:shd w:val="clear" w:color="auto" w:fill="auto"/>
                  <w:noWrap w:val="0"/>
                  <w:vAlign w:val="center"/>
                </w:tcPr>
                <w:p w14:paraId="24162A71">
                  <w:pPr>
                    <w:keepNext w:val="0"/>
                    <w:keepLines w:val="0"/>
                    <w:pageBreakBefore w:val="0"/>
                    <w:widowControl/>
                    <w:shd w:val="clear"/>
                    <w:kinsoku/>
                    <w:wordWrap/>
                    <w:overflowPunct/>
                    <w:autoSpaceDE/>
                    <w:autoSpaceDN/>
                    <w:bidi w:val="0"/>
                    <w:snapToGrid/>
                    <w:spacing w:line="0" w:lineRule="atLeast"/>
                    <w:ind w:firstLine="0" w:firstLineChars="0"/>
                    <w:jc w:val="center"/>
                    <w:textAlignment w:val="center"/>
                    <w:rPr>
                      <w:rFonts w:hint="default" w:ascii="Times New Roman" w:hAnsi="Times New Roman" w:eastAsia="宋体" w:cs="Times New Roman"/>
                      <w:b w:val="0"/>
                      <w:bCs w:val="0"/>
                      <w:color w:val="000000" w:themeColor="text1"/>
                      <w:kern w:val="0"/>
                      <w:sz w:val="18"/>
                      <w:szCs w:val="18"/>
                      <w:highlight w:val="none"/>
                      <w:lang w:val="en-US" w:eastAsia="zh-CN" w:bidi="ar-SA"/>
                      <w14:textFill>
                        <w14:solidFill>
                          <w14:schemeClr w14:val="tx1"/>
                        </w14:solidFill>
                      </w14:textFill>
                    </w:rPr>
                  </w:pPr>
                  <w:r>
                    <w:rPr>
                      <w:rFonts w:hint="eastAsia" w:cs="Times New Roman"/>
                      <w:b w:val="0"/>
                      <w:bCs w:val="0"/>
                      <w:color w:val="000000" w:themeColor="text1"/>
                      <w:kern w:val="0"/>
                      <w:sz w:val="18"/>
                      <w:szCs w:val="18"/>
                      <w:highlight w:val="none"/>
                      <w:lang w:val="en-US" w:eastAsia="zh-CN" w:bidi="ar-SA"/>
                      <w14:textFill>
                        <w14:solidFill>
                          <w14:schemeClr w14:val="tx1"/>
                        </w14:solidFill>
                      </w14:textFill>
                    </w:rPr>
                    <w:t>0.02</w:t>
                  </w:r>
                </w:p>
              </w:tc>
              <w:tc>
                <w:tcPr>
                  <w:tcW w:w="662" w:type="dxa"/>
                  <w:vMerge w:val="continue"/>
                  <w:tcBorders>
                    <w:tl2br w:val="nil"/>
                    <w:tr2bl w:val="nil"/>
                  </w:tcBorders>
                  <w:noWrap w:val="0"/>
                  <w:vAlign w:val="center"/>
                </w:tcPr>
                <w:p w14:paraId="5174989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000000" w:themeColor="text1"/>
                      <w:kern w:val="0"/>
                      <w:sz w:val="18"/>
                      <w:szCs w:val="18"/>
                      <w:highlight w:val="none"/>
                      <w:lang w:eastAsia="zh-CN"/>
                      <w14:textFill>
                        <w14:solidFill>
                          <w14:schemeClr w14:val="tx1"/>
                        </w14:solidFill>
                      </w14:textFill>
                    </w:rPr>
                  </w:pPr>
                </w:p>
              </w:tc>
              <w:tc>
                <w:tcPr>
                  <w:tcW w:w="604" w:type="dxa"/>
                  <w:tcBorders>
                    <w:tl2br w:val="nil"/>
                    <w:tr2bl w:val="nil"/>
                  </w:tcBorders>
                  <w:shd w:val="clear" w:color="auto" w:fill="auto"/>
                  <w:noWrap w:val="0"/>
                  <w:vAlign w:val="center"/>
                </w:tcPr>
                <w:p w14:paraId="233FA934">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固态</w:t>
                  </w:r>
                </w:p>
              </w:tc>
              <w:tc>
                <w:tcPr>
                  <w:tcW w:w="665" w:type="dxa"/>
                  <w:tcBorders>
                    <w:tl2br w:val="nil"/>
                    <w:tr2bl w:val="nil"/>
                  </w:tcBorders>
                  <w:shd w:val="clear" w:color="auto" w:fill="auto"/>
                  <w:noWrap w:val="0"/>
                  <w:vAlign w:val="center"/>
                </w:tcPr>
                <w:p w14:paraId="55D88EB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cs="Times New Roman"/>
                      <w:color w:val="000000" w:themeColor="text1"/>
                      <w:kern w:val="0"/>
                      <w:sz w:val="18"/>
                      <w:szCs w:val="18"/>
                      <w:highlight w:val="none"/>
                      <w:lang w:val="en-US" w:eastAsia="zh-CN"/>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废矿物油</w:t>
                  </w:r>
                </w:p>
              </w:tc>
              <w:tc>
                <w:tcPr>
                  <w:tcW w:w="618" w:type="dxa"/>
                  <w:tcBorders>
                    <w:tl2br w:val="nil"/>
                    <w:tr2bl w:val="nil"/>
                  </w:tcBorders>
                  <w:shd w:val="clear" w:color="auto" w:fill="auto"/>
                  <w:noWrap w:val="0"/>
                  <w:vAlign w:val="center"/>
                </w:tcPr>
                <w:p w14:paraId="2289C42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000000" w:themeColor="text1"/>
                      <w:kern w:val="0"/>
                      <w:sz w:val="18"/>
                      <w:szCs w:val="18"/>
                      <w:highlight w:val="none"/>
                      <w:lang w:val="en-US" w:eastAsia="zh-CN"/>
                      <w14:textFill>
                        <w14:solidFill>
                          <w14:schemeClr w14:val="tx1"/>
                        </w14:solidFill>
                      </w14:textFill>
                    </w:rPr>
                  </w:pPr>
                  <w:r>
                    <w:rPr>
                      <w:rFonts w:hint="eastAsia"/>
                      <w:b w:val="0"/>
                      <w:bCs w:val="0"/>
                      <w:color w:val="000000" w:themeColor="text1"/>
                      <w:kern w:val="0"/>
                      <w:sz w:val="18"/>
                      <w:szCs w:val="18"/>
                      <w:highlight w:val="none"/>
                      <w:lang w:val="en-US" w:eastAsia="zh-CN"/>
                      <w14:textFill>
                        <w14:solidFill>
                          <w14:schemeClr w14:val="tx1"/>
                        </w14:solidFill>
                      </w14:textFill>
                    </w:rPr>
                    <w:t>1</w:t>
                  </w:r>
                  <w:r>
                    <w:rPr>
                      <w:rFonts w:hint="eastAsia"/>
                      <w:b w:val="0"/>
                      <w:bCs w:val="0"/>
                      <w:color w:val="000000" w:themeColor="text1"/>
                      <w:kern w:val="0"/>
                      <w:sz w:val="18"/>
                      <w:szCs w:val="18"/>
                      <w:highlight w:val="none"/>
                      <w:lang w:eastAsia="zh-CN"/>
                      <w14:textFill>
                        <w14:solidFill>
                          <w14:schemeClr w14:val="tx1"/>
                        </w14:solidFill>
                      </w14:textFill>
                    </w:rPr>
                    <w:t>年</w:t>
                  </w:r>
                </w:p>
              </w:tc>
              <w:tc>
                <w:tcPr>
                  <w:tcW w:w="623" w:type="dxa"/>
                  <w:tcBorders>
                    <w:tl2br w:val="nil"/>
                    <w:tr2bl w:val="nil"/>
                  </w:tcBorders>
                  <w:shd w:val="clear" w:color="auto" w:fill="auto"/>
                  <w:noWrap w:val="0"/>
                  <w:vAlign w:val="center"/>
                </w:tcPr>
                <w:p w14:paraId="2C26BFF1">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ascii="Times New Roman" w:hAnsi="Times New Roman" w:eastAsia="Times New Roman" w:cs="Times New Roman"/>
                      <w:color w:val="000000" w:themeColor="text1"/>
                      <w:spacing w:val="4"/>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T，I</w:t>
                  </w:r>
                </w:p>
              </w:tc>
              <w:tc>
                <w:tcPr>
                  <w:tcW w:w="1155" w:type="dxa"/>
                  <w:vMerge w:val="continue"/>
                  <w:tcBorders>
                    <w:tl2br w:val="nil"/>
                    <w:tr2bl w:val="nil"/>
                  </w:tcBorders>
                  <w:noWrap w:val="0"/>
                  <w:vAlign w:val="center"/>
                </w:tcPr>
                <w:p w14:paraId="30B143D7">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default" w:ascii="Times New Roman" w:hAnsi="Times New Roman" w:eastAsia="宋体" w:cs="Times New Roman"/>
                      <w:b w:val="0"/>
                      <w:bCs w:val="0"/>
                      <w:color w:val="000000" w:themeColor="text1"/>
                      <w:sz w:val="18"/>
                      <w:szCs w:val="18"/>
                      <w:highlight w:val="none"/>
                      <w:lang w:bidi="ar"/>
                      <w14:textFill>
                        <w14:solidFill>
                          <w14:schemeClr w14:val="tx1"/>
                        </w14:solidFill>
                      </w14:textFill>
                    </w:rPr>
                  </w:pPr>
                </w:p>
              </w:tc>
            </w:tr>
          </w:tbl>
          <w:p w14:paraId="7FEBF4B6">
            <w:pPr>
              <w:pStyle w:val="65"/>
              <w:keepNext w:val="0"/>
              <w:keepLines w:val="0"/>
              <w:pageBreakBefore w:val="0"/>
              <w:shd w:val="clear"/>
              <w:kinsoku/>
              <w:wordWrap/>
              <w:overflowPunct/>
              <w:topLinePunct w:val="0"/>
              <w:autoSpaceDE/>
              <w:autoSpaceDN/>
              <w:bidi w:val="0"/>
              <w:snapToGrid w:val="0"/>
              <w:spacing w:line="478" w:lineRule="exact"/>
              <w:ind w:firstLine="480" w:firstLineChars="200"/>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备注：</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液态危险废物分类收集储存，桶装，盖盖，桶置于托盘上；固态危险废物</w:t>
            </w:r>
            <w:r>
              <w:rPr>
                <w:rFonts w:hint="eastAsia" w:cs="Times New Roman"/>
                <w:b w:val="0"/>
                <w:bCs w:val="0"/>
                <w:color w:val="000000" w:themeColor="text1"/>
                <w:sz w:val="24"/>
                <w:szCs w:val="24"/>
                <w:highlight w:val="none"/>
                <w:lang w:val="en-US" w:eastAsia="zh-CN"/>
                <w14:textFill>
                  <w14:solidFill>
                    <w14:schemeClr w14:val="tx1"/>
                  </w14:solidFill>
                </w14:textFill>
              </w:rPr>
              <w:t>置于专用包装容器内，密封储存，包装容器置于</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托盘上；</w:t>
            </w:r>
            <w:r>
              <w:rPr>
                <w:rFonts w:hint="eastAsia"/>
                <w:b w:val="0"/>
                <w:bCs w:val="0"/>
                <w:color w:val="000000" w:themeColor="text1"/>
                <w:kern w:val="0"/>
                <w:sz w:val="24"/>
                <w:szCs w:val="24"/>
                <w:highlight w:val="none"/>
                <w:lang w:eastAsia="zh-CN"/>
                <w14:textFill>
                  <w14:solidFill>
                    <w14:schemeClr w14:val="tx1"/>
                  </w14:solidFill>
                </w14:textFill>
              </w:rPr>
              <w:t>废桶</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盖盖</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储存</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，置于托盘上。</w:t>
            </w:r>
          </w:p>
          <w:p w14:paraId="73FA23AD">
            <w:pPr>
              <w:pStyle w:val="65"/>
              <w:keepNext w:val="0"/>
              <w:keepLines w:val="0"/>
              <w:pageBreakBefore w:val="0"/>
              <w:shd w:val="clear"/>
              <w:kinsoku/>
              <w:wordWrap/>
              <w:overflowPunct/>
              <w:topLinePunct w:val="0"/>
              <w:autoSpaceDE/>
              <w:autoSpaceDN/>
              <w:bidi w:val="0"/>
              <w:snapToGrid w:val="0"/>
              <w:spacing w:line="478" w:lineRule="exact"/>
              <w:ind w:firstLine="480" w:firstLineChars="200"/>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本次技改完成后，全厂危险废物种类、产生量变化情况如下：</w:t>
            </w:r>
          </w:p>
          <w:p w14:paraId="787026D4">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本次技改后全厂危险废物变化情况（单位：t/a）</w:t>
            </w:r>
          </w:p>
          <w:tbl>
            <w:tblPr>
              <w:tblStyle w:val="33"/>
              <w:tblW w:w="787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494"/>
              <w:gridCol w:w="3143"/>
              <w:gridCol w:w="1411"/>
              <w:gridCol w:w="1516"/>
              <w:gridCol w:w="1313"/>
            </w:tblGrid>
            <w:tr w14:paraId="0E3374D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78" w:hRule="atLeast"/>
                <w:jc w:val="center"/>
              </w:trPr>
              <w:tc>
                <w:tcPr>
                  <w:tcW w:w="494" w:type="dxa"/>
                  <w:vMerge w:val="restart"/>
                  <w:tcBorders>
                    <w:tl2br w:val="nil"/>
                    <w:tr2bl w:val="nil"/>
                  </w:tcBorders>
                  <w:vAlign w:val="center"/>
                </w:tcPr>
                <w:p w14:paraId="4B80CB2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序号</w:t>
                  </w:r>
                </w:p>
              </w:tc>
              <w:tc>
                <w:tcPr>
                  <w:tcW w:w="3143" w:type="dxa"/>
                  <w:vMerge w:val="restart"/>
                  <w:tcBorders>
                    <w:tl2br w:val="nil"/>
                    <w:tr2bl w:val="nil"/>
                  </w:tcBorders>
                  <w:vAlign w:val="center"/>
                </w:tcPr>
                <w:p w14:paraId="7815C0CD">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名称</w:t>
                  </w:r>
                </w:p>
              </w:tc>
              <w:tc>
                <w:tcPr>
                  <w:tcW w:w="2927" w:type="dxa"/>
                  <w:gridSpan w:val="2"/>
                  <w:tcBorders>
                    <w:tl2br w:val="nil"/>
                    <w:tr2bl w:val="nil"/>
                  </w:tcBorders>
                  <w:vAlign w:val="center"/>
                </w:tcPr>
                <w:p w14:paraId="64E3CB8C">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产生量</w:t>
                  </w:r>
                </w:p>
              </w:tc>
              <w:tc>
                <w:tcPr>
                  <w:tcW w:w="1313" w:type="dxa"/>
                  <w:vMerge w:val="restart"/>
                  <w:tcBorders>
                    <w:tl2br w:val="nil"/>
                    <w:tr2bl w:val="nil"/>
                  </w:tcBorders>
                  <w:vAlign w:val="center"/>
                </w:tcPr>
                <w:p w14:paraId="2A4A3AD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增减量</w:t>
                  </w:r>
                </w:p>
              </w:tc>
            </w:tr>
            <w:tr w14:paraId="46CCCE2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53" w:hRule="atLeast"/>
                <w:jc w:val="center"/>
              </w:trPr>
              <w:tc>
                <w:tcPr>
                  <w:tcW w:w="494" w:type="dxa"/>
                  <w:vMerge w:val="continue"/>
                  <w:tcBorders>
                    <w:tl2br w:val="nil"/>
                    <w:tr2bl w:val="nil"/>
                  </w:tcBorders>
                  <w:vAlign w:val="center"/>
                </w:tcPr>
                <w:p w14:paraId="67512BDF">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p>
              </w:tc>
              <w:tc>
                <w:tcPr>
                  <w:tcW w:w="3143" w:type="dxa"/>
                  <w:vMerge w:val="continue"/>
                  <w:tcBorders>
                    <w:tl2br w:val="nil"/>
                    <w:tr2bl w:val="nil"/>
                  </w:tcBorders>
                  <w:vAlign w:val="center"/>
                </w:tcPr>
                <w:p w14:paraId="2F73F8C7">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color w:val="000000" w:themeColor="text1"/>
                      <w:sz w:val="21"/>
                      <w:szCs w:val="21"/>
                      <w:highlight w:val="none"/>
                      <w:vertAlign w:val="baseline"/>
                      <w:lang w:val="en-US" w:eastAsia="zh-CN"/>
                      <w14:textFill>
                        <w14:solidFill>
                          <w14:schemeClr w14:val="tx1"/>
                        </w14:solidFill>
                      </w14:textFill>
                    </w:rPr>
                  </w:pPr>
                </w:p>
              </w:tc>
              <w:tc>
                <w:tcPr>
                  <w:tcW w:w="1411" w:type="dxa"/>
                  <w:tcBorders>
                    <w:tl2br w:val="nil"/>
                    <w:tr2bl w:val="nil"/>
                  </w:tcBorders>
                  <w:shd w:val="clear" w:color="auto" w:fill="auto"/>
                  <w:vAlign w:val="center"/>
                </w:tcPr>
                <w:p w14:paraId="7E86B4F0">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现有工程</w:t>
                  </w:r>
                </w:p>
              </w:tc>
              <w:tc>
                <w:tcPr>
                  <w:tcW w:w="1516" w:type="dxa"/>
                  <w:tcBorders>
                    <w:tl2br w:val="nil"/>
                    <w:tr2bl w:val="nil"/>
                  </w:tcBorders>
                  <w:shd w:val="clear" w:color="auto" w:fill="auto"/>
                  <w:vAlign w:val="center"/>
                </w:tcPr>
                <w:p w14:paraId="429BC35E">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本次技改完毕</w:t>
                  </w:r>
                </w:p>
              </w:tc>
              <w:tc>
                <w:tcPr>
                  <w:tcW w:w="1313" w:type="dxa"/>
                  <w:vMerge w:val="continue"/>
                  <w:tcBorders>
                    <w:tl2br w:val="nil"/>
                    <w:tr2bl w:val="nil"/>
                  </w:tcBorders>
                  <w:shd w:val="clear" w:color="auto" w:fill="auto"/>
                  <w:vAlign w:val="center"/>
                </w:tcPr>
                <w:p w14:paraId="04E4E1D2">
                  <w:pPr>
                    <w:pStyle w:val="15"/>
                    <w:keepNext w:val="0"/>
                    <w:keepLines w:val="0"/>
                    <w:pageBreakBefore w:val="0"/>
                    <w:widowControl w:val="0"/>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p>
              </w:tc>
            </w:tr>
            <w:tr w14:paraId="69977CA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53" w:hRule="atLeast"/>
                <w:jc w:val="center"/>
              </w:trPr>
              <w:tc>
                <w:tcPr>
                  <w:tcW w:w="494" w:type="dxa"/>
                  <w:tcBorders>
                    <w:tl2br w:val="nil"/>
                    <w:tr2bl w:val="nil"/>
                  </w:tcBorders>
                  <w:vAlign w:val="center"/>
                </w:tcPr>
                <w:p w14:paraId="3640B8E7">
                  <w:pPr>
                    <w:pStyle w:val="15"/>
                    <w:keepNext w:val="0"/>
                    <w:keepLines w:val="0"/>
                    <w:pageBreakBefore w:val="0"/>
                    <w:widowControl w:val="0"/>
                    <w:numPr>
                      <w:ilvl w:val="0"/>
                      <w:numId w:val="19"/>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p>
              </w:tc>
              <w:tc>
                <w:tcPr>
                  <w:tcW w:w="3143" w:type="dxa"/>
                  <w:tcBorders>
                    <w:tl2br w:val="nil"/>
                    <w:tr2bl w:val="nil"/>
                  </w:tcBorders>
                  <w:vAlign w:val="center"/>
                </w:tcPr>
                <w:p w14:paraId="030A013F">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t>废润滑油</w:t>
                  </w:r>
                </w:p>
              </w:tc>
              <w:tc>
                <w:tcPr>
                  <w:tcW w:w="1411" w:type="dxa"/>
                  <w:tcBorders>
                    <w:tl2br w:val="nil"/>
                    <w:tr2bl w:val="nil"/>
                  </w:tcBorders>
                  <w:vAlign w:val="center"/>
                </w:tcPr>
                <w:p w14:paraId="5A3F5296">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t>0.</w:t>
                  </w:r>
                  <w:r>
                    <w:rPr>
                      <w:rFonts w:hint="eastAsia"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t>24</w:t>
                  </w:r>
                </w:p>
              </w:tc>
              <w:tc>
                <w:tcPr>
                  <w:tcW w:w="1516" w:type="dxa"/>
                  <w:tcBorders>
                    <w:tl2br w:val="nil"/>
                    <w:tr2bl w:val="nil"/>
                  </w:tcBorders>
                  <w:vAlign w:val="center"/>
                </w:tcPr>
                <w:p w14:paraId="1E137DD8">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0.28</w:t>
                  </w:r>
                </w:p>
              </w:tc>
              <w:tc>
                <w:tcPr>
                  <w:tcW w:w="1313" w:type="dxa"/>
                  <w:tcBorders>
                    <w:tl2br w:val="nil"/>
                    <w:tr2bl w:val="nil"/>
                  </w:tcBorders>
                  <w:vAlign w:val="center"/>
                </w:tcPr>
                <w:p w14:paraId="7838359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+0.04</w:t>
                  </w:r>
                </w:p>
              </w:tc>
            </w:tr>
            <w:tr w14:paraId="64908FD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391" w:hRule="atLeast"/>
                <w:jc w:val="center"/>
              </w:trPr>
              <w:tc>
                <w:tcPr>
                  <w:tcW w:w="494" w:type="dxa"/>
                  <w:tcBorders>
                    <w:tl2br w:val="nil"/>
                    <w:tr2bl w:val="nil"/>
                  </w:tcBorders>
                  <w:vAlign w:val="center"/>
                </w:tcPr>
                <w:p w14:paraId="0F355241">
                  <w:pPr>
                    <w:pStyle w:val="15"/>
                    <w:keepNext w:val="0"/>
                    <w:keepLines w:val="0"/>
                    <w:pageBreakBefore w:val="0"/>
                    <w:widowControl w:val="0"/>
                    <w:numPr>
                      <w:ilvl w:val="0"/>
                      <w:numId w:val="19"/>
                    </w:numPr>
                    <w:shd w:val="clear"/>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p>
              </w:tc>
              <w:tc>
                <w:tcPr>
                  <w:tcW w:w="3143" w:type="dxa"/>
                  <w:tcBorders>
                    <w:tl2br w:val="nil"/>
                    <w:tr2bl w:val="nil"/>
                  </w:tcBorders>
                  <w:vAlign w:val="center"/>
                </w:tcPr>
                <w:p w14:paraId="7236C5D5">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t>废油桶</w:t>
                  </w:r>
                </w:p>
              </w:tc>
              <w:tc>
                <w:tcPr>
                  <w:tcW w:w="1411" w:type="dxa"/>
                  <w:tcBorders>
                    <w:tl2br w:val="nil"/>
                    <w:tr2bl w:val="nil"/>
                  </w:tcBorders>
                  <w:vAlign w:val="center"/>
                </w:tcPr>
                <w:p w14:paraId="329F4014">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w w:val="100"/>
                      <w:kern w:val="2"/>
                      <w:sz w:val="21"/>
                      <w:szCs w:val="21"/>
                      <w:highlight w:val="none"/>
                      <w:vertAlign w:val="baseline"/>
                      <w:lang w:val="en-US" w:eastAsia="zh-CN" w:bidi="ar-SA"/>
                      <w14:textFill>
                        <w14:solidFill>
                          <w14:schemeClr w14:val="tx1"/>
                        </w14:solidFill>
                      </w14:textFill>
                    </w:rPr>
                    <w:t>0.02</w:t>
                  </w:r>
                </w:p>
              </w:tc>
              <w:tc>
                <w:tcPr>
                  <w:tcW w:w="1516" w:type="dxa"/>
                  <w:tcBorders>
                    <w:tl2br w:val="nil"/>
                    <w:tr2bl w:val="nil"/>
                  </w:tcBorders>
                  <w:vAlign w:val="center"/>
                </w:tcPr>
                <w:p w14:paraId="32AB3AE0">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0.04</w:t>
                  </w:r>
                </w:p>
              </w:tc>
              <w:tc>
                <w:tcPr>
                  <w:tcW w:w="1313" w:type="dxa"/>
                  <w:tcBorders>
                    <w:tl2br w:val="nil"/>
                    <w:tr2bl w:val="nil"/>
                  </w:tcBorders>
                  <w:vAlign w:val="center"/>
                </w:tcPr>
                <w:p w14:paraId="4FA7005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+0.02</w:t>
                  </w:r>
                </w:p>
              </w:tc>
            </w:tr>
          </w:tbl>
          <w:p w14:paraId="2A7E97F0">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78" w:lineRule="exact"/>
              <w:ind w:left="0" w:leftChars="0" w:right="0" w:rightChars="0" w:firstLine="482" w:firstLineChars="200"/>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eastAsia"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危险废物</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的</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环境管理要求</w:t>
            </w:r>
          </w:p>
          <w:p w14:paraId="51C9EF10">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bCs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cs="Times New Roman"/>
                <w:b w:val="0"/>
                <w:bCs w:val="0"/>
                <w:i w:val="0"/>
                <w:color w:val="000000" w:themeColor="text1"/>
                <w:kern w:val="0"/>
                <w:sz w:val="24"/>
                <w:szCs w:val="24"/>
                <w:highlight w:val="none"/>
                <w:shd w:val="clear" w:color="auto" w:fill="auto"/>
                <w:lang w:val="en-US" w:eastAsia="zh-CN" w:bidi="ar"/>
                <w14:textFill>
                  <w14:solidFill>
                    <w14:schemeClr w14:val="tx1"/>
                  </w14:solidFill>
                </w14:textFill>
              </w:rPr>
              <w:t>⑴</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危险废物</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收集的</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环境管理要求</w:t>
            </w:r>
          </w:p>
          <w:p w14:paraId="4185AD34">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本项目危险废物的收集包括两个方面，一是在危险废物产生节点将危险废物集中到适当的包装容器中或运输车辆上的活动；二是将已包装或装到运输车辆上的危险废物集中到危险废物产生单位内部临时贮存设施的内部转运。本项目液态危险废物收集时如果操作不当，有可能撒漏到厂区地面或车间地面造成对土壤、地下水的不利影响。依据《危险废物收集、贮存、运输技术规范》（HJ2025-2012），本项目应采取以下措施：</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begin"/>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instrText xml:space="preserve"> = 1 \* GB3 \* MERGEFORMAT </w:instrTex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separate"/>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①</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end"/>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危险废物的收集应根据危险废物产生的工艺特征、排放周期、危险废物特性、废物管理计划等因素制定收集计划。</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begin"/>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instrText xml:space="preserve"> = 2 \* GB3 \* MERGEFORMAT </w:instrTex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separate"/>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②</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end"/>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危险废物的收集应制定详细的操作规程，内容至少应包括适用范围、操作程序和方法、专用设备和工具、转移和交接、安全保障和应急防护等。</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begin"/>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instrText xml:space="preserve"> = 3 \* GB3 \* MERGEFORMAT </w:instrTex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separate"/>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③</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end"/>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危险废物收集和转运作业人员应根据工作需要配备必要的个人防护装备，如手套、防护镜、防护服、防毒面具或口罩等。</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begin"/>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instrText xml:space="preserve"> = 4 \* GB3 \* MERGEFORMAT </w:instrTex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separate"/>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④</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end"/>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危险废物收集时应根据危险废物的种类、数量、危险特性、物理形态、运输要求等因素确定包装形式。</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begin"/>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instrText xml:space="preserve"> = 5 \* GB3 \* MERGEFORMAT </w:instrTex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separate"/>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⑤</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end"/>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应根据收集设备、转运车辆以及现场人员等实际情况确定相应作业区域，同时要设置作业界限标志和警示牌。</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begin"/>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instrText xml:space="preserve"> = 6 \* GB3 \* MERGEFORMAT </w:instrTex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separate"/>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⑥</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end"/>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危险废物内部转运作业应满足如下要求：</w:t>
            </w:r>
          </w:p>
          <w:p w14:paraId="21744200">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a.危险废物内部转运应综合考虑厂区的实际情况确定转运路线，尽量避开办公区和生活区。</w:t>
            </w:r>
          </w:p>
          <w:p w14:paraId="1922737F">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b.危险废物内部转运作业应采用专用的工具，危险废物内部转运应参照《危险废物收集、贮存、运输技术规范》（HJ2025-2012）做好危险废物厂内转运记录。</w:t>
            </w:r>
          </w:p>
          <w:p w14:paraId="15CE595F">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c.危险废物内部转运结束后，应对转运路线进行检查和清理，确保无危险废物遗失在转运路线上等。</w:t>
            </w:r>
          </w:p>
          <w:p w14:paraId="29CAFFF9">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cs="Times New Roman"/>
                <w:b w:val="0"/>
                <w:bCs w:val="0"/>
                <w:color w:val="000000" w:themeColor="text1"/>
                <w:sz w:val="24"/>
                <w:szCs w:val="24"/>
                <w:highlight w:val="none"/>
                <w:lang w:eastAsia="zh-CN"/>
                <w14:textFill>
                  <w14:solidFill>
                    <w14:schemeClr w14:val="tx1"/>
                  </w14:solidFill>
                </w14:textFill>
              </w:rPr>
              <w:t>⑵</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贮存设施选址要求</w:t>
            </w:r>
          </w:p>
          <w:p w14:paraId="47707491">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①</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贮存设施选址应满足生态环境保护法律法规、规划和“三线一单”生态环境分区管控的要求，建设项目应依法进行环境影响评价。</w:t>
            </w:r>
          </w:p>
          <w:p w14:paraId="7B9FFB1B">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②</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集中贮存设施不应选在生态保护红线区域、永久基本农田和其他需要特别保护的区域内，不应建在溶洞区或易遭受洪水、滑坡、泥石流、潮汐等严重自然灾害影响的地区。</w:t>
            </w:r>
          </w:p>
          <w:p w14:paraId="322F4EAF">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③</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贮存设施不应选在江河、湖泊、运河、渠道、水库及其最高水位线以下的滩地和岸坡，以及法律法规规定禁止贮存危险废物的其他地点。</w:t>
            </w:r>
          </w:p>
          <w:p w14:paraId="74F118DD">
            <w:pPr>
              <w:keepNext w:val="0"/>
              <w:keepLines w:val="0"/>
              <w:pageBreakBefore w:val="0"/>
              <w:widowControl w:val="0"/>
              <w:shd w:val="clear"/>
              <w:kinsoku/>
              <w:wordWrap/>
              <w:overflowPunct/>
              <w:topLinePunct w:val="0"/>
              <w:autoSpaceDE/>
              <w:autoSpaceDN/>
              <w:bidi w:val="0"/>
              <w:adjustRightInd/>
              <w:snapToGrid/>
              <w:spacing w:line="478"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④</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贮存设施场址的位置以及其与周围环境敏感目标的距离应依据环境影响评价文件确定。</w:t>
            </w:r>
          </w:p>
          <w:p w14:paraId="0FC3245B">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78" w:lineRule="exact"/>
              <w:ind w:left="0" w:leftChars="0" w:right="0" w:rightChars="0" w:firstLine="480" w:firstLineChars="200"/>
              <w:jc w:val="both"/>
              <w:textAlignment w:val="auto"/>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企业</w:t>
            </w:r>
            <w:r>
              <w:rPr>
                <w:rFonts w:hint="eastAsia"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现有工程危险废物暂存间</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选址满足</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生态环境保护法律法规、规划和“三线一单”生态环境分区管控的要求</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，依法进行</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环境影响评价</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；企业</w:t>
            </w:r>
            <w:r>
              <w:rPr>
                <w:rFonts w:hint="eastAsia"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危险废物暂存间</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占地为工业用地，不</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在生态保护红线区域、永久基本农田和其他需要特别保护的区域内</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，不在</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溶洞区或易遭受洪水、滑坡、泥石流、潮汐等严重自然灾害影响的地区</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，不</w:t>
            </w:r>
            <w:r>
              <w:rPr>
                <w:rFonts w:hint="eastAsia"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在</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江河、湖泊、运河、渠道、水库及其最高水位线以下的滩地和岸坡，以及法律法规规定禁止贮存危险废物的其他地点</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，符合贮存设施选址要求。</w:t>
            </w:r>
          </w:p>
          <w:p w14:paraId="23749EF1">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78" w:lineRule="exact"/>
              <w:ind w:left="0" w:leftChars="0" w:right="0" w:rightChars="0" w:firstLine="480" w:firstLineChars="200"/>
              <w:jc w:val="both"/>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eastAsia" w:cs="Times New Roman"/>
                <w:b w:val="0"/>
                <w:bCs w:val="0"/>
                <w:color w:val="000000" w:themeColor="text1"/>
                <w:sz w:val="24"/>
                <w:szCs w:val="24"/>
                <w:highlight w:val="none"/>
                <w:lang w:eastAsia="zh-CN"/>
                <w14:textFill>
                  <w14:solidFill>
                    <w14:schemeClr w14:val="tx1"/>
                  </w14:solidFill>
                </w14:textFill>
              </w:rPr>
              <w:t>⑶</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危险废物</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贮存的</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环境管理要求</w:t>
            </w:r>
          </w:p>
          <w:p w14:paraId="5C823833">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危险废物贮存设施按照《危险废物收集、贮存、运输技术规范》（HJ2025-2012）、《危险废物贮存污染控制标准》（GB18597</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2023）以及相关国家及地方法律法规的要求进行</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建设</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，主要包括：</w:t>
            </w:r>
          </w:p>
          <w:p w14:paraId="02A2507B">
            <w:pPr>
              <w:keepNext w:val="0"/>
              <w:keepLines w:val="0"/>
              <w:pageBreakBefore w:val="0"/>
              <w:widowControl/>
              <w:numPr>
                <w:ilvl w:val="0"/>
                <w:numId w:val="2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一般要求：</w:t>
            </w:r>
          </w:p>
          <w:p w14:paraId="045F24F9">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begin"/>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instrText xml:space="preserve"> = 1 \* GB3 \* MERGEFORMAT </w:instrTex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separate"/>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①</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fldChar w:fldCharType="end"/>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根据危险废物的形态、物理化学性质、包装形式和污染物迁移途径，采取必要的防风、防晒、防雨、防漏、防渗、防腐以及其他环境污染防治措施，不应露天堆放危险废物。</w:t>
            </w:r>
          </w:p>
          <w:p w14:paraId="31AE1C3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②</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根据危险废物的类别、数量、形态、物理化学性质和污染防治等要求设置必要的贮存分区，避免不相容的危险废物接触、混合。</w:t>
            </w:r>
          </w:p>
          <w:p w14:paraId="5747DCF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③</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贮存设施或贮存分区内地面、墙面裙脚、堵截泄漏的围堰、接触危险废物的隔板和墙体等</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采用坚固的材料建造，表面无裂缝。</w:t>
            </w:r>
          </w:p>
          <w:p w14:paraId="42E28750">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④</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贮存设施地面与裙脚</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采取表面防渗措施；表面防渗材料应与所接触的物料或污染物相容，可采用抗渗混凝土、高密度聚乙烯膜、钠基膨润土防水毯或其他防渗性能等效的材料。贮存的危险废物直接接触地面的，还</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进行基础防渗，防渗层为至少1m厚黏土层（渗透系数不大于10</w:t>
            </w:r>
            <w:r>
              <w:rPr>
                <w:rFonts w:hint="default" w:ascii="Times New Roman" w:hAnsi="Times New Roman" w:eastAsia="宋体" w:cs="Times New Roman"/>
                <w:b w:val="0"/>
                <w:i w:val="0"/>
                <w:color w:val="000000" w:themeColor="text1"/>
                <w:kern w:val="0"/>
                <w:sz w:val="24"/>
                <w:szCs w:val="24"/>
                <w:highlight w:val="none"/>
                <w:shd w:val="clear" w:color="auto" w:fill="auto"/>
                <w:vertAlign w:val="superscript"/>
                <w:lang w:val="en-US" w:eastAsia="zh-CN" w:bidi="ar"/>
                <w14:textFill>
                  <w14:solidFill>
                    <w14:schemeClr w14:val="tx1"/>
                  </w14:solidFill>
                </w14:textFill>
              </w:rPr>
              <w:t>-7</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cm/s），或至少2mm厚高密度聚乙烯膜等人工防渗材料（渗透系数不大于10</w:t>
            </w:r>
            <w:r>
              <w:rPr>
                <w:rFonts w:hint="default" w:ascii="Times New Roman" w:hAnsi="Times New Roman" w:eastAsia="宋体" w:cs="Times New Roman"/>
                <w:b w:val="0"/>
                <w:i w:val="0"/>
                <w:color w:val="000000" w:themeColor="text1"/>
                <w:kern w:val="0"/>
                <w:sz w:val="24"/>
                <w:szCs w:val="24"/>
                <w:highlight w:val="none"/>
                <w:shd w:val="clear" w:color="auto" w:fill="auto"/>
                <w:vertAlign w:val="superscript"/>
                <w:lang w:val="en-US" w:eastAsia="zh-CN" w:bidi="ar"/>
                <w14:textFill>
                  <w14:solidFill>
                    <w14:schemeClr w14:val="tx1"/>
                  </w14:solidFill>
                </w14:textFill>
              </w:rPr>
              <w:t>-10</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cm/s），或其他防渗性能等效的材料。</w:t>
            </w:r>
          </w:p>
          <w:p w14:paraId="1C70262E">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⑤</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同一贮存设施宜采用相同的防渗、防腐工艺</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包括防渗、防腐结构或材料</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，防渗、防腐材料</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覆盖所有可能与废物及其渗滤液、渗漏液等接触的构筑物表面</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采用不同防渗、防腐工艺</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分别建设贮存分区。</w:t>
            </w:r>
          </w:p>
          <w:p w14:paraId="691AACF5">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⑥</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采取技术和管理措施防止无关人员进入。</w:t>
            </w:r>
          </w:p>
          <w:p w14:paraId="1F9CA684">
            <w:pPr>
              <w:keepNext w:val="0"/>
              <w:keepLines w:val="0"/>
              <w:pageBreakBefore w:val="0"/>
              <w:widowControl/>
              <w:shd w:val="clear"/>
              <w:kinsoku/>
              <w:wordWrap/>
              <w:overflowPunct/>
              <w:topLinePunct w:val="0"/>
              <w:autoSpaceDE/>
              <w:autoSpaceDN/>
              <w:bidi w:val="0"/>
              <w:adjustRightInd/>
              <w:spacing w:line="478" w:lineRule="exact"/>
              <w:ind w:firstLine="480" w:firstLineChars="200"/>
              <w:textAlignment w:val="auto"/>
              <w:rPr>
                <w:rFonts w:hint="default" w:ascii="Times New Roman" w:hAnsi="Times New Roman" w:eastAsia="宋体" w:cs="Times New Roman"/>
                <w:color w:val="000000" w:themeColor="text1"/>
                <w:sz w:val="24"/>
                <w:szCs w:val="24"/>
                <w:highlight w:val="none"/>
                <w:lang w:bidi="ar"/>
                <w14:textFill>
                  <w14:solidFill>
                    <w14:schemeClr w14:val="tx1"/>
                  </w14:solidFill>
                </w14:textFill>
              </w:rPr>
            </w:pPr>
            <w:r>
              <w:rPr>
                <w:rFonts w:hint="default" w:ascii="Times New Roman" w:hAnsi="Times New Roman" w:cs="Times New Roman"/>
                <w:color w:val="000000" w:themeColor="text1"/>
                <w:kern w:val="0"/>
                <w:sz w:val="24"/>
                <w:szCs w:val="24"/>
                <w:highlight w:val="none"/>
                <w:lang w:eastAsia="zh-CN" w:bidi="ar"/>
                <w14:textFill>
                  <w14:solidFill>
                    <w14:schemeClr w14:val="tx1"/>
                  </w14:solidFill>
                </w14:textFill>
              </w:rPr>
              <w:t>企业现有</w:t>
            </w:r>
            <w:r>
              <w:rPr>
                <w:rFonts w:hint="default" w:ascii="Times New Roman" w:hAnsi="Times New Roman" w:cs="Times New Roman"/>
                <w:color w:val="000000" w:themeColor="text1"/>
                <w:kern w:val="0"/>
                <w:sz w:val="24"/>
                <w:szCs w:val="24"/>
                <w:highlight w:val="none"/>
                <w:lang w:bidi="ar"/>
                <w14:textFill>
                  <w14:solidFill>
                    <w14:schemeClr w14:val="tx1"/>
                  </w14:solidFill>
                </w14:textFill>
              </w:rPr>
              <w:t>危险废物暂存间</w:t>
            </w:r>
            <w:r>
              <w:rPr>
                <w:rFonts w:hint="default" w:ascii="Times New Roman" w:hAnsi="Times New Roman" w:cs="Times New Roman"/>
                <w:color w:val="000000" w:themeColor="text1"/>
                <w:sz w:val="24"/>
                <w:szCs w:val="24"/>
                <w:highlight w:val="none"/>
                <w14:textFill>
                  <w14:solidFill>
                    <w14:schemeClr w14:val="tx1"/>
                  </w14:solidFill>
                </w14:textFill>
              </w:rPr>
              <w:t>采用防渗措施如下：</w:t>
            </w:r>
            <w:r>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底层采用防渗混凝土，表层采用玻璃钢防渗层，渗透系数≤1</w:t>
            </w:r>
            <w:r>
              <w:rPr>
                <w:rFonts w:hint="default"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10</w:t>
            </w:r>
            <w:r>
              <w:rPr>
                <w:rFonts w:hint="default" w:ascii="Times New Roman" w:hAnsi="Times New Roman"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w w:val="100"/>
                <w:kern w:val="2"/>
                <w:sz w:val="24"/>
                <w:szCs w:val="24"/>
                <w:highlight w:val="none"/>
                <w:vertAlign w:val="superscript"/>
                <w:lang w:val="en-US" w:eastAsia="zh-CN" w:bidi="ar-SA"/>
                <w14:textFill>
                  <w14:solidFill>
                    <w14:schemeClr w14:val="tx1"/>
                  </w14:solidFill>
                </w14:textFill>
              </w:rPr>
              <w:t>10</w:t>
            </w:r>
            <w:r>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cm/s</w:t>
            </w:r>
            <w:r>
              <w:rPr>
                <w:rFonts w:hint="default"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地面与裙角</w:t>
            </w:r>
            <w:r>
              <w:rPr>
                <w:rFonts w:hint="default" w:ascii="Times New Roman" w:hAnsi="Times New Roman" w:cs="Times New Roman"/>
                <w:b w:val="0"/>
                <w:bCs w:val="0"/>
                <w:color w:val="000000" w:themeColor="text1"/>
                <w:w w:val="100"/>
                <w:kern w:val="2"/>
                <w:sz w:val="24"/>
                <w:szCs w:val="24"/>
                <w:highlight w:val="none"/>
                <w:lang w:val="en-US" w:eastAsia="zh-CN" w:bidi="ar-SA"/>
                <w14:textFill>
                  <w14:solidFill>
                    <w14:schemeClr w14:val="tx1"/>
                  </w14:solidFill>
                </w14:textFill>
              </w:rPr>
              <w:t>采用</w:t>
            </w:r>
            <w:r>
              <w:rPr>
                <w:rFonts w:hint="default" w:ascii="Times New Roman" w:hAnsi="Times New Roman" w:eastAsia="宋体" w:cs="Times New Roman"/>
                <w:b w:val="0"/>
                <w:bCs w:val="0"/>
                <w:color w:val="000000" w:themeColor="text1"/>
                <w:w w:val="100"/>
                <w:kern w:val="2"/>
                <w:sz w:val="24"/>
                <w:szCs w:val="24"/>
                <w:highlight w:val="none"/>
                <w:lang w:val="en-US" w:eastAsia="zh-CN" w:bidi="ar-SA"/>
                <w14:textFill>
                  <w14:solidFill>
                    <w14:schemeClr w14:val="tx1"/>
                  </w14:solidFill>
                </w14:textFill>
              </w:rPr>
              <w:t>坚固、防渗的材料建造，建筑材料与危险废物相容</w:t>
            </w:r>
            <w:r>
              <w:rPr>
                <w:rFonts w:hint="default" w:ascii="Times New Roman" w:hAnsi="Times New Roman" w:cs="Times New Roman"/>
                <w:bCs/>
                <w:color w:val="000000" w:themeColor="text1"/>
                <w:kern w:val="0"/>
                <w:sz w:val="24"/>
                <w:szCs w:val="24"/>
                <w:highlight w:val="none"/>
                <w:lang w:eastAsia="zh-CN"/>
                <w14:textFill>
                  <w14:solidFill>
                    <w14:schemeClr w14:val="tx1"/>
                  </w14:solidFill>
                </w14:textFill>
              </w:rPr>
              <w:t>，满足防渗要求</w:t>
            </w: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w:t>
            </w:r>
          </w:p>
          <w:p w14:paraId="7D78A4E3">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B、危险废物贮存库房要求</w:t>
            </w:r>
          </w:p>
          <w:p w14:paraId="551F1796">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①</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贮存库内不同贮存分区之间</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采取隔离措施。隔离措施可根据危险废物特性采用过道、隔板或隔墙等方式。</w:t>
            </w:r>
          </w:p>
          <w:p w14:paraId="4A170CF1">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②在贮存库内或通过贮存分区方式贮存液态危险废物的，需具有液体泄漏堵截设施，堵截设施最小容积不应低于对应贮存区域最大液态废物容器容积或液态废物总储量1/10（二者取较大者）；用于贮存可能产生渗滤液的危险废物的贮存库或贮存分区需设计渗滤液收集设施，收集设施容积应满足渗滤液的收集要求。</w:t>
            </w:r>
          </w:p>
          <w:p w14:paraId="3943AD55">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③</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贮存易产生粉尘、VOCs、酸雾、有毒有害大气污染物和刺激性气味气体的危险废物贮存库，</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设置气体收集装置和气体净化设施</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气体净化设施的排气筒高度</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符合GB16297要求。</w:t>
            </w:r>
          </w:p>
          <w:p w14:paraId="78D69F36">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本项目建成后，危险废物暂存间内不同贮存分区之间采用钢制托盘隔离，并且，钢制托盘容积不低于对应贮存区域最大液态废物容器容积。</w:t>
            </w:r>
          </w:p>
          <w:p w14:paraId="238E7ED8">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C、容器和包装物污染控制要求</w:t>
            </w:r>
          </w:p>
          <w:p w14:paraId="1D6A2AB4">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①容器和包装物材质、内衬需与盛装的危险废物相容。</w:t>
            </w:r>
          </w:p>
          <w:p w14:paraId="34EE2EC1">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②针对不同类别、形态、物理化学性质的危险废物，其容器和包装物需满足相应的防渗、防漏、防腐和强度等要求。</w:t>
            </w:r>
          </w:p>
          <w:p w14:paraId="0A6DE808">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③硬质容器和包装物及其支护结构堆叠码放时不应有明显变形，无破损泄漏。</w:t>
            </w:r>
          </w:p>
          <w:p w14:paraId="7B7F8969">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④柔性容器和包装物堆叠码放时需封口严密，无破损泄漏。</w:t>
            </w:r>
          </w:p>
          <w:p w14:paraId="35B07D08">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⑤使用容器盛装液态、半固态危险废物时，容器内部需留有适当的空间，以适应因温度变化等可能引发的收缩和膨胀，防止其导致容器渗漏或永久变形。</w:t>
            </w:r>
          </w:p>
          <w:p w14:paraId="325376B1">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⑥容器和包装物外表面需保持清洁。</w:t>
            </w:r>
          </w:p>
          <w:p w14:paraId="2E7968B5">
            <w:pPr>
              <w:keepNext w:val="0"/>
              <w:keepLines w:val="0"/>
              <w:pageBreakBefore w:val="0"/>
              <w:widowControl/>
              <w:shd w:val="clear"/>
              <w:kinsoku/>
              <w:wordWrap/>
              <w:overflowPunct/>
              <w:topLinePunct w:val="0"/>
              <w:autoSpaceDE/>
              <w:autoSpaceDN/>
              <w:bidi w:val="0"/>
              <w:adjustRightInd/>
              <w:snapToGrid/>
              <w:spacing w:line="478" w:lineRule="exact"/>
              <w:ind w:firstLine="480" w:firstLineChars="200"/>
              <w:textAlignment w:val="auto"/>
              <w:rPr>
                <w:color w:val="000000" w:themeColor="text1"/>
                <w:kern w:val="0"/>
                <w:szCs w:val="24"/>
                <w:highlight w:val="none"/>
                <w:lang w:bidi="ar"/>
                <w14:textFill>
                  <w14:solidFill>
                    <w14:schemeClr w14:val="tx1"/>
                  </w14:solidFill>
                </w14:textFill>
              </w:rPr>
            </w:pPr>
            <w:r>
              <w:rPr>
                <w:rFonts w:hint="eastAsia"/>
                <w:color w:val="000000" w:themeColor="text1"/>
                <w:kern w:val="0"/>
                <w:szCs w:val="24"/>
                <w:highlight w:val="none"/>
                <w:lang w:bidi="ar"/>
                <w14:textFill>
                  <w14:solidFill>
                    <w14:schemeClr w14:val="tx1"/>
                  </w14:solidFill>
                </w14:textFill>
              </w:rPr>
              <w:t>本项目采用的容器和包装物材质、内衬与盛装的危险废物相容；容器和包装物满足相应的防渗、防漏、防腐和强度；硬质容器和包装物及其支护结构堆叠码放时无明显变形，无破损泄漏；柔性容器和包装物堆叠码放时封口严密，无破损泄漏；使用容器盛装液态、半固态危险废物时，容器内部留有适当的空间，以适应因温度变化等可能引发的收缩和膨胀，防止其导致容器渗漏或永久变形。</w:t>
            </w:r>
          </w:p>
          <w:p w14:paraId="124DC811">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D、贮存过程污染控制要求</w:t>
            </w:r>
          </w:p>
          <w:p w14:paraId="07EFB7D0">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①</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在常温常压下不易水解、不易挥发的固态危险废物可分类堆放贮存，其他固态危险废物应装</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入</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容器或包装物内贮存。液态危险废物</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装入容器内贮存。半固态危险废物</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装入容器或包装袋内贮存。易产生粉尘、VOCs、酸雾、有毒有害大气污染物和刺激性气味气体的危险废物</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装入闭口容器或包装物内贮存。危险废物贮存过程中易产生粉尘等无组织排放的，</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采取抑尘等有效措施。</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本项目</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危险废物贮存过程中</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不</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产生粉尘</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w:t>
            </w:r>
          </w:p>
          <w:p w14:paraId="4486B524">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②危险废物存入贮存设施前需对危险废物类别和特性与危险废物标签等危险废物识别标志的一致性进行核验，不一致的或类别、特性不明的不应存入。需定期检查危险废物的贮存状况，及时清理贮存设施地面，更换破损泄漏的危险废物贮存容器和包装物，保证堆存危险废物的防雨、防风、防扬尘等设施功能完好。贮存设施运行期间，需按国家有关标准和规定建立危险废物管理台账并保存。贮存设施所有者或运营者需建立贮存设施环境管理制度、管理人员岗位职责制度、设施运行操作制度、人员岗位培训制度等。</w:t>
            </w:r>
          </w:p>
          <w:p w14:paraId="1FFB01D0">
            <w:pPr>
              <w:keepNext w:val="0"/>
              <w:keepLines w:val="0"/>
              <w:pageBreakBefore w:val="0"/>
              <w:widowControl/>
              <w:suppressLineNumbers w:val="0"/>
              <w:shd w:val="clear"/>
              <w:kinsoku/>
              <w:wordWrap/>
              <w:overflowPunct/>
              <w:topLinePunct w:val="0"/>
              <w:autoSpaceDE/>
              <w:autoSpaceDN/>
              <w:bidi w:val="0"/>
              <w:adjustRightInd/>
              <w:snapToGrid/>
              <w:spacing w:afterAutospacing="0" w:line="478" w:lineRule="exact"/>
              <w:ind w:firstLine="480" w:firstLineChars="200"/>
              <w:jc w:val="both"/>
              <w:textAlignment w:val="auto"/>
              <w:outlineLvl w:val="9"/>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③</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贮存点</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具有固定的区域边界，并采取与其他区域进行隔离的措施。贮存点</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采取防风、防雨、防晒和防止危险废物流失、扬散等措施。贮存点贮存的危险废物</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置于容器或包装物中，不应直接散堆。贮存点</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及时清运贮存的危险废物，实时贮存量不应超过3吨。</w:t>
            </w:r>
          </w:p>
          <w:p w14:paraId="0654CF29">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E、环境应急要求</w:t>
            </w:r>
          </w:p>
          <w:p w14:paraId="652B491D">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①</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贮存设施所有者或运营者</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按照国家有关规定编制突发环境事件应急预案，定期开展必要的培训和环境应急演练，并做好培训、演练记录。</w:t>
            </w:r>
          </w:p>
          <w:p w14:paraId="24DA0EA1">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②</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贮存设施所有者或运营者</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需</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配备满足其突发环境事件应急要求的应急人员、装备和物资，并应设置应急照明系统</w:t>
            </w: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w:t>
            </w:r>
          </w:p>
          <w:p w14:paraId="44247D6A">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78" w:lineRule="exact"/>
              <w:ind w:left="0" w:leftChars="0" w:right="0" w:rightChars="0" w:firstLine="480" w:firstLineChars="200"/>
              <w:jc w:val="both"/>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eastAsia" w:cs="Times New Roman"/>
                <w:b w:val="0"/>
                <w:bCs w:val="0"/>
                <w:color w:val="000000" w:themeColor="text1"/>
                <w:sz w:val="24"/>
                <w:szCs w:val="24"/>
                <w:highlight w:val="none"/>
                <w:lang w:eastAsia="zh-CN"/>
                <w14:textFill>
                  <w14:solidFill>
                    <w14:schemeClr w14:val="tx1"/>
                  </w14:solidFill>
                </w14:textFill>
              </w:rPr>
              <w:t>⑶</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危险</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废物识别标志设置的</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环境管理要求</w:t>
            </w:r>
          </w:p>
          <w:p w14:paraId="53EA985F">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依据《危险废物识别标志设置技术规范》（HJ1276-2022）</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，本项目应采取以下措施</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w:t>
            </w:r>
          </w:p>
          <w:p w14:paraId="1B79F95B">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①危险废物识别标志的设置需具有足够的警示性；危险废物识别标志应设置在醒目的位置，避免被其他固定物体遮挡；危险废物识别标志与其他标志宜保持视觉上的分离。同一场所内，同一种类危险废物识别标志的尺寸、设置位置、设置方式和设置高度等宜保持一致。</w:t>
            </w:r>
            <w:r>
              <w:rPr>
                <w:rFonts w:hint="default" w:ascii="Times New Roman" w:hAnsi="Times New Roman" w:eastAsia="宋体" w:cs="Times New Roman"/>
                <w:color w:val="000000" w:themeColor="text1"/>
                <w:sz w:val="24"/>
                <w:szCs w:val="24"/>
                <w:highlight w:val="none"/>
                <w14:textFill>
                  <w14:solidFill>
                    <w14:schemeClr w14:val="tx1"/>
                  </w14:solidFill>
                </w14:textFill>
              </w:rPr>
              <w:t>对于盛装同一类危险废物的组合包装容器，应在组合包装容器的外表面设置危险废物标签。容积超过450L的容器或包装物，应在相对的两面都设置危险废物标签。危险废物标签的固定可采用印刷、粘贴、</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拴挂</w:t>
            </w:r>
            <w:r>
              <w:rPr>
                <w:rFonts w:hint="default" w:ascii="Times New Roman" w:hAnsi="Times New Roman" w:eastAsia="宋体" w:cs="Times New Roman"/>
                <w:color w:val="000000" w:themeColor="text1"/>
                <w:sz w:val="24"/>
                <w:szCs w:val="24"/>
                <w:highlight w:val="none"/>
                <w14:textFill>
                  <w14:solidFill>
                    <w14:schemeClr w14:val="tx1"/>
                  </w14:solidFill>
                </w14:textFill>
              </w:rPr>
              <w:t>、钉附等方式，标签的固定应保证在贮存、转移期间不易脱落和损坏。</w:t>
            </w:r>
          </w:p>
          <w:p w14:paraId="06BE7301">
            <w:pPr>
              <w:keepNext w:val="0"/>
              <w:keepLines w:val="0"/>
              <w:pageBreakBefore w:val="0"/>
              <w:widowControl/>
              <w:suppressLineNumbers w:val="0"/>
              <w:shd w:val="clear"/>
              <w:kinsoku/>
              <w:wordWrap/>
              <w:overflowPunct/>
              <w:topLinePunct w:val="0"/>
              <w:autoSpaceDE/>
              <w:autoSpaceDN/>
              <w:bidi w:val="0"/>
              <w:spacing w:line="478" w:lineRule="exact"/>
              <w:ind w:firstLine="480" w:firstLineChars="200"/>
              <w:jc w:val="both"/>
              <w:textAlignment w:val="auto"/>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②危险废物标签</w:t>
            </w:r>
            <w:r>
              <w:rPr>
                <w:rFonts w:hint="eastAsia"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的</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内容要求：危险废物标签需以醒目的字样标注“危险废物”。危险废物标签需包含废物名称、废物类别、废物代码、废物形态、危险特性、主要成分、有害成分、注意事项、产生/收集单位名称、联系人、联系方式、产生日期、废物重量和备注。危险废物标签宜设置危险废物数字识别码和二维码。</w:t>
            </w:r>
          </w:p>
          <w:p w14:paraId="7A1F5C4C">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按照《危险废物贮存污染控制标准》（GB18597-20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《危险废物识别标志设置技术规范》（HJ1276-2022）</w:t>
            </w:r>
            <w:r>
              <w:rPr>
                <w:rFonts w:hint="default" w:ascii="Times New Roman" w:hAnsi="Times New Roman" w:eastAsia="宋体" w:cs="Times New Roman"/>
                <w:color w:val="000000" w:themeColor="text1"/>
                <w:sz w:val="24"/>
                <w:szCs w:val="24"/>
                <w:highlight w:val="none"/>
                <w14:textFill>
                  <w14:solidFill>
                    <w14:schemeClr w14:val="tx1"/>
                  </w14:solidFill>
                </w14:textFill>
              </w:rPr>
              <w:t>相关规定要求，</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危险废物暂存间</w:t>
            </w:r>
            <w:r>
              <w:rPr>
                <w:rFonts w:hint="default" w:ascii="Times New Roman" w:hAnsi="Times New Roman" w:eastAsia="宋体" w:cs="Times New Roman"/>
                <w:color w:val="000000" w:themeColor="text1"/>
                <w:sz w:val="24"/>
                <w:szCs w:val="24"/>
                <w:highlight w:val="none"/>
                <w14:textFill>
                  <w14:solidFill>
                    <w14:schemeClr w14:val="tx1"/>
                  </w14:solidFill>
                </w14:textFill>
              </w:rPr>
              <w:t>及危险废物储存容器上需要张贴标签，具体要求如下</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6CB7266C">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17B1E747">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6D82060B">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6C59B93C">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60563872">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5ABD5E51">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60C9659B">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26F315E0">
            <w:pPr>
              <w:pStyle w:val="79"/>
              <w:keepNext w:val="0"/>
              <w:keepLines w:val="0"/>
              <w:pageBreakBefore w:val="0"/>
              <w:widowControl w:val="0"/>
              <w:suppressLineNumbers w:val="0"/>
              <w:shd w:val="clear"/>
              <w:kinsoku/>
              <w:wordWrap/>
              <w:overflowPunct/>
              <w:topLinePunct w:val="0"/>
              <w:autoSpaceDE/>
              <w:autoSpaceDN/>
              <w:bidi w:val="0"/>
              <w:spacing w:beforeAutospacing="0" w:after="0" w:afterAutospacing="0" w:line="478" w:lineRule="exact"/>
              <w:ind w:left="0"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p>
          <w:p w14:paraId="039D6BEE">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危险废物暂存间</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及储存容器标签示例</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一览表</w:t>
            </w:r>
          </w:p>
          <w:tbl>
            <w:tblPr>
              <w:tblStyle w:val="32"/>
              <w:tblW w:w="7937"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13" w:type="dxa"/>
                <w:bottom w:w="0" w:type="dxa"/>
                <w:right w:w="0" w:type="dxa"/>
              </w:tblCellMar>
            </w:tblPr>
            <w:tblGrid>
              <w:gridCol w:w="1191"/>
              <w:gridCol w:w="2067"/>
              <w:gridCol w:w="4679"/>
            </w:tblGrid>
            <w:tr w14:paraId="581B265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13" w:type="dxa"/>
                  <w:bottom w:w="0" w:type="dxa"/>
                  <w:right w:w="0" w:type="dxa"/>
                </w:tblCellMar>
              </w:tblPrEx>
              <w:trPr>
                <w:trHeight w:val="373" w:hRule="atLeast"/>
                <w:jc w:val="center"/>
              </w:trPr>
              <w:tc>
                <w:tcPr>
                  <w:tcW w:w="1249" w:type="dxa"/>
                  <w:tcBorders>
                    <w:tl2br w:val="nil"/>
                    <w:tr2bl w:val="nil"/>
                  </w:tcBorders>
                  <w:noWrap w:val="0"/>
                  <w:vAlign w:val="center"/>
                </w:tcPr>
                <w:p w14:paraId="7C7608BD">
                  <w:pPr>
                    <w:keepNext w:val="0"/>
                    <w:keepLines w:val="0"/>
                    <w:pageBreakBefore w:val="0"/>
                    <w:widowControl w:val="0"/>
                    <w:shd w:val="clear"/>
                    <w:kinsoku/>
                    <w:wordWrap/>
                    <w:overflowPunct/>
                    <w:topLinePunct w:val="0"/>
                    <w:autoSpaceDE/>
                    <w:autoSpaceDN/>
                    <w:bidi w:val="0"/>
                    <w:adjustRightInd/>
                    <w:snapToGrid/>
                    <w:spacing w:line="0" w:lineRule="atLeast"/>
                    <w:ind w:left="24" w:leftChars="10" w:right="24" w:rightChars="1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场合</w:t>
                  </w:r>
                </w:p>
              </w:tc>
              <w:tc>
                <w:tcPr>
                  <w:tcW w:w="2172" w:type="dxa"/>
                  <w:tcBorders>
                    <w:tl2br w:val="nil"/>
                    <w:tr2bl w:val="nil"/>
                  </w:tcBorders>
                  <w:noWrap w:val="0"/>
                  <w:vAlign w:val="center"/>
                </w:tcPr>
                <w:p w14:paraId="3645AC8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样式</w:t>
                  </w:r>
                </w:p>
              </w:tc>
              <w:tc>
                <w:tcPr>
                  <w:tcW w:w="4925" w:type="dxa"/>
                  <w:tcBorders>
                    <w:tl2br w:val="nil"/>
                    <w:tr2bl w:val="nil"/>
                  </w:tcBorders>
                  <w:noWrap w:val="0"/>
                  <w:vAlign w:val="center"/>
                </w:tcPr>
                <w:p w14:paraId="601E0EC2">
                  <w:pPr>
                    <w:keepNext w:val="0"/>
                    <w:keepLines w:val="0"/>
                    <w:pageBreakBefore w:val="0"/>
                    <w:widowControl w:val="0"/>
                    <w:shd w:val="clear"/>
                    <w:kinsoku/>
                    <w:wordWrap/>
                    <w:overflowPunct/>
                    <w:topLinePunct w:val="0"/>
                    <w:autoSpaceDE/>
                    <w:autoSpaceDN/>
                    <w:bidi w:val="0"/>
                    <w:adjustRightInd/>
                    <w:snapToGrid/>
                    <w:spacing w:line="0" w:lineRule="atLeast"/>
                    <w:ind w:firstLine="420" w:firstLineChars="20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要求</w:t>
                  </w:r>
                </w:p>
              </w:tc>
            </w:tr>
            <w:tr w14:paraId="280209D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13" w:type="dxa"/>
                  <w:bottom w:w="0" w:type="dxa"/>
                  <w:right w:w="0" w:type="dxa"/>
                </w:tblCellMar>
              </w:tblPrEx>
              <w:trPr>
                <w:trHeight w:val="90" w:hRule="atLeast"/>
                <w:jc w:val="center"/>
              </w:trPr>
              <w:tc>
                <w:tcPr>
                  <w:tcW w:w="1249" w:type="dxa"/>
                  <w:tcBorders>
                    <w:tl2br w:val="nil"/>
                    <w:tr2bl w:val="nil"/>
                  </w:tcBorders>
                  <w:noWrap w:val="0"/>
                  <w:vAlign w:val="center"/>
                </w:tcPr>
                <w:p w14:paraId="496255B9">
                  <w:pPr>
                    <w:keepNext w:val="0"/>
                    <w:keepLines w:val="0"/>
                    <w:pageBreakBefore w:val="0"/>
                    <w:widowControl w:val="0"/>
                    <w:shd w:val="clear"/>
                    <w:kinsoku/>
                    <w:wordWrap/>
                    <w:overflowPunct/>
                    <w:topLinePunct w:val="0"/>
                    <w:autoSpaceDE/>
                    <w:autoSpaceDN/>
                    <w:bidi w:val="0"/>
                    <w:adjustRightInd/>
                    <w:snapToGrid/>
                    <w:spacing w:line="0" w:lineRule="atLeast"/>
                    <w:ind w:left="24" w:leftChars="10" w:right="24" w:rightChars="1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室外（粘贴于门上或悬挂）</w:t>
                  </w:r>
                </w:p>
              </w:tc>
              <w:tc>
                <w:tcPr>
                  <w:tcW w:w="2172" w:type="dxa"/>
                  <w:tcBorders>
                    <w:tl2br w:val="nil"/>
                    <w:tr2bl w:val="nil"/>
                  </w:tcBorders>
                  <w:noWrap w:val="0"/>
                  <w:vAlign w:val="center"/>
                </w:tcPr>
                <w:p w14:paraId="1980733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237615" cy="781685"/>
                        <wp:effectExtent l="0" t="0" r="635" b="18415"/>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39"/>
                                <a:stretch>
                                  <a:fillRect/>
                                </a:stretch>
                              </pic:blipFill>
                              <pic:spPr>
                                <a:xfrm>
                                  <a:off x="0" y="0"/>
                                  <a:ext cx="1237615" cy="781685"/>
                                </a:xfrm>
                                <a:prstGeom prst="rect">
                                  <a:avLst/>
                                </a:prstGeom>
                                <a:noFill/>
                                <a:ln>
                                  <a:noFill/>
                                </a:ln>
                              </pic:spPr>
                            </pic:pic>
                          </a:graphicData>
                        </a:graphic>
                      </wp:inline>
                    </w:drawing>
                  </w:r>
                </w:p>
              </w:tc>
              <w:tc>
                <w:tcPr>
                  <w:tcW w:w="4925" w:type="dxa"/>
                  <w:tcBorders>
                    <w:tl2br w:val="nil"/>
                    <w:tr2bl w:val="nil"/>
                  </w:tcBorders>
                  <w:noWrap w:val="0"/>
                  <w:vAlign w:val="center"/>
                </w:tcPr>
                <w:p w14:paraId="0351F7D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危险废物设施标志背景颜色为黄色，字体和边框颜色为黑色。</w:t>
                  </w:r>
                </w:p>
                <w:p w14:paraId="6550345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采用坚固耐用的材料（如</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1.5mm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2mm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冷轧钢板），并做搪瓷处理或贴膜处理。一般不宜使用遇水变形、变质或易燃的材料。</w:t>
                  </w:r>
                </w:p>
                <w:p w14:paraId="1626AA4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三角形警告性图形与其他信息间宜加黑色分界线区分，分界线的宽度宜不小于</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3mm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p>
              </w:tc>
            </w:tr>
            <w:tr w14:paraId="78DA1F0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13" w:type="dxa"/>
                  <w:bottom w:w="0" w:type="dxa"/>
                  <w:right w:w="0" w:type="dxa"/>
                </w:tblCellMar>
              </w:tblPrEx>
              <w:trPr>
                <w:trHeight w:val="2146" w:hRule="atLeast"/>
                <w:jc w:val="center"/>
              </w:trPr>
              <w:tc>
                <w:tcPr>
                  <w:tcW w:w="1249" w:type="dxa"/>
                  <w:tcBorders>
                    <w:tl2br w:val="nil"/>
                    <w:tr2bl w:val="nil"/>
                  </w:tcBorders>
                  <w:noWrap w:val="0"/>
                  <w:vAlign w:val="center"/>
                </w:tcPr>
                <w:p w14:paraId="4FD6744F">
                  <w:pPr>
                    <w:keepNext w:val="0"/>
                    <w:keepLines w:val="0"/>
                    <w:pageBreakBefore w:val="0"/>
                    <w:widowControl w:val="0"/>
                    <w:shd w:val="clear"/>
                    <w:kinsoku/>
                    <w:wordWrap/>
                    <w:overflowPunct/>
                    <w:topLinePunct w:val="0"/>
                    <w:autoSpaceDE/>
                    <w:autoSpaceDN/>
                    <w:bidi w:val="0"/>
                    <w:adjustRightInd/>
                    <w:snapToGrid/>
                    <w:spacing w:line="0" w:lineRule="atLeast"/>
                    <w:ind w:left="24" w:leftChars="10" w:right="24" w:rightChars="1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粘贴于危险废物储存容器</w:t>
                  </w:r>
                </w:p>
              </w:tc>
              <w:tc>
                <w:tcPr>
                  <w:tcW w:w="2172" w:type="dxa"/>
                  <w:tcBorders>
                    <w:tl2br w:val="nil"/>
                    <w:tr2bl w:val="nil"/>
                  </w:tcBorders>
                  <w:noWrap w:val="0"/>
                  <w:vAlign w:val="center"/>
                </w:tcPr>
                <w:p w14:paraId="6E6C883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238885" cy="1238885"/>
                        <wp:effectExtent l="0" t="0" r="18415" b="18415"/>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40"/>
                                <a:stretch>
                                  <a:fillRect/>
                                </a:stretch>
                              </pic:blipFill>
                              <pic:spPr>
                                <a:xfrm>
                                  <a:off x="0" y="0"/>
                                  <a:ext cx="1238885" cy="1238885"/>
                                </a:xfrm>
                                <a:prstGeom prst="rect">
                                  <a:avLst/>
                                </a:prstGeom>
                                <a:noFill/>
                                <a:ln>
                                  <a:noFill/>
                                </a:ln>
                              </pic:spPr>
                            </pic:pic>
                          </a:graphicData>
                        </a:graphic>
                      </wp:inline>
                    </w:drawing>
                  </w:r>
                </w:p>
              </w:tc>
              <w:tc>
                <w:tcPr>
                  <w:tcW w:w="4925" w:type="dxa"/>
                  <w:tcBorders>
                    <w:tl2br w:val="nil"/>
                    <w:tr2bl w:val="nil"/>
                  </w:tcBorders>
                  <w:noWrap w:val="0"/>
                  <w:vAlign w:val="center"/>
                </w:tcPr>
                <w:p w14:paraId="33365EE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危险废物标签背景色应采用醒目的橘黄色，标签边框和字体颜色为黑色。</w:t>
                  </w:r>
                </w:p>
                <w:p w14:paraId="5F0CF5D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危险废物标签所选用的材质宜具有一定的耐用性和防水性。标签可采用不干胶印刷品，或印刷品外</w:t>
                  </w:r>
                </w:p>
                <w:p w14:paraId="0FBB26D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加防水塑料袋或塑封等。</w:t>
                  </w:r>
                </w:p>
                <w:p w14:paraId="17E4D76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危险废物标签的文字边缘加黑色边框，边框宽度不小于</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1mm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，边框外宜留不小于</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3mm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的空白。</w:t>
                  </w:r>
                </w:p>
              </w:tc>
            </w:tr>
            <w:tr w14:paraId="24266F2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13" w:type="dxa"/>
                  <w:bottom w:w="0" w:type="dxa"/>
                  <w:right w:w="0" w:type="dxa"/>
                </w:tblCellMar>
              </w:tblPrEx>
              <w:trPr>
                <w:trHeight w:val="2298" w:hRule="atLeast"/>
                <w:jc w:val="center"/>
              </w:trPr>
              <w:tc>
                <w:tcPr>
                  <w:tcW w:w="1249" w:type="dxa"/>
                  <w:tcBorders>
                    <w:tl2br w:val="nil"/>
                    <w:tr2bl w:val="nil"/>
                  </w:tcBorders>
                  <w:noWrap w:val="0"/>
                  <w:vAlign w:val="center"/>
                </w:tcPr>
                <w:p w14:paraId="1D380AB0">
                  <w:pPr>
                    <w:keepNext w:val="0"/>
                    <w:keepLines w:val="0"/>
                    <w:pageBreakBefore w:val="0"/>
                    <w:widowControl w:val="0"/>
                    <w:shd w:val="clear"/>
                    <w:kinsoku/>
                    <w:wordWrap/>
                    <w:overflowPunct/>
                    <w:topLinePunct w:val="0"/>
                    <w:autoSpaceDE/>
                    <w:autoSpaceDN/>
                    <w:bidi w:val="0"/>
                    <w:adjustRightInd/>
                    <w:snapToGrid/>
                    <w:spacing w:line="0" w:lineRule="atLeast"/>
                    <w:ind w:left="24" w:leftChars="10" w:right="24" w:rightChars="1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危险废物贮存分区标志</w:t>
                  </w:r>
                </w:p>
              </w:tc>
              <w:tc>
                <w:tcPr>
                  <w:tcW w:w="2172" w:type="dxa"/>
                  <w:tcBorders>
                    <w:tl2br w:val="nil"/>
                    <w:tr2bl w:val="nil"/>
                  </w:tcBorders>
                  <w:noWrap w:val="0"/>
                  <w:vAlign w:val="center"/>
                </w:tcPr>
                <w:p w14:paraId="62CB481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240155" cy="1038860"/>
                        <wp:effectExtent l="0" t="0" r="17145" b="889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41"/>
                                <a:stretch>
                                  <a:fillRect/>
                                </a:stretch>
                              </pic:blipFill>
                              <pic:spPr>
                                <a:xfrm>
                                  <a:off x="0" y="0"/>
                                  <a:ext cx="1240155" cy="1038860"/>
                                </a:xfrm>
                                <a:prstGeom prst="rect">
                                  <a:avLst/>
                                </a:prstGeom>
                                <a:noFill/>
                                <a:ln>
                                  <a:noFill/>
                                </a:ln>
                              </pic:spPr>
                            </pic:pic>
                          </a:graphicData>
                        </a:graphic>
                      </wp:inline>
                    </w:drawing>
                  </w:r>
                </w:p>
              </w:tc>
              <w:tc>
                <w:tcPr>
                  <w:tcW w:w="4925" w:type="dxa"/>
                  <w:tcBorders>
                    <w:tl2br w:val="nil"/>
                    <w:tr2bl w:val="nil"/>
                  </w:tcBorders>
                  <w:noWrap w:val="0"/>
                  <w:vAlign w:val="center"/>
                </w:tcPr>
                <w:p w14:paraId="6E979D4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危险废物分区标志背景色应采用黄色。废物种类信息应采用醒目的橘黄色，字体颜色为黑色。</w:t>
                  </w:r>
                </w:p>
                <w:p w14:paraId="08EEF31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危险废物贮存分区标志的衬底宜采用坚固耐用的材料，并具有耐用性和防水性。废物贮存种类信息等可采用印刷纸张、不粘胶材质或塑料卡片等，以便固定在衬底上。</w:t>
                  </w:r>
                </w:p>
                <w:p w14:paraId="70FF73F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420" w:firstLineChars="200"/>
                    <w:jc w:val="left"/>
                    <w:textAlignment w:val="auto"/>
                    <w:rPr>
                      <w:rFonts w:hint="default" w:ascii="Times New Roman" w:hAnsi="Times New Roman" w:cs="Times New Roman"/>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“危险废物贮存分区标志”字样与其他信息宜加黑色分界线区分，分界线的宽度不小于</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2mm</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p>
              </w:tc>
            </w:tr>
          </w:tbl>
          <w:p w14:paraId="3F023428">
            <w:pPr>
              <w:pStyle w:val="42"/>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eastAsia" w:cs="Times New Roman"/>
                <w:b w:val="0"/>
                <w:bCs/>
                <w:color w:val="000000" w:themeColor="text1"/>
                <w:sz w:val="24"/>
                <w:szCs w:val="24"/>
                <w:highlight w:val="none"/>
                <w:lang w:val="en-US" w:eastAsia="zh-CN"/>
                <w14:textFill>
                  <w14:solidFill>
                    <w14:schemeClr w14:val="tx1"/>
                  </w14:solidFill>
                </w14:textFill>
              </w:rPr>
              <w:t>现有工程设置1座危险废物暂存间，面积为8.75m</w:t>
            </w:r>
            <w:r>
              <w:rPr>
                <w:rFonts w:hint="eastAsia" w:cs="Times New Roman"/>
                <w:b w:val="0"/>
                <w:bCs/>
                <w:color w:val="000000" w:themeColor="text1"/>
                <w:sz w:val="24"/>
                <w:szCs w:val="24"/>
                <w:highlight w:val="none"/>
                <w:vertAlign w:val="superscript"/>
                <w:lang w:val="en-US" w:eastAsia="zh-CN"/>
                <w14:textFill>
                  <w14:solidFill>
                    <w14:schemeClr w14:val="tx1"/>
                  </w14:solidFill>
                </w14:textFill>
              </w:rPr>
              <w:t>2</w:t>
            </w:r>
            <w:r>
              <w:rPr>
                <w:rFonts w:hint="eastAsia" w:cs="Times New Roman"/>
                <w:b w:val="0"/>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本项目依托现有工程危险废物暂存间储存危险废物</w:t>
            </w:r>
            <w:r>
              <w:rPr>
                <w:rFonts w:hint="eastAsia" w:cs="Times New Roman"/>
                <w:b w:val="0"/>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本次新增危险废物为</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废润滑油和废油桶</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，产生量</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分别</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为0.0</w:t>
            </w:r>
            <w:r>
              <w:rPr>
                <w:rFonts w:hint="eastAsia" w:cs="Times New Roman"/>
                <w:b w:val="0"/>
                <w:bCs/>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t/a</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和0.02t/a</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，目前，危险废物暂存间剩余容量为</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6</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m</w:t>
            </w:r>
            <w:r>
              <w:rPr>
                <w:rFonts w:hint="eastAsia" w:ascii="Times New Roman" w:hAnsi="Times New Roman" w:eastAsia="宋体" w:cs="Times New Roman"/>
                <w:b w:val="0"/>
                <w:bCs/>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，能够容纳本项目产生的危险废物。</w:t>
            </w:r>
          </w:p>
          <w:p w14:paraId="0809E6D9">
            <w:pPr>
              <w:pStyle w:val="42"/>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危险废物贮存场所基本情况见下表。</w:t>
            </w:r>
          </w:p>
          <w:p w14:paraId="1673630A">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危险废物贮存场所基本情况一览表</w:t>
            </w:r>
          </w:p>
          <w:tbl>
            <w:tblPr>
              <w:tblStyle w:val="32"/>
              <w:tblW w:w="7894"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524"/>
              <w:gridCol w:w="839"/>
              <w:gridCol w:w="1368"/>
              <w:gridCol w:w="757"/>
              <w:gridCol w:w="1066"/>
              <w:gridCol w:w="578"/>
              <w:gridCol w:w="833"/>
              <w:gridCol w:w="658"/>
              <w:gridCol w:w="598"/>
              <w:gridCol w:w="673"/>
            </w:tblGrid>
            <w:tr w14:paraId="0C561D1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02" w:hRule="atLeast"/>
                <w:jc w:val="center"/>
              </w:trPr>
              <w:tc>
                <w:tcPr>
                  <w:tcW w:w="524" w:type="dxa"/>
                  <w:tcBorders>
                    <w:tl2br w:val="nil"/>
                    <w:tr2bl w:val="nil"/>
                  </w:tcBorders>
                  <w:noWrap w:val="0"/>
                  <w:vAlign w:val="center"/>
                </w:tcPr>
                <w:p w14:paraId="799A466E">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序号</w:t>
                  </w:r>
                </w:p>
              </w:tc>
              <w:tc>
                <w:tcPr>
                  <w:tcW w:w="839" w:type="dxa"/>
                  <w:tcBorders>
                    <w:tl2br w:val="nil"/>
                    <w:tr2bl w:val="nil"/>
                  </w:tcBorders>
                  <w:noWrap w:val="0"/>
                  <w:vAlign w:val="center"/>
                </w:tcPr>
                <w:p w14:paraId="0924C064">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贮存场所名称</w:t>
                  </w:r>
                </w:p>
              </w:tc>
              <w:tc>
                <w:tcPr>
                  <w:tcW w:w="1368" w:type="dxa"/>
                  <w:tcBorders>
                    <w:tl2br w:val="nil"/>
                    <w:tr2bl w:val="nil"/>
                  </w:tcBorders>
                  <w:noWrap w:val="0"/>
                  <w:vAlign w:val="center"/>
                </w:tcPr>
                <w:p w14:paraId="58FA55F0">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危险废物名称</w:t>
                  </w:r>
                </w:p>
              </w:tc>
              <w:tc>
                <w:tcPr>
                  <w:tcW w:w="757" w:type="dxa"/>
                  <w:tcBorders>
                    <w:tl2br w:val="nil"/>
                    <w:tr2bl w:val="nil"/>
                  </w:tcBorders>
                  <w:noWrap w:val="0"/>
                  <w:vAlign w:val="center"/>
                </w:tcPr>
                <w:p w14:paraId="3E7CDC3A">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危险废物类别</w:t>
                  </w:r>
                </w:p>
              </w:tc>
              <w:tc>
                <w:tcPr>
                  <w:tcW w:w="1066" w:type="dxa"/>
                  <w:tcBorders>
                    <w:tl2br w:val="nil"/>
                    <w:tr2bl w:val="nil"/>
                  </w:tcBorders>
                  <w:noWrap w:val="0"/>
                  <w:vAlign w:val="center"/>
                </w:tcPr>
                <w:p w14:paraId="0629B7A9">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危险废物代码</w:t>
                  </w:r>
                </w:p>
              </w:tc>
              <w:tc>
                <w:tcPr>
                  <w:tcW w:w="578" w:type="dxa"/>
                  <w:tcBorders>
                    <w:tl2br w:val="nil"/>
                    <w:tr2bl w:val="nil"/>
                  </w:tcBorders>
                  <w:noWrap w:val="0"/>
                  <w:vAlign w:val="center"/>
                </w:tcPr>
                <w:p w14:paraId="5434CBFC">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位置</w:t>
                  </w:r>
                </w:p>
              </w:tc>
              <w:tc>
                <w:tcPr>
                  <w:tcW w:w="833" w:type="dxa"/>
                  <w:tcBorders>
                    <w:tl2br w:val="nil"/>
                    <w:tr2bl w:val="nil"/>
                  </w:tcBorders>
                  <w:noWrap w:val="0"/>
                  <w:vAlign w:val="center"/>
                </w:tcPr>
                <w:p w14:paraId="5AEC0B4A">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占地面积</w:t>
                  </w:r>
                </w:p>
              </w:tc>
              <w:tc>
                <w:tcPr>
                  <w:tcW w:w="658" w:type="dxa"/>
                  <w:tcBorders>
                    <w:tl2br w:val="nil"/>
                    <w:tr2bl w:val="nil"/>
                  </w:tcBorders>
                  <w:noWrap w:val="0"/>
                  <w:vAlign w:val="center"/>
                </w:tcPr>
                <w:p w14:paraId="122FF7EA">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贮存方式</w:t>
                  </w:r>
                </w:p>
              </w:tc>
              <w:tc>
                <w:tcPr>
                  <w:tcW w:w="598" w:type="dxa"/>
                  <w:tcBorders>
                    <w:tl2br w:val="nil"/>
                    <w:tr2bl w:val="nil"/>
                  </w:tcBorders>
                  <w:noWrap w:val="0"/>
                  <w:vAlign w:val="center"/>
                </w:tcPr>
                <w:p w14:paraId="09A6CA00">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贮存</w:t>
                  </w:r>
                </w:p>
                <w:p w14:paraId="278830F6">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能力</w:t>
                  </w:r>
                </w:p>
              </w:tc>
              <w:tc>
                <w:tcPr>
                  <w:tcW w:w="673" w:type="dxa"/>
                  <w:tcBorders>
                    <w:tl2br w:val="nil"/>
                    <w:tr2bl w:val="nil"/>
                  </w:tcBorders>
                  <w:noWrap w:val="0"/>
                  <w:vAlign w:val="center"/>
                </w:tcPr>
                <w:p w14:paraId="49B57A45">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贮存</w:t>
                  </w:r>
                </w:p>
                <w:p w14:paraId="0269C803">
                  <w:pPr>
                    <w:keepNext w:val="0"/>
                    <w:keepLines w:val="0"/>
                    <w:pageBreakBefore w:val="0"/>
                    <w:widowControl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周期</w:t>
                  </w:r>
                </w:p>
              </w:tc>
            </w:tr>
            <w:tr w14:paraId="0F1E519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75" w:hRule="atLeast"/>
                <w:jc w:val="center"/>
              </w:trPr>
              <w:tc>
                <w:tcPr>
                  <w:tcW w:w="524" w:type="dxa"/>
                  <w:tcBorders>
                    <w:tl2br w:val="nil"/>
                    <w:tr2bl w:val="nil"/>
                  </w:tcBorders>
                  <w:noWrap w:val="0"/>
                  <w:vAlign w:val="center"/>
                </w:tcPr>
                <w:p w14:paraId="5EF3D4DE">
                  <w:pPr>
                    <w:keepNext w:val="0"/>
                    <w:keepLines w:val="0"/>
                    <w:pageBreakBefore w:val="0"/>
                    <w:widowControl w:val="0"/>
                    <w:numPr>
                      <w:ilvl w:val="0"/>
                      <w:numId w:val="21"/>
                    </w:numPr>
                    <w:shd w:val="clear"/>
                    <w:kinsoku/>
                    <w:wordWrap/>
                    <w:overflowPunct/>
                    <w:topLinePunct/>
                    <w:autoSpaceDE/>
                    <w:autoSpaceDN/>
                    <w:bidi w:val="0"/>
                    <w:adjustRightInd w:val="0"/>
                    <w:snapToGrid w:val="0"/>
                    <w:spacing w:line="0" w:lineRule="atLeast"/>
                    <w:ind w:left="0" w:leftChars="0"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839" w:type="dxa"/>
                  <w:vMerge w:val="restart"/>
                  <w:tcBorders>
                    <w:tl2br w:val="nil"/>
                    <w:tr2bl w:val="nil"/>
                  </w:tcBorders>
                  <w:noWrap w:val="0"/>
                  <w:vAlign w:val="center"/>
                </w:tcPr>
                <w:p w14:paraId="5914A5BA">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cs="Times New Roman"/>
                      <w:color w:val="000000" w:themeColor="text1"/>
                      <w:kern w:val="0"/>
                      <w:sz w:val="18"/>
                      <w:szCs w:val="18"/>
                      <w:highlight w:val="none"/>
                      <w:lang w:val="en-US" w:eastAsia="zh-CN"/>
                      <w14:textFill>
                        <w14:solidFill>
                          <w14:schemeClr w14:val="tx1"/>
                        </w14:solidFill>
                      </w14:textFill>
                    </w:rPr>
                    <w:t>危险废物暂存间</w:t>
                  </w:r>
                </w:p>
              </w:tc>
              <w:tc>
                <w:tcPr>
                  <w:tcW w:w="1368" w:type="dxa"/>
                  <w:tcBorders>
                    <w:tl2br w:val="nil"/>
                    <w:tr2bl w:val="nil"/>
                  </w:tcBorders>
                  <w:shd w:val="clear" w:color="auto" w:fill="auto"/>
                  <w:noWrap w:val="0"/>
                  <w:vAlign w:val="center"/>
                </w:tcPr>
                <w:p w14:paraId="2677EB08">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b w:val="0"/>
                      <w:bCs w:val="0"/>
                      <w:color w:val="000000" w:themeColor="text1"/>
                      <w:kern w:val="0"/>
                      <w:sz w:val="18"/>
                      <w:szCs w:val="18"/>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w w:val="100"/>
                      <w:kern w:val="2"/>
                      <w:sz w:val="18"/>
                      <w:szCs w:val="18"/>
                      <w:highlight w:val="none"/>
                      <w:vertAlign w:val="baseline"/>
                      <w:lang w:val="en-US" w:eastAsia="zh-CN" w:bidi="ar-SA"/>
                      <w14:textFill>
                        <w14:solidFill>
                          <w14:schemeClr w14:val="tx1"/>
                        </w14:solidFill>
                      </w14:textFill>
                    </w:rPr>
                    <w:t>废润滑油</w:t>
                  </w:r>
                </w:p>
              </w:tc>
              <w:tc>
                <w:tcPr>
                  <w:tcW w:w="757" w:type="dxa"/>
                  <w:vMerge w:val="restart"/>
                  <w:tcBorders>
                    <w:tl2br w:val="nil"/>
                    <w:tr2bl w:val="nil"/>
                  </w:tcBorders>
                  <w:shd w:val="clear" w:color="auto" w:fill="auto"/>
                  <w:noWrap w:val="0"/>
                  <w:vAlign w:val="center"/>
                </w:tcPr>
                <w:p w14:paraId="4DB2919B">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HW08</w:t>
                  </w:r>
                </w:p>
              </w:tc>
              <w:tc>
                <w:tcPr>
                  <w:tcW w:w="1066" w:type="dxa"/>
                  <w:tcBorders>
                    <w:tl2br w:val="nil"/>
                    <w:tr2bl w:val="nil"/>
                  </w:tcBorders>
                  <w:shd w:val="clear" w:color="auto" w:fill="auto"/>
                  <w:noWrap w:val="0"/>
                  <w:vAlign w:val="center"/>
                </w:tcPr>
                <w:p w14:paraId="49F493B2">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900-217-08</w:t>
                  </w:r>
                </w:p>
              </w:tc>
              <w:tc>
                <w:tcPr>
                  <w:tcW w:w="578" w:type="dxa"/>
                  <w:vMerge w:val="restart"/>
                  <w:tcBorders>
                    <w:tl2br w:val="nil"/>
                    <w:tr2bl w:val="nil"/>
                  </w:tcBorders>
                  <w:noWrap w:val="0"/>
                  <w:vAlign w:val="center"/>
                </w:tcPr>
                <w:p w14:paraId="530693C3">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cs="Times New Roman"/>
                      <w:color w:val="000000" w:themeColor="text1"/>
                      <w:kern w:val="0"/>
                      <w:sz w:val="18"/>
                      <w:szCs w:val="18"/>
                      <w:highlight w:val="none"/>
                      <w:lang w:val="en-US" w:eastAsia="zh-CN" w:bidi="ar-SA"/>
                      <w14:textFill>
                        <w14:solidFill>
                          <w14:schemeClr w14:val="tx1"/>
                        </w14:solidFill>
                      </w14:textFill>
                    </w:rPr>
                    <w:t>现有工程南侧</w:t>
                  </w:r>
                </w:p>
              </w:tc>
              <w:tc>
                <w:tcPr>
                  <w:tcW w:w="833" w:type="dxa"/>
                  <w:vMerge w:val="restart"/>
                  <w:tcBorders>
                    <w:tl2br w:val="nil"/>
                    <w:tr2bl w:val="nil"/>
                  </w:tcBorders>
                  <w:noWrap w:val="0"/>
                  <w:vAlign w:val="center"/>
                </w:tcPr>
                <w:p w14:paraId="792F8355">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cs="Times New Roman"/>
                      <w:color w:val="000000" w:themeColor="text1"/>
                      <w:kern w:val="0"/>
                      <w:sz w:val="18"/>
                      <w:szCs w:val="18"/>
                      <w:highlight w:val="none"/>
                      <w:lang w:val="en-US" w:eastAsia="zh-CN" w:bidi="ar-SA"/>
                      <w14:textFill>
                        <w14:solidFill>
                          <w14:schemeClr w14:val="tx1"/>
                        </w14:solidFill>
                      </w14:textFill>
                    </w:rPr>
                    <w:t>8.75m</w:t>
                  </w:r>
                  <w:r>
                    <w:rPr>
                      <w:rFonts w:hint="eastAsia" w:cs="Times New Roman"/>
                      <w:color w:val="000000" w:themeColor="text1"/>
                      <w:kern w:val="0"/>
                      <w:sz w:val="18"/>
                      <w:szCs w:val="18"/>
                      <w:highlight w:val="none"/>
                      <w:vertAlign w:val="superscript"/>
                      <w:lang w:val="en-US" w:eastAsia="zh-CN" w:bidi="ar-SA"/>
                      <w14:textFill>
                        <w14:solidFill>
                          <w14:schemeClr w14:val="tx1"/>
                        </w14:solidFill>
                      </w14:textFill>
                    </w:rPr>
                    <w:t>2</w:t>
                  </w:r>
                </w:p>
              </w:tc>
              <w:tc>
                <w:tcPr>
                  <w:tcW w:w="658" w:type="dxa"/>
                  <w:tcBorders>
                    <w:tl2br w:val="nil"/>
                    <w:tr2bl w:val="nil"/>
                  </w:tcBorders>
                  <w:noWrap w:val="0"/>
                  <w:vAlign w:val="center"/>
                </w:tcPr>
                <w:p w14:paraId="5632A272">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大桶带盖</w:t>
                  </w:r>
                </w:p>
              </w:tc>
              <w:tc>
                <w:tcPr>
                  <w:tcW w:w="598" w:type="dxa"/>
                  <w:vMerge w:val="restart"/>
                  <w:tcBorders>
                    <w:tl2br w:val="nil"/>
                    <w:tr2bl w:val="nil"/>
                  </w:tcBorders>
                  <w:noWrap w:val="0"/>
                  <w:vAlign w:val="center"/>
                </w:tcPr>
                <w:p w14:paraId="6299EE3D">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b w:val="0"/>
                      <w:bCs w:val="0"/>
                      <w:color w:val="000000" w:themeColor="text1"/>
                      <w:kern w:val="0"/>
                      <w:sz w:val="18"/>
                      <w:szCs w:val="18"/>
                      <w:highlight w:val="none"/>
                      <w:lang w:val="en-US" w:eastAsia="zh-CN"/>
                      <w14:textFill>
                        <w14:solidFill>
                          <w14:schemeClr w14:val="tx1"/>
                        </w14:solidFill>
                      </w14:textFill>
                    </w:rPr>
                  </w:pPr>
                  <w:r>
                    <w:rPr>
                      <w:rFonts w:hint="eastAsia" w:cs="Times New Roman"/>
                      <w:color w:val="000000" w:themeColor="text1"/>
                      <w:kern w:val="0"/>
                      <w:sz w:val="18"/>
                      <w:szCs w:val="18"/>
                      <w:highlight w:val="none"/>
                      <w:lang w:val="en-US" w:eastAsia="zh-CN" w:bidi="ar-SA"/>
                      <w14:textFill>
                        <w14:solidFill>
                          <w14:schemeClr w14:val="tx1"/>
                        </w14:solidFill>
                      </w14:textFill>
                    </w:rPr>
                    <w:t>8.75m</w:t>
                  </w:r>
                  <w:r>
                    <w:rPr>
                      <w:rFonts w:hint="eastAsia" w:cs="Times New Roman"/>
                      <w:color w:val="000000" w:themeColor="text1"/>
                      <w:kern w:val="0"/>
                      <w:sz w:val="18"/>
                      <w:szCs w:val="18"/>
                      <w:highlight w:val="none"/>
                      <w:vertAlign w:val="superscript"/>
                      <w:lang w:val="en-US" w:eastAsia="zh-CN" w:bidi="ar-SA"/>
                      <w14:textFill>
                        <w14:solidFill>
                          <w14:schemeClr w14:val="tx1"/>
                        </w14:solidFill>
                      </w14:textFill>
                    </w:rPr>
                    <w:t>2</w:t>
                  </w:r>
                </w:p>
              </w:tc>
              <w:tc>
                <w:tcPr>
                  <w:tcW w:w="673" w:type="dxa"/>
                  <w:vMerge w:val="restart"/>
                  <w:tcBorders>
                    <w:tl2br w:val="nil"/>
                    <w:tr2bl w:val="nil"/>
                  </w:tcBorders>
                  <w:noWrap w:val="0"/>
                  <w:vAlign w:val="center"/>
                </w:tcPr>
                <w:p w14:paraId="40DB1078">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cs="Times New Roman"/>
                      <w:color w:val="000000" w:themeColor="text1"/>
                      <w:kern w:val="0"/>
                      <w:sz w:val="18"/>
                      <w:szCs w:val="18"/>
                      <w:highlight w:val="none"/>
                      <w:lang w:eastAsia="zh-CN"/>
                      <w14:textFill>
                        <w14:solidFill>
                          <w14:schemeClr w14:val="tx1"/>
                        </w14:solidFill>
                      </w14:textFill>
                    </w:rPr>
                    <w:t>半年</w:t>
                  </w:r>
                </w:p>
              </w:tc>
            </w:tr>
            <w:tr w14:paraId="4B09823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75" w:hRule="atLeast"/>
                <w:jc w:val="center"/>
              </w:trPr>
              <w:tc>
                <w:tcPr>
                  <w:tcW w:w="524" w:type="dxa"/>
                  <w:tcBorders>
                    <w:tl2br w:val="nil"/>
                    <w:tr2bl w:val="nil"/>
                  </w:tcBorders>
                  <w:noWrap w:val="0"/>
                  <w:vAlign w:val="center"/>
                </w:tcPr>
                <w:p w14:paraId="4ED55932">
                  <w:pPr>
                    <w:keepNext w:val="0"/>
                    <w:keepLines w:val="0"/>
                    <w:pageBreakBefore w:val="0"/>
                    <w:widowControl w:val="0"/>
                    <w:numPr>
                      <w:ilvl w:val="0"/>
                      <w:numId w:val="21"/>
                    </w:numPr>
                    <w:shd w:val="clear"/>
                    <w:kinsoku/>
                    <w:wordWrap/>
                    <w:overflowPunct/>
                    <w:topLinePunct/>
                    <w:autoSpaceDE/>
                    <w:autoSpaceDN/>
                    <w:bidi w:val="0"/>
                    <w:adjustRightInd w:val="0"/>
                    <w:snapToGrid w:val="0"/>
                    <w:spacing w:line="0" w:lineRule="atLeast"/>
                    <w:ind w:left="0" w:leftChars="0"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839" w:type="dxa"/>
                  <w:vMerge w:val="continue"/>
                  <w:tcBorders>
                    <w:tl2br w:val="nil"/>
                    <w:tr2bl w:val="nil"/>
                  </w:tcBorders>
                  <w:noWrap w:val="0"/>
                  <w:vAlign w:val="center"/>
                </w:tcPr>
                <w:p w14:paraId="36DF21A2">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1368" w:type="dxa"/>
                  <w:tcBorders>
                    <w:tl2br w:val="nil"/>
                    <w:tr2bl w:val="nil"/>
                  </w:tcBorders>
                  <w:shd w:val="clear" w:color="auto" w:fill="auto"/>
                  <w:noWrap w:val="0"/>
                  <w:vAlign w:val="center"/>
                </w:tcPr>
                <w:p w14:paraId="2673719C">
                  <w:pPr>
                    <w:pStyle w:val="87"/>
                    <w:keepNext w:val="0"/>
                    <w:keepLines w:val="0"/>
                    <w:pageBreakBefore w:val="0"/>
                    <w:widowControl w:val="0"/>
                    <w:numPr>
                      <w:ilvl w:val="0"/>
                      <w:numId w:val="0"/>
                    </w:numPr>
                    <w:shd w:val="clear"/>
                    <w:kinsoku/>
                    <w:wordWrap/>
                    <w:overflowPunct/>
                    <w:topLinePunct w:val="0"/>
                    <w:autoSpaceDE/>
                    <w:autoSpaceDN/>
                    <w:bidi w:val="0"/>
                    <w:adjustRightInd w:val="0"/>
                    <w:snapToGrid/>
                    <w:spacing w:line="0" w:lineRule="atLeast"/>
                    <w:ind w:left="0" w:leftChars="0" w:firstLine="0" w:firstLineChars="0"/>
                    <w:jc w:val="center"/>
                    <w:textAlignment w:val="auto"/>
                    <w:rPr>
                      <w:rFonts w:hint="eastAsia" w:cs="Times New Roman"/>
                      <w:color w:val="000000" w:themeColor="text1"/>
                      <w:kern w:val="0"/>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w w:val="100"/>
                      <w:kern w:val="2"/>
                      <w:sz w:val="18"/>
                      <w:szCs w:val="18"/>
                      <w:highlight w:val="none"/>
                      <w:vertAlign w:val="baseline"/>
                      <w:lang w:val="en-US" w:eastAsia="zh-CN" w:bidi="ar-SA"/>
                      <w14:textFill>
                        <w14:solidFill>
                          <w14:schemeClr w14:val="tx1"/>
                        </w14:solidFill>
                      </w14:textFill>
                    </w:rPr>
                    <w:t>废油桶</w:t>
                  </w:r>
                </w:p>
              </w:tc>
              <w:tc>
                <w:tcPr>
                  <w:tcW w:w="757" w:type="dxa"/>
                  <w:vMerge w:val="continue"/>
                  <w:tcBorders>
                    <w:tl2br w:val="nil"/>
                    <w:tr2bl w:val="nil"/>
                  </w:tcBorders>
                  <w:shd w:val="clear" w:color="auto" w:fill="auto"/>
                  <w:noWrap w:val="0"/>
                  <w:vAlign w:val="center"/>
                </w:tcPr>
                <w:p w14:paraId="193536CE">
                  <w:pPr>
                    <w:pStyle w:val="15"/>
                    <w:keepNext w:val="0"/>
                    <w:keepLines w:val="0"/>
                    <w:pageBreakBefore w:val="0"/>
                    <w:shd w:val="clear"/>
                    <w:kinsoku/>
                    <w:wordWrap/>
                    <w:overflowPunct/>
                    <w:autoSpaceDE/>
                    <w:autoSpaceDN/>
                    <w:bidi w:val="0"/>
                    <w:snapToGrid/>
                    <w:spacing w:after="0" w:line="0" w:lineRule="atLeast"/>
                    <w:ind w:left="0" w:leftChars="0" w:right="0" w:rightChars="0" w:firstLine="0" w:firstLineChars="0"/>
                    <w:jc w:val="center"/>
                    <w:rPr>
                      <w:rFonts w:hint="eastAsia"/>
                      <w:b w:val="0"/>
                      <w:bCs w:val="0"/>
                      <w:color w:val="000000" w:themeColor="text1"/>
                      <w:sz w:val="18"/>
                      <w:szCs w:val="18"/>
                      <w:highlight w:val="none"/>
                      <w:lang w:val="en-US" w:eastAsia="zh-CN"/>
                      <w14:textFill>
                        <w14:solidFill>
                          <w14:schemeClr w14:val="tx1"/>
                        </w14:solidFill>
                      </w14:textFill>
                    </w:rPr>
                  </w:pPr>
                </w:p>
              </w:tc>
              <w:tc>
                <w:tcPr>
                  <w:tcW w:w="1066" w:type="dxa"/>
                  <w:tcBorders>
                    <w:tl2br w:val="nil"/>
                    <w:tr2bl w:val="nil"/>
                  </w:tcBorders>
                  <w:shd w:val="clear" w:color="auto" w:fill="auto"/>
                  <w:noWrap w:val="0"/>
                  <w:vAlign w:val="center"/>
                </w:tcPr>
                <w:p w14:paraId="5881E7F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b w:val="0"/>
                      <w:bCs w:val="0"/>
                      <w:color w:val="000000" w:themeColor="text1"/>
                      <w:kern w:val="0"/>
                      <w:sz w:val="18"/>
                      <w:szCs w:val="18"/>
                      <w:highlight w:val="none"/>
                      <w14:textFill>
                        <w14:solidFill>
                          <w14:schemeClr w14:val="tx1"/>
                        </w14:solidFill>
                      </w14:textFill>
                    </w:rPr>
                  </w:pPr>
                  <w:r>
                    <w:rPr>
                      <w:b w:val="0"/>
                      <w:bCs w:val="0"/>
                      <w:color w:val="000000" w:themeColor="text1"/>
                      <w:kern w:val="0"/>
                      <w:sz w:val="18"/>
                      <w:szCs w:val="18"/>
                      <w:highlight w:val="none"/>
                      <w14:textFill>
                        <w14:solidFill>
                          <w14:schemeClr w14:val="tx1"/>
                        </w14:solidFill>
                      </w14:textFill>
                    </w:rPr>
                    <w:t>900-249-08</w:t>
                  </w:r>
                </w:p>
              </w:tc>
              <w:tc>
                <w:tcPr>
                  <w:tcW w:w="578" w:type="dxa"/>
                  <w:vMerge w:val="continue"/>
                  <w:tcBorders>
                    <w:tl2br w:val="nil"/>
                    <w:tr2bl w:val="nil"/>
                  </w:tcBorders>
                  <w:noWrap w:val="0"/>
                  <w:vAlign w:val="center"/>
                </w:tcPr>
                <w:p w14:paraId="44D79C8E">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c>
                <w:tcPr>
                  <w:tcW w:w="833" w:type="dxa"/>
                  <w:vMerge w:val="continue"/>
                  <w:tcBorders>
                    <w:tl2br w:val="nil"/>
                    <w:tr2bl w:val="nil"/>
                  </w:tcBorders>
                  <w:noWrap w:val="0"/>
                  <w:vAlign w:val="center"/>
                </w:tcPr>
                <w:p w14:paraId="12F8531F">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c>
                <w:tcPr>
                  <w:tcW w:w="658" w:type="dxa"/>
                  <w:tcBorders>
                    <w:tl2br w:val="nil"/>
                    <w:tr2bl w:val="nil"/>
                  </w:tcBorders>
                  <w:noWrap w:val="0"/>
                  <w:vAlign w:val="center"/>
                </w:tcPr>
                <w:p w14:paraId="18575953">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eastAsia" w:cs="Times New Roman"/>
                      <w:color w:val="000000" w:themeColor="text1"/>
                      <w:sz w:val="18"/>
                      <w:szCs w:val="18"/>
                      <w:highlight w:val="none"/>
                      <w:shd w:val="clear" w:color="auto" w:fill="auto"/>
                      <w:lang w:val="en-US" w:eastAsia="zh-CN"/>
                      <w14:textFill>
                        <w14:solidFill>
                          <w14:schemeClr w14:val="tx1"/>
                        </w14:solidFill>
                      </w14:textFill>
                    </w:rPr>
                  </w:pPr>
                  <w:r>
                    <w:rPr>
                      <w:rFonts w:hint="eastAsia" w:cs="Times New Roman"/>
                      <w:color w:val="000000" w:themeColor="text1"/>
                      <w:kern w:val="0"/>
                      <w:sz w:val="18"/>
                      <w:szCs w:val="18"/>
                      <w:highlight w:val="none"/>
                      <w:lang w:val="en-US" w:eastAsia="zh-CN"/>
                      <w14:textFill>
                        <w14:solidFill>
                          <w14:schemeClr w14:val="tx1"/>
                        </w14:solidFill>
                      </w14:textFill>
                    </w:rPr>
                    <w:t>托盘</w:t>
                  </w:r>
                </w:p>
              </w:tc>
              <w:tc>
                <w:tcPr>
                  <w:tcW w:w="598" w:type="dxa"/>
                  <w:vMerge w:val="continue"/>
                  <w:tcBorders>
                    <w:tl2br w:val="nil"/>
                    <w:tr2bl w:val="nil"/>
                  </w:tcBorders>
                  <w:noWrap w:val="0"/>
                  <w:vAlign w:val="center"/>
                </w:tcPr>
                <w:p w14:paraId="7BFDD16B">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b w:val="0"/>
                      <w:bCs w:val="0"/>
                      <w:color w:val="000000" w:themeColor="text1"/>
                      <w:kern w:val="0"/>
                      <w:sz w:val="18"/>
                      <w:szCs w:val="18"/>
                      <w:highlight w:val="none"/>
                      <w:lang w:val="en-US" w:eastAsia="zh-CN"/>
                      <w14:textFill>
                        <w14:solidFill>
                          <w14:schemeClr w14:val="tx1"/>
                        </w14:solidFill>
                      </w14:textFill>
                    </w:rPr>
                  </w:pPr>
                </w:p>
              </w:tc>
              <w:tc>
                <w:tcPr>
                  <w:tcW w:w="673" w:type="dxa"/>
                  <w:vMerge w:val="continue"/>
                  <w:tcBorders>
                    <w:tl2br w:val="nil"/>
                    <w:tr2bl w:val="nil"/>
                  </w:tcBorders>
                  <w:noWrap w:val="0"/>
                  <w:vAlign w:val="center"/>
                </w:tcPr>
                <w:p w14:paraId="5E5BC411">
                  <w:pPr>
                    <w:keepNext w:val="0"/>
                    <w:keepLines w:val="0"/>
                    <w:pageBreakBefore w:val="0"/>
                    <w:shd w:val="clear"/>
                    <w:kinsoku/>
                    <w:wordWrap/>
                    <w:overflowPunct/>
                    <w:topLinePunct/>
                    <w:autoSpaceDE/>
                    <w:autoSpaceDN/>
                    <w:bidi w:val="0"/>
                    <w:adjustRightInd w:val="0"/>
                    <w:snapToGrid w:val="0"/>
                    <w:spacing w:line="0" w:lineRule="atLeast"/>
                    <w:ind w:firstLine="0" w:firstLineChars="0"/>
                    <w:jc w:val="center"/>
                    <w:textAlignment w:val="auto"/>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bl>
          <w:p w14:paraId="3358D319">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⑷</w:t>
            </w:r>
            <w:r>
              <w:rPr>
                <w:rFonts w:hint="default" w:ascii="Times New Roman" w:hAnsi="Times New Roman" w:eastAsia="宋体" w:cs="Times New Roman"/>
                <w:color w:val="000000" w:themeColor="text1"/>
                <w:sz w:val="24"/>
                <w:szCs w:val="24"/>
                <w:highlight w:val="none"/>
                <w14:textFill>
                  <w14:solidFill>
                    <w14:schemeClr w14:val="tx1"/>
                  </w14:solidFill>
                </w14:textFill>
              </w:rPr>
              <w:t>危险废物运输</w:t>
            </w:r>
          </w:p>
          <w:p w14:paraId="7981C0E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本项目产生的危险废物按照《危险废物收集、贮存、运输技术规范》（HJ2025-2012）相关要求进行运输，并按</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危险废物管理计划和管理台账制定技术导则</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HJ1259-2022</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要求填写危险废物的收集记录、厂内转运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和危险废物转移情况</w:t>
            </w:r>
            <w:r>
              <w:rPr>
                <w:rFonts w:hint="default" w:ascii="Times New Roman" w:hAnsi="Times New Roman" w:eastAsia="宋体" w:cs="Times New Roman"/>
                <w:color w:val="000000" w:themeColor="text1"/>
                <w:sz w:val="24"/>
                <w:szCs w:val="24"/>
                <w:highlight w:val="none"/>
                <w14:textFill>
                  <w14:solidFill>
                    <w14:schemeClr w14:val="tx1"/>
                  </w14:solidFill>
                </w14:textFill>
              </w:rPr>
              <w:t>记录表，并将记录表作为危险废物管理的重要档案妥善保存。</w:t>
            </w:r>
          </w:p>
          <w:p w14:paraId="6AFC5AE8">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a、运输承运危险废物时，应按照相关标准要求在危险废物包装上设置标志。</w:t>
            </w:r>
          </w:p>
          <w:p w14:paraId="1F88BF9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b、所有运输车辆按规定的路线运输。</w:t>
            </w:r>
          </w:p>
          <w:p w14:paraId="627BC8E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c、运输过程中危险废物应放置在密闭容器中，且运输设施应为封闭结构，具有防臭防遗撒功能，安装行驶及装卸记录仪。</w:t>
            </w:r>
          </w:p>
          <w:p w14:paraId="25C3B4D4">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d、危险废物内部转运作业应采用专用的工具，危险废物内部转运应按照标准要求填写《危险废物厂内转运记录表》。</w:t>
            </w:r>
          </w:p>
          <w:p w14:paraId="2AC3A94B">
            <w:pPr>
              <w:pStyle w:val="79"/>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e、危险废物内部转运结束后，应对转运路线进行检查和清理，无危险废物遗失在转运路线上。</w:t>
            </w:r>
          </w:p>
          <w:p w14:paraId="4D7B220C">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⑸</w:t>
            </w:r>
            <w:r>
              <w:rPr>
                <w:rFonts w:hint="default" w:ascii="Times New Roman" w:hAnsi="Times New Roman" w:eastAsia="宋体" w:cs="Times New Roman"/>
                <w:color w:val="000000" w:themeColor="text1"/>
                <w:sz w:val="24"/>
                <w:szCs w:val="24"/>
                <w:highlight w:val="none"/>
                <w14:textFill>
                  <w14:solidFill>
                    <w14:schemeClr w14:val="tx1"/>
                  </w14:solidFill>
                </w14:textFill>
              </w:rPr>
              <w:t>危险废物处置</w:t>
            </w:r>
          </w:p>
          <w:p w14:paraId="17D04E35">
            <w:pPr>
              <w:pStyle w:val="15"/>
              <w:keepNext w:val="0"/>
              <w:keepLines w:val="0"/>
              <w:pageBreakBefore w:val="0"/>
              <w:widowControl w:val="0"/>
              <w:suppressLineNumbers w:val="0"/>
              <w:shd w:val="clear"/>
              <w:kinsoku/>
              <w:wordWrap/>
              <w:overflowPunct/>
              <w:topLinePunct w:val="0"/>
              <w:autoSpaceDE/>
              <w:autoSpaceDN/>
              <w:bidi w:val="0"/>
              <w:adjustRightInd w:val="0"/>
              <w:snapToGrid w:val="0"/>
              <w:spacing w:beforeAutospacing="0" w:after="0" w:afterAutospacing="0" w:line="480" w:lineRule="exact"/>
              <w:ind w:left="0" w:leftChars="0" w:right="0" w:rightChars="0" w:firstLine="480" w:firstLineChars="200"/>
              <w:textAlignment w:val="auto"/>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pP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本项目产生的危险废物拟交由有资质的单位处理。在选择处置单位时，应选择具有危险废物经营许可证，资质许可范围包含本项目产生的危险废物类别，能够提供专业收集、运输、贮存、处理处置及综合利用危险废物的企业，避免危险废物对环境的二次污染风险。在满足上述条件下，本项目危险废物交</w:t>
            </w:r>
            <w:r>
              <w:rPr>
                <w:rFonts w:hint="eastAsia"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有资质的危险废物处置单位</w:t>
            </w:r>
            <w:r>
              <w:rPr>
                <w:rFonts w:hint="default" w:ascii="Times New Roman" w:hAnsi="Times New Roman" w:eastAsia="宋体" w:cs="Times New Roman"/>
                <w:b w:val="0"/>
                <w:i w:val="0"/>
                <w:color w:val="000000" w:themeColor="text1"/>
                <w:kern w:val="0"/>
                <w:sz w:val="24"/>
                <w:szCs w:val="24"/>
                <w:highlight w:val="none"/>
                <w:shd w:val="clear" w:color="auto" w:fill="auto"/>
                <w:lang w:val="en-US" w:eastAsia="zh-CN" w:bidi="ar"/>
                <w14:textFill>
                  <w14:solidFill>
                    <w14:schemeClr w14:val="tx1"/>
                  </w14:solidFill>
                </w14:textFill>
              </w:rPr>
              <w:t>处理途径可行。</w:t>
            </w:r>
          </w:p>
          <w:p w14:paraId="112901A2">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2"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危险废物</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管理台账制定</w:t>
            </w: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要求</w:t>
            </w:r>
          </w:p>
          <w:p w14:paraId="4F9F1871">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⑴一般原则</w:t>
            </w:r>
          </w:p>
          <w:p w14:paraId="6FD21BB7">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①</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产生危险废物的单位应建立危险废物管理台账，落实危险废物管理台账记录的责任人，明确工作职责，并对危险废物管理台账的真实性、准确性和完整性负法律责任。</w:t>
            </w:r>
          </w:p>
          <w:p w14:paraId="01BF5185">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产生危险废物的单位应根据危险废物产生、贮存、利用、处置等环节的动态流向，如实建立各环节的危险废物管理台账。</w:t>
            </w:r>
          </w:p>
          <w:p w14:paraId="784F3A9F">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③</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危险废物管理台账分为电子管理台账和纸质管理台账两种形式。产生危险废物的单位可通过国家危险废物信息管理系统、企业自建信息管理系统或第三方平台等方式记录电子管理台账。</w:t>
            </w:r>
          </w:p>
          <w:p w14:paraId="4A868D82">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⑵频次要求</w:t>
            </w:r>
          </w:p>
          <w:p w14:paraId="35B820FA">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产生后盛放至容器和包装物的，应按每个容器和包装物进行记录；产生后采用管道等方式输送至贮存场所的，按日记录；其他特殊情形的，根据危险废物产生规律确定记录频次。</w:t>
            </w:r>
          </w:p>
          <w:p w14:paraId="7047DE6A">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⑶</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记录内容</w:t>
            </w:r>
          </w:p>
          <w:p w14:paraId="4B72F1F9">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危险废物管理计划和管理台账制定技术导则</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HJ1259-2022</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要求填写</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危险废物产生环节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、入库环节、出库环节、委托利用/处置环节的情况。</w:t>
            </w:r>
          </w:p>
          <w:p w14:paraId="4FACD776">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⑷记录保存</w:t>
            </w:r>
          </w:p>
          <w:p w14:paraId="053B4A70">
            <w:pPr>
              <w:pStyle w:val="11"/>
              <w:keepNext w:val="0"/>
              <w:keepLines w:val="0"/>
              <w:pageBreakBefore w:val="0"/>
              <w:widowControl w:val="0"/>
              <w:shd w:val="clear"/>
              <w:kinsoku/>
              <w:wordWrap/>
              <w:overflowPunct/>
              <w:topLinePunct w:val="0"/>
              <w:autoSpaceDE/>
              <w:autoSpaceDN/>
              <w:bidi w:val="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根据《河北省固体废物污染环境防治条例》，危险废物管理台账的保存时间应当在10年以上。</w:t>
            </w:r>
          </w:p>
          <w:p w14:paraId="3D40CE70">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2" w:firstLineChars="200"/>
              <w:textAlignment w:val="auto"/>
              <w:rPr>
                <w:rFonts w:hint="eastAsia"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eastAsia" w:cs="Times New Roman"/>
                <w:b/>
                <w:bCs/>
                <w:color w:val="000000" w:themeColor="text1"/>
                <w:sz w:val="24"/>
                <w:szCs w:val="24"/>
                <w:highlight w:val="none"/>
                <w:lang w:val="en-US" w:eastAsia="zh-CN"/>
                <w14:textFill>
                  <w14:solidFill>
                    <w14:schemeClr w14:val="tx1"/>
                  </w14:solidFill>
                </w14:textFill>
              </w:rPr>
              <w:t>3 生活垃圾</w:t>
            </w:r>
          </w:p>
          <w:p w14:paraId="1E866B35">
            <w:pPr>
              <w:keepNext w:val="0"/>
              <w:keepLines w:val="0"/>
              <w:pageBreakBefore w:val="0"/>
              <w:widowControl w:val="0"/>
              <w:shd w:val="clear"/>
              <w:kinsoku/>
              <w:wordWrap/>
              <w:overflowPunct/>
              <w:topLinePunct w:val="0"/>
              <w:autoSpaceDE/>
              <w:autoSpaceDN/>
              <w:bidi w:val="0"/>
              <w:textAlignment w:val="auto"/>
              <w:rPr>
                <w:rFonts w:hint="default"/>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本项目新增劳动定员9人，职工生活会产生一定量的生活垃圾，主要为</w:t>
            </w:r>
            <w:r>
              <w:rPr>
                <w:rFonts w:hint="default"/>
                <w:color w:val="000000" w:themeColor="text1"/>
                <w:highlight w:val="none"/>
                <w14:textFill>
                  <w14:solidFill>
                    <w14:schemeClr w14:val="tx1"/>
                  </w14:solidFill>
                </w14:textFill>
              </w:rPr>
              <w:t>废纸、废塑料袋等，职工产生的垃圾按0.</w:t>
            </w:r>
            <w:r>
              <w:rPr>
                <w:rFonts w:hint="eastAsia"/>
                <w:color w:val="000000" w:themeColor="text1"/>
                <w:highlight w:val="none"/>
                <w:lang w:val="en-US" w:eastAsia="zh-CN"/>
                <w14:textFill>
                  <w14:solidFill>
                    <w14:schemeClr w14:val="tx1"/>
                  </w14:solidFill>
                </w14:textFill>
              </w:rPr>
              <w:t>5</w:t>
            </w:r>
            <w:r>
              <w:rPr>
                <w:rFonts w:hint="default"/>
                <w:color w:val="000000" w:themeColor="text1"/>
                <w:highlight w:val="none"/>
                <w14:textFill>
                  <w14:solidFill>
                    <w14:schemeClr w14:val="tx1"/>
                  </w14:solidFill>
                </w14:textFill>
              </w:rPr>
              <w:t>kg/人•天计，</w:t>
            </w:r>
            <w:r>
              <w:rPr>
                <w:rFonts w:hint="eastAsia"/>
                <w:color w:val="000000" w:themeColor="text1"/>
                <w:highlight w:val="none"/>
                <w:lang w:val="en-US" w:eastAsia="zh-CN"/>
                <w14:textFill>
                  <w14:solidFill>
                    <w14:schemeClr w14:val="tx1"/>
                  </w14:solidFill>
                </w14:textFill>
              </w:rPr>
              <w:t>项目年工作300天，</w:t>
            </w:r>
            <w:r>
              <w:rPr>
                <w:rFonts w:hint="default"/>
                <w:color w:val="000000" w:themeColor="text1"/>
                <w:highlight w:val="none"/>
                <w14:textFill>
                  <w14:solidFill>
                    <w14:schemeClr w14:val="tx1"/>
                  </w14:solidFill>
                </w14:textFill>
              </w:rPr>
              <w:t>垃圾产生量为</w:t>
            </w:r>
            <w:r>
              <w:rPr>
                <w:rFonts w:hint="eastAsia"/>
                <w:color w:val="000000" w:themeColor="text1"/>
                <w:highlight w:val="none"/>
                <w:lang w:val="en-US" w:eastAsia="zh-CN"/>
                <w14:textFill>
                  <w14:solidFill>
                    <w14:schemeClr w14:val="tx1"/>
                  </w14:solidFill>
                </w14:textFill>
              </w:rPr>
              <w:t>1.35t/a</w:t>
            </w:r>
            <w:r>
              <w:rPr>
                <w:rFonts w:hint="default"/>
                <w:color w:val="000000" w:themeColor="text1"/>
                <w:highlight w:val="none"/>
                <w14:textFill>
                  <w14:solidFill>
                    <w14:schemeClr w14:val="tx1"/>
                  </w14:solidFill>
                </w14:textFill>
              </w:rPr>
              <w:t>，袋装化</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集中收集，送当地环卫部门指定地点统一处理。</w:t>
            </w:r>
          </w:p>
          <w:p w14:paraId="3180D4EB">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4.4</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固体废物</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处置措施可行性分析</w:t>
            </w:r>
          </w:p>
          <w:p w14:paraId="252EEC94">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综上，本项目产生的固体废物均得到妥善处置，不会对环境造成二次污染。</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根据《排污许可证申请与核发技术规范</w:t>
            </w:r>
            <w:r>
              <w:rPr>
                <w:rFonts w:hint="eastAsia" w:cs="Times New Roman"/>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工业固体废物（试行）》（HJ1200-2021）中污染防控技术要求可知，本项目一般固体废物暂存间以及一般固体废物管理要求满足一般固体废物自行贮存设施污染防控技术要求，危险废物管理要求满足危险废物自行贮存设施污染防控技术要求，因此</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本项目固体废物治理措施满足《排污许可证申请与核发技术规范</w:t>
            </w:r>
            <w:r>
              <w:rPr>
                <w:rFonts w:hint="eastAsia" w:cs="Times New Roman"/>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工业固体废物（试行）》（HJ1200-2021）相关要求。</w:t>
            </w:r>
          </w:p>
          <w:p w14:paraId="003FAC8E">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2"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eastAsia"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固体废物影响评价结论</w:t>
            </w:r>
          </w:p>
          <w:p w14:paraId="3539B976">
            <w:pPr>
              <w:keepNext w:val="0"/>
              <w:keepLines w:val="0"/>
              <w:pageBreakBefore w:val="0"/>
              <w:widowControl w:val="0"/>
              <w:suppressLineNumbers w:val="0"/>
              <w:shd w:val="clear"/>
              <w:kinsoku/>
              <w:wordWrap/>
              <w:overflowPunct/>
              <w:topLinePunct w:val="0"/>
              <w:autoSpaceDE/>
              <w:autoSpaceDN/>
              <w:bidi w:val="0"/>
              <w:adjustRightInd/>
              <w:snapToGrid/>
              <w:spacing w:beforeAutospacing="0" w:after="0" w:afterAutospacing="0" w:line="480" w:lineRule="exact"/>
              <w:ind w:left="0" w:right="0"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采取本项目提出的固体废物处置措施，各固体废物均得到合理处置，不会对环境造成二次污染。</w:t>
            </w:r>
          </w:p>
          <w:p w14:paraId="76D5005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5、土壤</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、地下水环境影响分析</w:t>
            </w:r>
          </w:p>
          <w:p w14:paraId="323DA8AC">
            <w:pPr>
              <w:pStyle w:val="58"/>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根据《建设项目环境影响报告表编制技术指南（污染影响类）（试行</w:t>
            </w:r>
            <w:r>
              <w:rPr>
                <w:rFonts w:hint="eastAsia"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“土壤、声环境不开展专项评价”，因此</w:t>
            </w:r>
            <w:r>
              <w:rPr>
                <w:rFonts w:hint="eastAsia"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本项目无需开展土壤专项评价；</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根据《建设项目环境影响报告表编制技术指南（污染影响类）（试行</w:t>
            </w:r>
            <w:r>
              <w:rPr>
                <w:rFonts w:hint="eastAsia"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地下水原则上不开展专项评价，涉及集中式饮用水水源和热水、矿泉水、温泉等特殊地下水资源保护区的开展地下水专项评价工作</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shd w:val="clear" w:color="auto" w:fill="auto"/>
                <w:lang w:val="en-US" w:eastAsia="zh-CN"/>
                <w14:textFill>
                  <w14:solidFill>
                    <w14:schemeClr w14:val="tx1"/>
                  </w14:solidFill>
                </w14:textFill>
              </w:rPr>
              <w:t>本项目不</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涉及集中式饮用水水源和热水、矿泉水、温泉等特殊地下水资源保护区</w:t>
            </w:r>
            <w:r>
              <w:rPr>
                <w:rFonts w:hint="eastAsia" w:ascii="Times New Roman" w:hAnsi="Times New Roman" w:eastAsia="宋体" w:cs="Times New Roman"/>
                <w:color w:val="000000" w:themeColor="text1"/>
                <w:kern w:val="0"/>
                <w:sz w:val="24"/>
                <w:szCs w:val="24"/>
                <w:highlight w:val="none"/>
                <w:shd w:val="clear" w:color="auto" w:fill="auto"/>
                <w:lang w:val="en-US" w:eastAsia="zh-CN"/>
                <w14:textFill>
                  <w14:solidFill>
                    <w14:schemeClr w14:val="tx1"/>
                  </w14:solidFill>
                </w14:textFill>
              </w:rPr>
              <w:t>，因此</w:t>
            </w:r>
            <w:r>
              <w:rPr>
                <w:rFonts w:hint="eastAsia" w:eastAsia="宋体" w:cs="Times New Roman"/>
                <w:color w:val="000000" w:themeColor="text1"/>
                <w:kern w:val="0"/>
                <w:sz w:val="24"/>
                <w:szCs w:val="24"/>
                <w:highlight w:val="none"/>
                <w:shd w:val="clear" w:color="auto" w:fill="auto"/>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shd w:val="clear" w:color="auto" w:fill="auto"/>
                <w:lang w:val="en-US" w:eastAsia="zh-CN"/>
                <w14:textFill>
                  <w14:solidFill>
                    <w14:schemeClr w14:val="tx1"/>
                  </w14:solidFill>
                </w14:textFill>
              </w:rPr>
              <w:t>本项目无需做地下水专项评价。</w:t>
            </w:r>
          </w:p>
          <w:p w14:paraId="5CE9DB11">
            <w:pPr>
              <w:pStyle w:val="58"/>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t>⑴</w:t>
            </w:r>
            <w:r>
              <w:rPr>
                <w:rFonts w:hint="default" w:ascii="Times New Roman" w:hAnsi="Times New Roman" w:eastAsia="宋体" w:cs="Times New Roman"/>
                <w:color w:val="000000" w:themeColor="text1"/>
                <w:highlight w:val="none"/>
                <w14:textFill>
                  <w14:solidFill>
                    <w14:schemeClr w14:val="tx1"/>
                  </w14:solidFill>
                </w14:textFill>
              </w:rPr>
              <w:t>影响源、影响因子和影响途径</w:t>
            </w:r>
          </w:p>
          <w:p w14:paraId="05AB652F">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bCs/>
                <w:color w:val="000000" w:themeColor="text1"/>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①</w:t>
            </w:r>
            <w:r>
              <w:rPr>
                <w:rFonts w:hint="default" w:ascii="Times New Roman" w:hAnsi="Times New Roman" w:eastAsia="宋体" w:cs="Times New Roman"/>
                <w:bCs/>
                <w:color w:val="000000" w:themeColor="text1"/>
                <w:sz w:val="24"/>
                <w:szCs w:val="24"/>
                <w:highlight w:val="none"/>
                <w:lang w:bidi="ar"/>
                <w14:textFill>
                  <w14:solidFill>
                    <w14:schemeClr w14:val="tx1"/>
                  </w14:solidFill>
                </w14:textFill>
              </w:rPr>
              <w:t>大气沉降</w:t>
            </w:r>
          </w:p>
          <w:p w14:paraId="1204D72B">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本项目运营期废气污染物主要为颗粒物，其经有组织与无组织排放后，会自然沉降于厂区及周边区域土壤表面，进而对区域土壤环境产生一定影响。</w:t>
            </w:r>
          </w:p>
          <w:p w14:paraId="1E43BE71">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bCs/>
                <w:color w:val="000000" w:themeColor="text1"/>
                <w:sz w:val="24"/>
                <w:szCs w:val="24"/>
                <w:highlight w:val="none"/>
                <w:lang w:bidi="ar"/>
                <w14:textFill>
                  <w14:solidFill>
                    <w14:schemeClr w14:val="tx1"/>
                  </w14:solidFill>
                </w14:textFill>
              </w:rPr>
            </w:pPr>
            <w:r>
              <w:rPr>
                <w:rFonts w:hint="eastAsia" w:cs="Times New Roman"/>
                <w:bCs/>
                <w:color w:val="000000" w:themeColor="text1"/>
                <w:sz w:val="24"/>
                <w:szCs w:val="24"/>
                <w:highlight w:val="none"/>
                <w:lang w:eastAsia="zh-CN" w:bidi="ar"/>
                <w14:textFill>
                  <w14:solidFill>
                    <w14:schemeClr w14:val="tx1"/>
                  </w14:solidFill>
                </w14:textFill>
              </w:rPr>
              <w:t>②</w:t>
            </w:r>
            <w:r>
              <w:rPr>
                <w:rFonts w:hint="default" w:ascii="Times New Roman" w:hAnsi="Times New Roman" w:eastAsia="宋体" w:cs="Times New Roman"/>
                <w:bCs/>
                <w:color w:val="000000" w:themeColor="text1"/>
                <w:sz w:val="24"/>
                <w:szCs w:val="24"/>
                <w:highlight w:val="none"/>
                <w:lang w:bidi="ar"/>
                <w14:textFill>
                  <w14:solidFill>
                    <w14:schemeClr w14:val="tx1"/>
                  </w14:solidFill>
                </w14:textFill>
              </w:rPr>
              <w:t>垂直入渗</w:t>
            </w:r>
          </w:p>
          <w:p w14:paraId="486B6611">
            <w:pPr>
              <w:keepNext w:val="0"/>
              <w:keepLines w:val="0"/>
              <w:pageBreakBefore w:val="0"/>
              <w:widowControl w:val="0"/>
              <w:shd w:val="clear"/>
              <w:kinsoku/>
              <w:wordWrap/>
              <w:overflowPunct/>
              <w:topLinePunct w:val="0"/>
              <w:autoSpaceDE/>
              <w:autoSpaceDN/>
              <w:bidi w:val="0"/>
              <w:adjustRightInd/>
              <w:spacing w:line="480" w:lineRule="exact"/>
              <w:ind w:firstLine="480" w:firstLineChars="200"/>
              <w:jc w:val="both"/>
              <w:textAlignment w:val="auto"/>
              <w:rPr>
                <w:rFonts w:hint="eastAsia"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32"/>
                <w:highlight w:val="none"/>
                <w14:textFill>
                  <w14:solidFill>
                    <w14:schemeClr w14:val="tx1"/>
                  </w14:solidFill>
                </w14:textFill>
              </w:rPr>
              <w:t>本项目使用的</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润滑油储存于</w:t>
            </w:r>
            <w:r>
              <w:rPr>
                <w:rFonts w:hint="eastAsia" w:cs="Times New Roman"/>
                <w:color w:val="000000" w:themeColor="text1"/>
                <w:sz w:val="24"/>
                <w:szCs w:val="22"/>
                <w:highlight w:val="none"/>
                <w:lang w:val="en-US" w:eastAsia="zh-CN"/>
                <w14:textFill>
                  <w14:solidFill>
                    <w14:schemeClr w14:val="tx1"/>
                  </w14:solidFill>
                </w14:textFill>
              </w:rPr>
              <w:t>生产</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设备中</w:t>
            </w:r>
            <w:r>
              <w:rPr>
                <w:rFonts w:hint="eastAsia" w:cs="Times New Roman"/>
                <w:color w:val="000000" w:themeColor="text1"/>
                <w:sz w:val="24"/>
                <w:szCs w:val="22"/>
                <w:highlight w:val="none"/>
                <w:lang w:val="en-US" w:eastAsia="zh-CN"/>
                <w14:textFill>
                  <w14:solidFill>
                    <w14:schemeClr w14:val="tx1"/>
                  </w14:solidFill>
                </w14:textFill>
              </w:rPr>
              <w:t>，废润滑油暂存于危险废物暂存间内</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14:textFill>
                  <w14:solidFill>
                    <w14:schemeClr w14:val="tx1"/>
                  </w14:solidFill>
                </w14:textFill>
              </w:rPr>
              <w:t>事故状况下，</w:t>
            </w:r>
            <w:r>
              <w:rPr>
                <w:rFonts w:hint="eastAsia" w:ascii="Times New Roman" w:hAnsi="Times New Roman" w:eastAsia="宋体" w:cs="Times New Roman"/>
                <w:color w:val="000000" w:themeColor="text1"/>
                <w:sz w:val="24"/>
                <w:szCs w:val="32"/>
                <w:highlight w:val="none"/>
                <w:lang w:val="en-US" w:eastAsia="zh-CN"/>
                <w14:textFill>
                  <w14:solidFill>
                    <w14:schemeClr w14:val="tx1"/>
                  </w14:solidFill>
                </w14:textFill>
              </w:rPr>
              <w:t>润滑油、</w:t>
            </w:r>
            <w:r>
              <w:rPr>
                <w:rFonts w:hint="eastAsia" w:cs="Times New Roman"/>
                <w:color w:val="000000" w:themeColor="text1"/>
                <w:sz w:val="24"/>
                <w:szCs w:val="32"/>
                <w:highlight w:val="none"/>
                <w:lang w:val="en-US" w:eastAsia="zh-CN"/>
                <w14:textFill>
                  <w14:solidFill>
                    <w14:schemeClr w14:val="tx1"/>
                  </w14:solidFill>
                </w14:textFill>
              </w:rPr>
              <w:t>废润滑油</w:t>
            </w:r>
            <w:r>
              <w:rPr>
                <w:rFonts w:hint="eastAsia" w:ascii="Times New Roman" w:hAnsi="Times New Roman" w:eastAsia="宋体" w:cs="Times New Roman"/>
                <w:color w:val="000000" w:themeColor="text1"/>
                <w:sz w:val="24"/>
                <w:szCs w:val="32"/>
                <w:highlight w:val="none"/>
                <w:lang w:val="en-US" w:eastAsia="zh-CN"/>
                <w14:textFill>
                  <w14:solidFill>
                    <w14:schemeClr w14:val="tx1"/>
                  </w14:solidFill>
                </w14:textFill>
              </w:rPr>
              <w:t>发生泄漏</w:t>
            </w:r>
            <w:r>
              <w:rPr>
                <w:rFonts w:hint="eastAsia" w:ascii="Times New Roman" w:hAnsi="Times New Roman" w:cs="Times New Roman"/>
                <w:color w:val="000000" w:themeColor="text1"/>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泄漏物</w:t>
            </w:r>
            <w:r>
              <w:rPr>
                <w:rFonts w:hint="default" w:ascii="Times New Roman" w:hAnsi="Times New Roman" w:eastAsia="宋体" w:cs="Times New Roman"/>
                <w:color w:val="000000" w:themeColor="text1"/>
                <w:kern w:val="0"/>
                <w:sz w:val="24"/>
                <w:highlight w:val="none"/>
                <w14:textFill>
                  <w14:solidFill>
                    <w14:schemeClr w14:val="tx1"/>
                  </w14:solidFill>
                </w14:textFill>
              </w:rPr>
              <w:t>通过垂直入渗的方式进入土壤环境，</w:t>
            </w:r>
            <w:r>
              <w:rPr>
                <w:rFonts w:hint="default" w:ascii="Times New Roman" w:hAnsi="Times New Roman" w:eastAsia="宋体" w:cs="Times New Roman"/>
                <w:color w:val="000000" w:themeColor="text1"/>
                <w:sz w:val="24"/>
                <w:szCs w:val="32"/>
                <w:highlight w:val="none"/>
                <w14:textFill>
                  <w14:solidFill>
                    <w14:schemeClr w14:val="tx1"/>
                  </w14:solidFill>
                </w14:textFill>
              </w:rPr>
              <w:t>从而渗透至土壤中，会使土壤</w:t>
            </w:r>
            <w:r>
              <w:rPr>
                <w:rFonts w:hint="eastAsia" w:ascii="Times New Roman" w:hAnsi="Times New Roman" w:eastAsia="宋体" w:cs="Times New Roman"/>
                <w:color w:val="000000" w:themeColor="text1"/>
                <w:sz w:val="24"/>
                <w:szCs w:val="32"/>
                <w:highlight w:val="none"/>
                <w:lang w:val="en-US" w:eastAsia="zh-CN"/>
                <w14:textFill>
                  <w14:solidFill>
                    <w14:schemeClr w14:val="tx1"/>
                  </w14:solidFill>
                </w14:textFill>
              </w:rPr>
              <w:t>和地下水</w:t>
            </w:r>
            <w:r>
              <w:rPr>
                <w:rFonts w:hint="default" w:ascii="Times New Roman" w:hAnsi="Times New Roman" w:eastAsia="宋体" w:cs="Times New Roman"/>
                <w:color w:val="000000" w:themeColor="text1"/>
                <w:sz w:val="24"/>
                <w:szCs w:val="32"/>
                <w:highlight w:val="none"/>
                <w14:textFill>
                  <w14:solidFill>
                    <w14:schemeClr w14:val="tx1"/>
                  </w14:solidFill>
                </w14:textFill>
              </w:rPr>
              <w:t>造成污染。</w:t>
            </w:r>
            <w:r>
              <w:rPr>
                <w:rFonts w:hint="eastAsia" w:cs="Times New Roman"/>
                <w:color w:val="000000" w:themeColor="text1"/>
                <w:sz w:val="24"/>
                <w:szCs w:val="32"/>
                <w:highlight w:val="none"/>
                <w:lang w:val="en-US" w:eastAsia="zh-CN"/>
                <w14:textFill>
                  <w14:solidFill>
                    <w14:schemeClr w14:val="tx1"/>
                  </w14:solidFill>
                </w14:textFill>
              </w:rPr>
              <w:t>危险废物暂存间、生产区均置于生产车间内。</w:t>
            </w:r>
          </w:p>
          <w:p w14:paraId="5118E57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土壤</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、地下水</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环境影响源及影响因子识别</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一览</w:t>
            </w: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表</w:t>
            </w:r>
          </w:p>
          <w:tbl>
            <w:tblPr>
              <w:tblStyle w:val="32"/>
              <w:tblW w:w="768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718"/>
              <w:gridCol w:w="1575"/>
              <w:gridCol w:w="915"/>
              <w:gridCol w:w="1170"/>
              <w:gridCol w:w="899"/>
              <w:gridCol w:w="1411"/>
            </w:tblGrid>
            <w:tr w14:paraId="093F352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53" w:hRule="atLeast"/>
                <w:jc w:val="center"/>
              </w:trPr>
              <w:tc>
                <w:tcPr>
                  <w:tcW w:w="1718" w:type="dxa"/>
                  <w:tcBorders>
                    <w:tl2br w:val="nil"/>
                    <w:tr2bl w:val="nil"/>
                  </w:tcBorders>
                  <w:noWrap w:val="0"/>
                  <w:tcMar>
                    <w:top w:w="0" w:type="dxa"/>
                    <w:left w:w="0" w:type="dxa"/>
                    <w:bottom w:w="0" w:type="dxa"/>
                    <w:right w:w="0" w:type="dxa"/>
                  </w:tcMar>
                  <w:vAlign w:val="center"/>
                </w:tcPr>
                <w:p w14:paraId="000A65FC">
                  <w:pPr>
                    <w:pStyle w:val="58"/>
                    <w:shd w:val="clear"/>
                    <w:spacing w:line="240" w:lineRule="auto"/>
                    <w:ind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污染源</w:t>
                  </w:r>
                </w:p>
              </w:tc>
              <w:tc>
                <w:tcPr>
                  <w:tcW w:w="1575" w:type="dxa"/>
                  <w:tcBorders>
                    <w:tl2br w:val="nil"/>
                    <w:tr2bl w:val="nil"/>
                  </w:tcBorders>
                  <w:noWrap w:val="0"/>
                  <w:tcMar>
                    <w:top w:w="0" w:type="dxa"/>
                    <w:left w:w="0" w:type="dxa"/>
                    <w:bottom w:w="0" w:type="dxa"/>
                    <w:right w:w="0" w:type="dxa"/>
                  </w:tcMar>
                  <w:vAlign w:val="center"/>
                </w:tcPr>
                <w:p w14:paraId="599340BC">
                  <w:pPr>
                    <w:pStyle w:val="58"/>
                    <w:shd w:val="clear"/>
                    <w:spacing w:line="240" w:lineRule="auto"/>
                    <w:ind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工艺流程/节点</w:t>
                  </w:r>
                </w:p>
              </w:tc>
              <w:tc>
                <w:tcPr>
                  <w:tcW w:w="915" w:type="dxa"/>
                  <w:tcBorders>
                    <w:tl2br w:val="nil"/>
                    <w:tr2bl w:val="nil"/>
                  </w:tcBorders>
                  <w:noWrap w:val="0"/>
                  <w:tcMar>
                    <w:top w:w="0" w:type="dxa"/>
                    <w:left w:w="0" w:type="dxa"/>
                    <w:bottom w:w="0" w:type="dxa"/>
                    <w:right w:w="0" w:type="dxa"/>
                  </w:tcMar>
                  <w:vAlign w:val="center"/>
                </w:tcPr>
                <w:p w14:paraId="5BED881D">
                  <w:pPr>
                    <w:pStyle w:val="58"/>
                    <w:shd w:val="clear"/>
                    <w:spacing w:line="240" w:lineRule="auto"/>
                    <w:ind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污染途径</w:t>
                  </w:r>
                </w:p>
              </w:tc>
              <w:tc>
                <w:tcPr>
                  <w:tcW w:w="1170" w:type="dxa"/>
                  <w:tcBorders>
                    <w:tl2br w:val="nil"/>
                    <w:tr2bl w:val="nil"/>
                  </w:tcBorders>
                  <w:noWrap w:val="0"/>
                  <w:tcMar>
                    <w:top w:w="0" w:type="dxa"/>
                    <w:left w:w="0" w:type="dxa"/>
                    <w:bottom w:w="0" w:type="dxa"/>
                    <w:right w:w="0" w:type="dxa"/>
                  </w:tcMar>
                  <w:vAlign w:val="center"/>
                </w:tcPr>
                <w:p w14:paraId="768CB06D">
                  <w:pPr>
                    <w:pStyle w:val="58"/>
                    <w:shd w:val="clear"/>
                    <w:spacing w:line="240" w:lineRule="auto"/>
                    <w:ind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全部污染物指标</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p>
              </w:tc>
              <w:tc>
                <w:tcPr>
                  <w:tcW w:w="899" w:type="dxa"/>
                  <w:tcBorders>
                    <w:tl2br w:val="nil"/>
                    <w:tr2bl w:val="nil"/>
                  </w:tcBorders>
                  <w:noWrap w:val="0"/>
                  <w:tcMar>
                    <w:top w:w="0" w:type="dxa"/>
                    <w:left w:w="0" w:type="dxa"/>
                    <w:bottom w:w="0" w:type="dxa"/>
                    <w:right w:w="0" w:type="dxa"/>
                  </w:tcMar>
                  <w:vAlign w:val="center"/>
                </w:tcPr>
                <w:p w14:paraId="476C7EAF">
                  <w:pPr>
                    <w:pStyle w:val="58"/>
                    <w:shd w:val="clear"/>
                    <w:spacing w:line="240" w:lineRule="auto"/>
                    <w:ind w:firstLine="0" w:firstLineChars="0"/>
                    <w:jc w:val="cente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特征因子</w:t>
                  </w:r>
                </w:p>
              </w:tc>
              <w:tc>
                <w:tcPr>
                  <w:tcW w:w="1411" w:type="dxa"/>
                  <w:tcBorders>
                    <w:tl2br w:val="nil"/>
                    <w:tr2bl w:val="nil"/>
                  </w:tcBorders>
                  <w:noWrap w:val="0"/>
                  <w:tcMar>
                    <w:top w:w="0" w:type="dxa"/>
                    <w:left w:w="0" w:type="dxa"/>
                    <w:bottom w:w="0" w:type="dxa"/>
                    <w:right w:w="0" w:type="dxa"/>
                  </w:tcMar>
                  <w:vAlign w:val="center"/>
                </w:tcPr>
                <w:p w14:paraId="6A3D3689">
                  <w:pPr>
                    <w:pStyle w:val="58"/>
                    <w:shd w:val="clear"/>
                    <w:spacing w:line="240" w:lineRule="auto"/>
                    <w:ind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备注</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b</w:t>
                  </w:r>
                </w:p>
              </w:tc>
            </w:tr>
            <w:tr w14:paraId="350CFC0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39" w:hRule="atLeast"/>
                <w:jc w:val="center"/>
              </w:trPr>
              <w:tc>
                <w:tcPr>
                  <w:tcW w:w="1718" w:type="dxa"/>
                  <w:tcBorders>
                    <w:tl2br w:val="nil"/>
                    <w:tr2bl w:val="nil"/>
                  </w:tcBorders>
                  <w:noWrap w:val="0"/>
                  <w:tcMar>
                    <w:top w:w="0" w:type="dxa"/>
                    <w:left w:w="0" w:type="dxa"/>
                    <w:bottom w:w="0" w:type="dxa"/>
                    <w:right w:w="0" w:type="dxa"/>
                  </w:tcMar>
                  <w:vAlign w:val="center"/>
                </w:tcPr>
                <w:p w14:paraId="5CAC9A94">
                  <w:pPr>
                    <w:pStyle w:val="58"/>
                    <w:shd w:val="clear"/>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eastAsia="宋体" w:cs="Times New Roman"/>
                      <w:color w:val="000000" w:themeColor="text1"/>
                      <w:sz w:val="21"/>
                      <w:szCs w:val="21"/>
                      <w:highlight w:val="none"/>
                      <w:lang w:eastAsia="zh-CN"/>
                      <w14:textFill>
                        <w14:solidFill>
                          <w14:schemeClr w14:val="tx1"/>
                        </w14:solidFill>
                      </w14:textFill>
                    </w:rPr>
                    <w:t>预处理车间</w:t>
                  </w:r>
                </w:p>
              </w:tc>
              <w:tc>
                <w:tcPr>
                  <w:tcW w:w="1575" w:type="dxa"/>
                  <w:tcBorders>
                    <w:tl2br w:val="nil"/>
                    <w:tr2bl w:val="nil"/>
                  </w:tcBorders>
                  <w:noWrap w:val="0"/>
                  <w:tcMar>
                    <w:top w:w="0" w:type="dxa"/>
                    <w:left w:w="0" w:type="dxa"/>
                    <w:bottom w:w="0" w:type="dxa"/>
                    <w:right w:w="0" w:type="dxa"/>
                  </w:tcMar>
                  <w:vAlign w:val="center"/>
                </w:tcPr>
                <w:p w14:paraId="1B11C294">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宋体" w:cs="Times New Roman"/>
                      <w:color w:val="000000" w:themeColor="text1"/>
                      <w:sz w:val="21"/>
                      <w:szCs w:val="21"/>
                      <w:highlight w:val="none"/>
                      <w:lang w:val="en-US" w:eastAsia="zh-CN"/>
                      <w14:textFill>
                        <w14:solidFill>
                          <w14:schemeClr w14:val="tx1"/>
                        </w14:solidFill>
                      </w14:textFill>
                    </w:rPr>
                    <w:t>破碎、筛分、装卸、堆存</w:t>
                  </w:r>
                </w:p>
              </w:tc>
              <w:tc>
                <w:tcPr>
                  <w:tcW w:w="915" w:type="dxa"/>
                  <w:tcBorders>
                    <w:tl2br w:val="nil"/>
                    <w:tr2bl w:val="nil"/>
                  </w:tcBorders>
                  <w:noWrap w:val="0"/>
                  <w:tcMar>
                    <w:top w:w="0" w:type="dxa"/>
                    <w:left w:w="0" w:type="dxa"/>
                    <w:bottom w:w="0" w:type="dxa"/>
                    <w:right w:w="0" w:type="dxa"/>
                  </w:tcMar>
                  <w:vAlign w:val="center"/>
                </w:tcPr>
                <w:p w14:paraId="734C0730">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大气沉降</w:t>
                  </w:r>
                </w:p>
              </w:tc>
              <w:tc>
                <w:tcPr>
                  <w:tcW w:w="1170" w:type="dxa"/>
                  <w:tcBorders>
                    <w:tl2br w:val="nil"/>
                    <w:tr2bl w:val="nil"/>
                  </w:tcBorders>
                  <w:noWrap w:val="0"/>
                  <w:tcMar>
                    <w:top w:w="0" w:type="dxa"/>
                    <w:left w:w="0" w:type="dxa"/>
                    <w:bottom w:w="0" w:type="dxa"/>
                    <w:right w:w="0" w:type="dxa"/>
                  </w:tcMar>
                  <w:vAlign w:val="center"/>
                </w:tcPr>
                <w:p w14:paraId="18E5445E">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颗粒物</w:t>
                  </w:r>
                </w:p>
              </w:tc>
              <w:tc>
                <w:tcPr>
                  <w:tcW w:w="899" w:type="dxa"/>
                  <w:tcBorders>
                    <w:tl2br w:val="nil"/>
                    <w:tr2bl w:val="nil"/>
                  </w:tcBorders>
                  <w:noWrap w:val="0"/>
                  <w:tcMar>
                    <w:top w:w="0" w:type="dxa"/>
                    <w:left w:w="0" w:type="dxa"/>
                    <w:bottom w:w="0" w:type="dxa"/>
                    <w:right w:w="0" w:type="dxa"/>
                  </w:tcMar>
                  <w:vAlign w:val="center"/>
                </w:tcPr>
                <w:p w14:paraId="7617D5D5">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宋体" w:cs="Times New Roman"/>
                      <w:color w:val="000000" w:themeColor="text1"/>
                      <w:sz w:val="21"/>
                      <w:szCs w:val="21"/>
                      <w:highlight w:val="none"/>
                      <w:lang w:val="en-US" w:eastAsia="zh-CN"/>
                      <w14:textFill>
                        <w14:solidFill>
                          <w14:schemeClr w14:val="tx1"/>
                        </w14:solidFill>
                      </w14:textFill>
                    </w:rPr>
                    <w:t>/</w:t>
                  </w:r>
                </w:p>
              </w:tc>
              <w:tc>
                <w:tcPr>
                  <w:tcW w:w="1411" w:type="dxa"/>
                  <w:tcBorders>
                    <w:tl2br w:val="nil"/>
                    <w:tr2bl w:val="nil"/>
                  </w:tcBorders>
                  <w:noWrap w:val="0"/>
                  <w:tcMar>
                    <w:top w:w="0" w:type="dxa"/>
                    <w:left w:w="0" w:type="dxa"/>
                    <w:bottom w:w="0" w:type="dxa"/>
                    <w:right w:w="0" w:type="dxa"/>
                  </w:tcMar>
                  <w:vAlign w:val="center"/>
                </w:tcPr>
                <w:p w14:paraId="1E9A42E7">
                  <w:pPr>
                    <w:pStyle w:val="58"/>
                    <w:shd w:val="clear"/>
                    <w:spacing w:line="240" w:lineRule="auto"/>
                    <w:ind w:firstLine="0" w:firstLineChars="0"/>
                    <w:jc w:val="center"/>
                    <w:rPr>
                      <w:rFonts w:hint="default" w:ascii="Times New Roman" w:hAnsi="Times New Roman" w:eastAsia="宋体" w:cs="Times New Roman"/>
                      <w:color w:val="000000" w:themeColor="text1"/>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连续</w:t>
                  </w:r>
                </w:p>
              </w:tc>
            </w:tr>
            <w:tr w14:paraId="64855D0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90" w:hRule="atLeast"/>
                <w:jc w:val="center"/>
              </w:trPr>
              <w:tc>
                <w:tcPr>
                  <w:tcW w:w="1718" w:type="dxa"/>
                  <w:tcBorders>
                    <w:tl2br w:val="nil"/>
                    <w:tr2bl w:val="nil"/>
                  </w:tcBorders>
                  <w:noWrap w:val="0"/>
                  <w:tcMar>
                    <w:top w:w="0" w:type="dxa"/>
                    <w:left w:w="0" w:type="dxa"/>
                    <w:bottom w:w="0" w:type="dxa"/>
                    <w:right w:w="0" w:type="dxa"/>
                  </w:tcMar>
                  <w:vAlign w:val="center"/>
                </w:tcPr>
                <w:p w14:paraId="24B30690">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宋体" w:cs="Times New Roman"/>
                      <w:color w:val="000000" w:themeColor="text1"/>
                      <w:sz w:val="21"/>
                      <w:szCs w:val="21"/>
                      <w:highlight w:val="none"/>
                      <w:lang w:val="en-US" w:eastAsia="zh-CN"/>
                      <w14:textFill>
                        <w14:solidFill>
                          <w14:schemeClr w14:val="tx1"/>
                        </w14:solidFill>
                      </w14:textFill>
                    </w:rPr>
                    <w:t>生产车间内</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危险废物暂存间、</w:t>
                  </w:r>
                  <w:r>
                    <w:rPr>
                      <w:rFonts w:hint="eastAsia" w:eastAsia="宋体" w:cs="Times New Roman"/>
                      <w:color w:val="000000" w:themeColor="text1"/>
                      <w:sz w:val="21"/>
                      <w:szCs w:val="21"/>
                      <w:highlight w:val="none"/>
                      <w:lang w:val="en-US" w:eastAsia="zh-CN"/>
                      <w14:textFill>
                        <w14:solidFill>
                          <w14:schemeClr w14:val="tx1"/>
                        </w14:solidFill>
                      </w14:textFill>
                    </w:rPr>
                    <w:t>生产区</w:t>
                  </w:r>
                </w:p>
              </w:tc>
              <w:tc>
                <w:tcPr>
                  <w:tcW w:w="1575" w:type="dxa"/>
                  <w:tcBorders>
                    <w:tl2br w:val="nil"/>
                    <w:tr2bl w:val="nil"/>
                  </w:tcBorders>
                  <w:noWrap w:val="0"/>
                  <w:tcMar>
                    <w:top w:w="0" w:type="dxa"/>
                    <w:left w:w="0" w:type="dxa"/>
                    <w:bottom w:w="0" w:type="dxa"/>
                    <w:right w:w="0" w:type="dxa"/>
                  </w:tcMar>
                  <w:vAlign w:val="center"/>
                </w:tcPr>
                <w:p w14:paraId="4D56824B">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存储/设备维护</w:t>
                  </w:r>
                </w:p>
              </w:tc>
              <w:tc>
                <w:tcPr>
                  <w:tcW w:w="915" w:type="dxa"/>
                  <w:tcBorders>
                    <w:tl2br w:val="nil"/>
                    <w:tr2bl w:val="nil"/>
                  </w:tcBorders>
                  <w:noWrap w:val="0"/>
                  <w:tcMar>
                    <w:top w:w="0" w:type="dxa"/>
                    <w:left w:w="0" w:type="dxa"/>
                    <w:bottom w:w="0" w:type="dxa"/>
                    <w:right w:w="0" w:type="dxa"/>
                  </w:tcMar>
                  <w:vAlign w:val="center"/>
                </w:tcPr>
                <w:p w14:paraId="201B4CA9">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垂直入渗</w:t>
                  </w:r>
                </w:p>
              </w:tc>
              <w:tc>
                <w:tcPr>
                  <w:tcW w:w="1170" w:type="dxa"/>
                  <w:tcBorders>
                    <w:tl2br w:val="nil"/>
                    <w:tr2bl w:val="nil"/>
                  </w:tcBorders>
                  <w:noWrap w:val="0"/>
                  <w:tcMar>
                    <w:top w:w="0" w:type="dxa"/>
                    <w:left w:w="0" w:type="dxa"/>
                    <w:bottom w:w="0" w:type="dxa"/>
                    <w:right w:w="0" w:type="dxa"/>
                  </w:tcMar>
                  <w:vAlign w:val="center"/>
                </w:tcPr>
                <w:p w14:paraId="57A48B85">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石油烃</w:t>
                  </w:r>
                </w:p>
              </w:tc>
              <w:tc>
                <w:tcPr>
                  <w:tcW w:w="899" w:type="dxa"/>
                  <w:tcBorders>
                    <w:tl2br w:val="nil"/>
                    <w:tr2bl w:val="nil"/>
                  </w:tcBorders>
                  <w:noWrap w:val="0"/>
                  <w:tcMar>
                    <w:top w:w="0" w:type="dxa"/>
                    <w:left w:w="0" w:type="dxa"/>
                    <w:bottom w:w="0" w:type="dxa"/>
                    <w:right w:w="0" w:type="dxa"/>
                  </w:tcMar>
                  <w:vAlign w:val="center"/>
                </w:tcPr>
                <w:p w14:paraId="38516D7B">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石油烃</w:t>
                  </w:r>
                </w:p>
              </w:tc>
              <w:tc>
                <w:tcPr>
                  <w:tcW w:w="1411" w:type="dxa"/>
                  <w:tcBorders>
                    <w:tl2br w:val="nil"/>
                    <w:tr2bl w:val="nil"/>
                  </w:tcBorders>
                  <w:noWrap w:val="0"/>
                  <w:tcMar>
                    <w:top w:w="0" w:type="dxa"/>
                    <w:left w:w="0" w:type="dxa"/>
                    <w:bottom w:w="0" w:type="dxa"/>
                    <w:right w:w="0" w:type="dxa"/>
                  </w:tcMar>
                  <w:vAlign w:val="center"/>
                </w:tcPr>
                <w:p w14:paraId="54293780">
                  <w:pPr>
                    <w:pStyle w:val="58"/>
                    <w:shd w:val="clear"/>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事故工况</w:t>
                  </w:r>
                </w:p>
              </w:tc>
            </w:tr>
            <w:tr w14:paraId="114C255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15" w:hRule="atLeast"/>
                <w:jc w:val="center"/>
              </w:trPr>
              <w:tc>
                <w:tcPr>
                  <w:tcW w:w="7688" w:type="dxa"/>
                  <w:gridSpan w:val="6"/>
                  <w:tcBorders>
                    <w:tl2br w:val="nil"/>
                    <w:tr2bl w:val="nil"/>
                  </w:tcBorders>
                  <w:noWrap w:val="0"/>
                  <w:tcMar>
                    <w:top w:w="0" w:type="dxa"/>
                    <w:left w:w="0" w:type="dxa"/>
                    <w:bottom w:w="0" w:type="dxa"/>
                    <w:right w:w="0" w:type="dxa"/>
                  </w:tcMar>
                  <w:vAlign w:val="center"/>
                </w:tcPr>
                <w:p w14:paraId="72ABF648">
                  <w:pPr>
                    <w:pStyle w:val="58"/>
                    <w:shd w:val="clear"/>
                    <w:spacing w:line="240" w:lineRule="auto"/>
                    <w:ind w:firstLine="0" w:firstLineChars="0"/>
                    <w:jc w:val="both"/>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a根据工程分析结果填写。</w:t>
                  </w:r>
                </w:p>
                <w:p w14:paraId="7756C1A7">
                  <w:pPr>
                    <w:pStyle w:val="58"/>
                    <w:shd w:val="clear"/>
                    <w:spacing w:line="240" w:lineRule="auto"/>
                    <w:ind w:firstLine="0" w:firstLineChars="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b</w:t>
                  </w:r>
                  <w:r>
                    <w:rPr>
                      <w:rFonts w:hint="default" w:ascii="Times New Roman" w:hAnsi="Times New Roman" w:eastAsia="宋体" w:cs="Times New Roman"/>
                      <w:color w:val="000000" w:themeColor="text1"/>
                      <w:sz w:val="21"/>
                      <w:szCs w:val="21"/>
                      <w:highlight w:val="none"/>
                      <w14:textFill>
                        <w14:solidFill>
                          <w14:schemeClr w14:val="tx1"/>
                        </w14:solidFill>
                      </w14:textFill>
                    </w:rPr>
                    <w:t>应描述污染源特征，如连续、间断、正常、事故等；涉及大气沉降途径的，应识别建设项目周边的土壤环境敏感目标。</w:t>
                  </w:r>
                </w:p>
              </w:tc>
            </w:tr>
          </w:tbl>
          <w:p w14:paraId="1B6928F5">
            <w:pPr>
              <w:keepNext w:val="0"/>
              <w:keepLines w:val="0"/>
              <w:pageBreakBefore w:val="0"/>
              <w:widowControl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⑵</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环境污染防控措施</w:t>
            </w:r>
          </w:p>
          <w:p w14:paraId="1182D0A5">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①源头控制措施</w:t>
            </w:r>
          </w:p>
          <w:p w14:paraId="33707BB2">
            <w:pPr>
              <w:pStyle w:val="65"/>
              <w:keepNext w:val="0"/>
              <w:keepLines w:val="0"/>
              <w:pageBreakBefore w:val="0"/>
              <w:shd w:val="clear"/>
              <w:kinsoku/>
              <w:wordWrap/>
              <w:overflowPunct/>
              <w:topLinePunct w:val="0"/>
              <w:autoSpaceDE/>
              <w:autoSpaceDN/>
              <w:bidi w:val="0"/>
              <w:spacing w:line="480" w:lineRule="exact"/>
              <w:ind w:firstLine="480" w:firstLineChars="200"/>
              <w:rPr>
                <w:color w:val="000000" w:themeColor="text1"/>
                <w:kern w:val="0"/>
                <w:szCs w:val="24"/>
                <w:highlight w:val="none"/>
                <w:lang w:bidi="ar"/>
                <w14:textFill>
                  <w14:solidFill>
                    <w14:schemeClr w14:val="tx1"/>
                  </w14:solidFill>
                </w14:textFill>
              </w:rPr>
            </w:pPr>
            <w:r>
              <w:rPr>
                <w:color w:val="000000" w:themeColor="text1"/>
                <w:kern w:val="0"/>
                <w:szCs w:val="24"/>
                <w:highlight w:val="none"/>
                <w:lang w:bidi="ar"/>
                <w14:textFill>
                  <w14:solidFill>
                    <w14:schemeClr w14:val="tx1"/>
                  </w14:solidFill>
                </w14:textFill>
              </w:rPr>
              <w:t>源头控制的措施首先是领导重视，全员加强安全生产和环境保护意识，只有这样才有可能从工程建设、生产和建设期后各阶段的工程活动，都能在相关的法律法规约束下，将安全生产和清洁生产作为一种自觉的行动，降低甚至杜绝突发事故的发生。</w:t>
            </w:r>
          </w:p>
          <w:p w14:paraId="4C3CA8A9">
            <w:pPr>
              <w:pStyle w:val="65"/>
              <w:keepNext w:val="0"/>
              <w:keepLines w:val="0"/>
              <w:pageBreakBefore w:val="0"/>
              <w:shd w:val="clear"/>
              <w:kinsoku/>
              <w:wordWrap/>
              <w:overflowPunct/>
              <w:topLinePunct w:val="0"/>
              <w:autoSpaceDE/>
              <w:autoSpaceDN/>
              <w:bidi w:val="0"/>
              <w:spacing w:line="480" w:lineRule="exact"/>
              <w:ind w:firstLine="480" w:firstLineChars="200"/>
              <w:rPr>
                <w:color w:val="000000" w:themeColor="text1"/>
                <w:kern w:val="0"/>
                <w:szCs w:val="24"/>
                <w:highlight w:val="none"/>
                <w:lang w:bidi="ar"/>
                <w14:textFill>
                  <w14:solidFill>
                    <w14:schemeClr w14:val="tx1"/>
                  </w14:solidFill>
                </w14:textFill>
              </w:rPr>
            </w:pPr>
            <w:r>
              <w:rPr>
                <w:color w:val="000000" w:themeColor="text1"/>
                <w:kern w:val="0"/>
                <w:szCs w:val="24"/>
                <w:highlight w:val="none"/>
                <w:lang w:bidi="ar"/>
                <w14:textFill>
                  <w14:solidFill>
                    <w14:schemeClr w14:val="tx1"/>
                  </w14:solidFill>
                </w14:textFill>
              </w:rPr>
              <w:t>加强危险废物暂存间</w:t>
            </w:r>
            <w:r>
              <w:rPr>
                <w:rFonts w:hint="eastAsia"/>
                <w:color w:val="000000" w:themeColor="text1"/>
                <w:kern w:val="0"/>
                <w:szCs w:val="24"/>
                <w:highlight w:val="none"/>
                <w:lang w:bidi="ar"/>
                <w14:textFill>
                  <w14:solidFill>
                    <w14:schemeClr w14:val="tx1"/>
                  </w14:solidFill>
                </w14:textFill>
              </w:rPr>
              <w:t>、</w:t>
            </w:r>
            <w:r>
              <w:rPr>
                <w:rFonts w:hint="eastAsia"/>
                <w:color w:val="000000" w:themeColor="text1"/>
                <w:kern w:val="0"/>
                <w:szCs w:val="24"/>
                <w:highlight w:val="none"/>
                <w:lang w:eastAsia="zh-CN" w:bidi="ar"/>
                <w14:textFill>
                  <w14:solidFill>
                    <w14:schemeClr w14:val="tx1"/>
                  </w14:solidFill>
                </w14:textFill>
              </w:rPr>
              <w:t>生产区</w:t>
            </w:r>
            <w:r>
              <w:rPr>
                <w:color w:val="000000" w:themeColor="text1"/>
                <w:kern w:val="0"/>
                <w:szCs w:val="24"/>
                <w:highlight w:val="none"/>
                <w:lang w:bidi="ar"/>
                <w14:textFill>
                  <w14:solidFill>
                    <w14:schemeClr w14:val="tx1"/>
                  </w14:solidFill>
                </w14:textFill>
              </w:rPr>
              <w:t>的巡视和监控。在项目运营过程中，要定期对设备进行维护，保持设备运行处于良好的状态；定期检查建、构筑物是否存在异常</w:t>
            </w:r>
            <w:r>
              <w:rPr>
                <w:rFonts w:hint="eastAsia"/>
                <w:color w:val="000000" w:themeColor="text1"/>
                <w:kern w:val="0"/>
                <w:szCs w:val="24"/>
                <w:highlight w:val="none"/>
                <w:lang w:bidi="ar"/>
                <w14:textFill>
                  <w14:solidFill>
                    <w14:schemeClr w14:val="tx1"/>
                  </w14:solidFill>
                </w14:textFill>
              </w:rPr>
              <w:t>；</w:t>
            </w:r>
            <w:r>
              <w:rPr>
                <w:bCs/>
                <w:color w:val="000000" w:themeColor="text1"/>
                <w:szCs w:val="24"/>
                <w:highlight w:val="none"/>
                <w:lang w:bidi="ar"/>
                <w14:textFill>
                  <w14:solidFill>
                    <w14:schemeClr w14:val="tx1"/>
                  </w14:solidFill>
                </w14:textFill>
              </w:rPr>
              <w:t>对于</w:t>
            </w:r>
            <w:r>
              <w:rPr>
                <w:rFonts w:hint="eastAsia"/>
                <w:bCs/>
                <w:color w:val="000000" w:themeColor="text1"/>
                <w:szCs w:val="24"/>
                <w:highlight w:val="none"/>
                <w:lang w:eastAsia="zh-CN" w:bidi="ar"/>
                <w14:textFill>
                  <w14:solidFill>
                    <w14:schemeClr w14:val="tx1"/>
                  </w14:solidFill>
                </w14:textFill>
              </w:rPr>
              <w:t>润滑油，</w:t>
            </w:r>
            <w:r>
              <w:rPr>
                <w:bCs/>
                <w:color w:val="000000" w:themeColor="text1"/>
                <w:szCs w:val="24"/>
                <w:highlight w:val="none"/>
                <w:lang w:bidi="ar"/>
                <w14:textFill>
                  <w14:solidFill>
                    <w14:schemeClr w14:val="tx1"/>
                  </w14:solidFill>
                </w14:textFill>
              </w:rPr>
              <w:t>保证其包装完好，装卸、使用、储存过程中不要损坏其包装桶，</w:t>
            </w:r>
            <w:r>
              <w:rPr>
                <w:color w:val="000000" w:themeColor="text1"/>
                <w:kern w:val="0"/>
                <w:szCs w:val="24"/>
                <w:highlight w:val="none"/>
                <w:lang w:bidi="ar"/>
                <w14:textFill>
                  <w14:solidFill>
                    <w14:schemeClr w14:val="tx1"/>
                  </w14:solidFill>
                </w14:textFill>
              </w:rPr>
              <w:t>杜绝</w:t>
            </w:r>
            <w:r>
              <w:rPr>
                <w:rFonts w:hint="eastAsia"/>
                <w:color w:val="000000" w:themeColor="text1"/>
                <w:kern w:val="0"/>
                <w:szCs w:val="24"/>
                <w:highlight w:val="none"/>
                <w:lang w:eastAsia="zh-CN" w:bidi="ar"/>
                <w14:textFill>
                  <w14:solidFill>
                    <w14:schemeClr w14:val="tx1"/>
                  </w14:solidFill>
                </w14:textFill>
              </w:rPr>
              <w:t>润滑油</w:t>
            </w:r>
            <w:r>
              <w:rPr>
                <w:color w:val="000000" w:themeColor="text1"/>
                <w:kern w:val="0"/>
                <w:szCs w:val="24"/>
                <w:highlight w:val="none"/>
                <w:lang w:bidi="ar"/>
                <w14:textFill>
                  <w14:solidFill>
                    <w14:schemeClr w14:val="tx1"/>
                  </w14:solidFill>
                </w14:textFill>
              </w:rPr>
              <w:t>的跑、冒、滴、漏现象产生，力求将泄漏的环境风险事故降低到最低程度。本项目</w:t>
            </w:r>
            <w:r>
              <w:rPr>
                <w:rFonts w:hint="eastAsia"/>
                <w:color w:val="000000" w:themeColor="text1"/>
                <w:kern w:val="0"/>
                <w:szCs w:val="24"/>
                <w:highlight w:val="none"/>
                <w:lang w:bidi="ar"/>
                <w14:textFill>
                  <w14:solidFill>
                    <w14:schemeClr w14:val="tx1"/>
                  </w14:solidFill>
                </w14:textFill>
              </w:rPr>
              <w:t>着重</w:t>
            </w:r>
            <w:r>
              <w:rPr>
                <w:rFonts w:hint="eastAsia"/>
                <w:bCs/>
                <w:color w:val="000000" w:themeColor="text1"/>
                <w:szCs w:val="24"/>
                <w:highlight w:val="none"/>
                <w:lang w:bidi="ar"/>
                <w14:textFill>
                  <w14:solidFill>
                    <w14:schemeClr w14:val="tx1"/>
                  </w14:solidFill>
                </w14:textFill>
              </w:rPr>
              <w:t>对车间内</w:t>
            </w:r>
            <w:r>
              <w:rPr>
                <w:bCs/>
                <w:color w:val="000000" w:themeColor="text1"/>
                <w:szCs w:val="24"/>
                <w:highlight w:val="none"/>
                <w:lang w:bidi="ar"/>
                <w14:textFill>
                  <w14:solidFill>
                    <w14:schemeClr w14:val="tx1"/>
                  </w14:solidFill>
                </w14:textFill>
              </w:rPr>
              <w:t>使用润滑油设备</w:t>
            </w:r>
            <w:r>
              <w:rPr>
                <w:color w:val="000000" w:themeColor="text1"/>
                <w:kern w:val="0"/>
                <w:szCs w:val="24"/>
                <w:highlight w:val="none"/>
                <w:lang w:bidi="ar"/>
                <w14:textFill>
                  <w14:solidFill>
                    <w14:schemeClr w14:val="tx1"/>
                  </w14:solidFill>
                </w14:textFill>
              </w:rPr>
              <w:t>危险废物暂存间定期</w:t>
            </w:r>
            <w:r>
              <w:rPr>
                <w:rFonts w:hint="eastAsia"/>
                <w:color w:val="000000" w:themeColor="text1"/>
                <w:kern w:val="0"/>
                <w:szCs w:val="24"/>
                <w:highlight w:val="none"/>
                <w:lang w:val="en-US" w:eastAsia="zh-CN" w:bidi="ar"/>
                <w14:textFill>
                  <w14:solidFill>
                    <w14:schemeClr w14:val="tx1"/>
                  </w14:solidFill>
                </w14:textFill>
              </w:rPr>
              <w:t>检查维护</w:t>
            </w:r>
            <w:r>
              <w:rPr>
                <w:color w:val="000000" w:themeColor="text1"/>
                <w:kern w:val="0"/>
                <w:szCs w:val="24"/>
                <w:highlight w:val="none"/>
                <w:lang w:bidi="ar"/>
                <w14:textFill>
                  <w14:solidFill>
                    <w14:schemeClr w14:val="tx1"/>
                  </w14:solidFill>
                </w14:textFill>
              </w:rPr>
              <w:t>，对</w:t>
            </w:r>
            <w:r>
              <w:rPr>
                <w:rFonts w:hint="eastAsia"/>
                <w:color w:val="000000" w:themeColor="text1"/>
                <w:kern w:val="0"/>
                <w:szCs w:val="24"/>
                <w:highlight w:val="none"/>
                <w:lang w:bidi="ar"/>
                <w14:textFill>
                  <w14:solidFill>
                    <w14:schemeClr w14:val="tx1"/>
                  </w14:solidFill>
                </w14:textFill>
              </w:rPr>
              <w:t>车间</w:t>
            </w:r>
            <w:r>
              <w:rPr>
                <w:color w:val="000000" w:themeColor="text1"/>
                <w:kern w:val="0"/>
                <w:szCs w:val="24"/>
                <w:highlight w:val="none"/>
                <w:lang w:bidi="ar"/>
                <w14:textFill>
                  <w14:solidFill>
                    <w14:schemeClr w14:val="tx1"/>
                  </w14:solidFill>
                </w14:textFill>
              </w:rPr>
              <w:t>地面防渗措施进行定期检查，保证防渗措施的有效性。</w:t>
            </w:r>
          </w:p>
          <w:p w14:paraId="233B36F5">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②过程防控措施</w:t>
            </w:r>
          </w:p>
          <w:p w14:paraId="59E151AC">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highlight w:val="none"/>
                <w14:textFill>
                  <w14:solidFill>
                    <w14:schemeClr w14:val="tx1"/>
                  </w14:solidFill>
                </w14:textFill>
              </w:rPr>
              <w:t>大气沉降防控措施</w:t>
            </w:r>
          </w:p>
          <w:p w14:paraId="0442F629">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在厂区</w:t>
            </w:r>
            <w:r>
              <w:rPr>
                <w:rFonts w:hint="eastAsia" w:cs="Times New Roman"/>
                <w:color w:val="000000" w:themeColor="text1"/>
                <w:sz w:val="24"/>
                <w:highlight w:val="none"/>
                <w:lang w:eastAsia="zh-CN"/>
                <w14:textFill>
                  <w14:solidFill>
                    <w14:schemeClr w14:val="tx1"/>
                  </w14:solidFill>
                </w14:textFill>
              </w:rPr>
              <w:t>内</w:t>
            </w:r>
            <w:r>
              <w:rPr>
                <w:rFonts w:hint="default" w:ascii="Times New Roman" w:hAnsi="Times New Roman" w:eastAsia="宋体" w:cs="Times New Roman"/>
                <w:color w:val="000000" w:themeColor="text1"/>
                <w:sz w:val="24"/>
                <w:highlight w:val="none"/>
                <w14:textFill>
                  <w14:solidFill>
                    <w14:schemeClr w14:val="tx1"/>
                  </w14:solidFill>
                </w14:textFill>
              </w:rPr>
              <w:t>多种植能够吸附粉尘的植物，使项目排放的污染物落至土壤上的量减少，从而减少对土壤的污染。</w:t>
            </w:r>
          </w:p>
          <w:p w14:paraId="09C01E15">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B、</w:t>
            </w:r>
            <w:r>
              <w:rPr>
                <w:rFonts w:hint="default" w:ascii="Times New Roman" w:hAnsi="Times New Roman" w:eastAsia="宋体" w:cs="Times New Roman"/>
                <w:color w:val="000000" w:themeColor="text1"/>
                <w:sz w:val="24"/>
                <w:highlight w:val="none"/>
                <w14:textFill>
                  <w14:solidFill>
                    <w14:schemeClr w14:val="tx1"/>
                  </w14:solidFill>
                </w14:textFill>
              </w:rPr>
              <w:t>垂直入渗防控措施</w:t>
            </w:r>
          </w:p>
          <w:p w14:paraId="2DD063CD">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2"/>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对厂区可能泄漏污染物的地面进行防渗处理，可有效防止污染物渗入地下，并及时地将泄漏、渗漏的污染物收集并进行集中处理。</w:t>
            </w:r>
            <w:r>
              <w:rPr>
                <w:rFonts w:hint="eastAsia" w:cs="Times New Roman"/>
                <w:color w:val="000000" w:themeColor="text1"/>
                <w:sz w:val="24"/>
                <w:szCs w:val="21"/>
                <w:highlight w:val="none"/>
                <w:lang w:eastAsia="zh-CN" w:bidi="ar"/>
                <w14:textFill>
                  <w14:solidFill>
                    <w14:schemeClr w14:val="tx1"/>
                  </w14:solidFill>
                </w14:textFill>
              </w:rPr>
              <w:t>现有工程建构筑物已按要求进行了防渗处理。</w:t>
            </w: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按照《防渗技术规范》要求</w:t>
            </w:r>
            <w:r>
              <w:rPr>
                <w:rFonts w:hint="eastAsia" w:cs="Times New Roman"/>
                <w:color w:val="000000" w:themeColor="text1"/>
                <w:sz w:val="24"/>
                <w:szCs w:val="21"/>
                <w:highlight w:val="none"/>
                <w:lang w:eastAsia="zh-CN" w:bidi="ar"/>
                <w14:textFill>
                  <w14:solidFill>
                    <w14:schemeClr w14:val="tx1"/>
                  </w14:solidFill>
                </w14:textFill>
              </w:rPr>
              <w:t>对本次新建的预处理车间进行防渗处理。</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防渗措施为采用等效黏土防渗层Mb≥1.5m，K≤1×10</w:t>
            </w:r>
            <w:r>
              <w:rPr>
                <w:rFonts w:hint="default" w:ascii="Times New Roman" w:hAnsi="Times New Roman" w:eastAsia="宋体" w:cs="Times New Roman"/>
                <w:snapToGrid w:val="0"/>
                <w:color w:val="000000" w:themeColor="text1"/>
                <w:kern w:val="0"/>
                <w:sz w:val="24"/>
                <w:szCs w:val="24"/>
                <w:highlight w:val="none"/>
                <w:vertAlign w:val="superscript"/>
                <w14:textFill>
                  <w14:solidFill>
                    <w14:schemeClr w14:val="tx1"/>
                  </w14:solidFill>
                </w14:textFill>
              </w:rPr>
              <w:t>-7</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cm/s，或参考GB</w:t>
            </w:r>
            <w:r>
              <w:rPr>
                <w:rFonts w:hint="eastAsia" w:cs="Times New Roman"/>
                <w:color w:val="000000" w:themeColor="text1"/>
                <w:sz w:val="24"/>
                <w:szCs w:val="22"/>
                <w:highlight w:val="none"/>
                <w:lang w:eastAsia="zh-CN" w:bidi="ar"/>
                <w14:textFill>
                  <w14:solidFill>
                    <w14:schemeClr w14:val="tx1"/>
                  </w14:solidFill>
                </w14:textFill>
              </w:rPr>
              <w:t>16889</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执行。</w:t>
            </w:r>
          </w:p>
          <w:p w14:paraId="1B8D472D">
            <w:pPr>
              <w:keepNext w:val="0"/>
              <w:keepLines w:val="0"/>
              <w:pageBreakBefore w:val="0"/>
              <w:widowControl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项目对可能产生土壤</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地下水</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影响的各项途径进行有效预防，在做好各项防渗措施，加强维护和厂区环境管理的基础上，可有效控制厂区内的污染物渗漏至土壤</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地下水</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中的现象，避免土壤</w:t>
            </w:r>
            <w:r>
              <w:rPr>
                <w:rFonts w:hint="eastAsia" w:ascii="Times New Roman" w:hAnsi="Times New Roman" w:eastAsia="宋体" w:cs="Times New Roman"/>
                <w:color w:val="000000" w:themeColor="text1"/>
                <w:sz w:val="24"/>
                <w:szCs w:val="22"/>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2"/>
                <w:highlight w:val="none"/>
                <w:lang w:val="en-US" w:eastAsia="zh-CN" w:bidi="ar"/>
                <w14:textFill>
                  <w14:solidFill>
                    <w14:schemeClr w14:val="tx1"/>
                  </w14:solidFill>
                </w14:textFill>
              </w:rPr>
              <w:t>地下水</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的污染。综上所述，项目</w:t>
            </w:r>
            <w:r>
              <w:rPr>
                <w:rFonts w:hint="default" w:ascii="Times New Roman" w:hAnsi="Times New Roman" w:eastAsia="宋体" w:cs="Times New Roman"/>
                <w:color w:val="000000" w:themeColor="text1"/>
                <w:sz w:val="24"/>
                <w:szCs w:val="22"/>
                <w:highlight w:val="none"/>
                <w:lang w:val="en-US" w:eastAsia="zh-CN" w:bidi="ar"/>
                <w14:textFill>
                  <w14:solidFill>
                    <w14:schemeClr w14:val="tx1"/>
                  </w14:solidFill>
                </w14:textFill>
              </w:rPr>
              <w:t>运营</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后对土壤</w:t>
            </w:r>
            <w:r>
              <w:rPr>
                <w:rFonts w:hint="eastAsia" w:ascii="Times New Roman" w:hAnsi="Times New Roman" w:eastAsia="宋体" w:cs="Times New Roman"/>
                <w:color w:val="000000" w:themeColor="text1"/>
                <w:sz w:val="24"/>
                <w:szCs w:val="22"/>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2"/>
                <w:highlight w:val="none"/>
                <w:lang w:val="en-US" w:eastAsia="zh-CN" w:bidi="ar"/>
                <w14:textFill>
                  <w14:solidFill>
                    <w14:schemeClr w14:val="tx1"/>
                  </w14:solidFill>
                </w14:textFill>
              </w:rPr>
              <w:t>地下水</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环境影响较小</w:t>
            </w:r>
            <w:r>
              <w:rPr>
                <w:rFonts w:hint="eastAsia" w:ascii="Times New Roman" w:hAnsi="Times New Roman" w:eastAsia="宋体" w:cs="Times New Roman"/>
                <w:color w:val="000000" w:themeColor="text1"/>
                <w:sz w:val="24"/>
                <w:szCs w:val="22"/>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2"/>
                <w:highlight w:val="none"/>
                <w:lang w:val="en-US" w:eastAsia="zh-CN" w:bidi="ar"/>
                <w14:textFill>
                  <w14:solidFill>
                    <w14:schemeClr w14:val="tx1"/>
                  </w14:solidFill>
                </w14:textFill>
              </w:rPr>
              <w:t>措施可行。</w:t>
            </w:r>
          </w:p>
          <w:p w14:paraId="2966D64D">
            <w:pPr>
              <w:keepNext w:val="0"/>
              <w:keepLines w:val="0"/>
              <w:pageBreakBefore w:val="0"/>
              <w:widowControl w:val="0"/>
              <w:shd w:val="clear"/>
              <w:kinsoku/>
              <w:wordWrap/>
              <w:overflowPunct/>
              <w:topLinePunct w:val="0"/>
              <w:autoSpaceDE/>
              <w:autoSpaceDN/>
              <w:bidi w:val="0"/>
              <w:adjustRightInd/>
              <w:snapToGrid w:val="0"/>
              <w:spacing w:line="480" w:lineRule="exact"/>
              <w:ind w:firstLine="482" w:firstLineChars="200"/>
              <w:jc w:val="left"/>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6、生态</w:t>
            </w:r>
          </w:p>
          <w:p w14:paraId="14072B22">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b w:val="0"/>
                <w:bCs/>
                <w:smallCaps w:val="0"/>
                <w:color w:val="000000" w:themeColor="text1"/>
                <w:spacing w:val="0"/>
                <w:position w:val="0"/>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本项目位于河北省唐山市滦州市雷庄镇耀隆宝峰矿业有限公司院内，依托原有厂区进行建设，不新增占地，项目用地范围内无生态环境保护目标</w:t>
            </w:r>
            <w:r>
              <w:rPr>
                <w:rFonts w:hint="default" w:ascii="Times New Roman" w:hAnsi="Times New Roman" w:eastAsia="宋体" w:cs="Times New Roman"/>
                <w:b w:val="0"/>
                <w:bCs/>
                <w:smallCaps w:val="0"/>
                <w:color w:val="000000" w:themeColor="text1"/>
                <w:spacing w:val="0"/>
                <w:position w:val="0"/>
                <w:sz w:val="24"/>
                <w:szCs w:val="24"/>
                <w:highlight w:val="none"/>
                <w:lang w:val="en-US" w:eastAsia="zh-CN"/>
                <w14:textFill>
                  <w14:solidFill>
                    <w14:schemeClr w14:val="tx1"/>
                  </w14:solidFill>
                </w14:textFill>
              </w:rPr>
              <w:t>。</w:t>
            </w:r>
          </w:p>
          <w:p w14:paraId="1FDCA1BD">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480" w:lineRule="exact"/>
              <w:ind w:firstLine="482" w:firstLineChars="200"/>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7、环境风险</w:t>
            </w:r>
          </w:p>
          <w:p w14:paraId="44923C57">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⑴</w:t>
            </w:r>
            <w:r>
              <w:rPr>
                <w:rFonts w:hint="default" w:ascii="Times New Roman" w:hAnsi="Times New Roman" w:eastAsia="宋体" w:cs="Times New Roman"/>
                <w:smallCaps w:val="0"/>
                <w:color w:val="000000" w:themeColor="text1"/>
                <w:spacing w:val="0"/>
                <w:position w:val="0"/>
                <w:sz w:val="24"/>
                <w:szCs w:val="24"/>
                <w:highlight w:val="none"/>
                <w14:textFill>
                  <w14:solidFill>
                    <w14:schemeClr w14:val="tx1"/>
                  </w14:solidFill>
                </w14:textFill>
              </w:rPr>
              <w:t>风险源调查</w:t>
            </w:r>
          </w:p>
          <w:p w14:paraId="39098F07">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根据《建设项目环境风险评价技术导则》（HJ169-2018）：“7.2风险识别方法”中“7.2.2物质危险性识别按附录B识别出的危险物质，以图表的方式给出其易燃易爆、有毒有害危险特性，明确危险物质的分布。”识别物质危险性。因此，根据《建设项目环境风险评价技术导则》（HJ169-2018）附录B.1和B.2、《化学品分类和标签规范第18部分：急性毒性》（GB30000.18-2013）和《化学品分类和标签规范第28部分：对水生环境的危害》（GB30000.28-2013），</w:t>
            </w:r>
            <w:r>
              <w:rPr>
                <w:rFonts w:hint="default"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本次评价从原辅材料、产品以及生产运营过程排放的</w:t>
            </w:r>
            <w:r>
              <w:rPr>
                <w:rFonts w:hint="eastAsia"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“三废”</w:t>
            </w:r>
            <w:r>
              <w:rPr>
                <w:rFonts w:hint="default"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污染物等识别危险物质</w:t>
            </w:r>
            <w:r>
              <w:rPr>
                <w:rFonts w:hint="eastAsia"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。确定与项目有关的主要易燃易爆、有毒有害的危险物质</w:t>
            </w:r>
            <w:r>
              <w:rPr>
                <w:rFonts w:hint="eastAsia" w:cs="Times New Roman"/>
                <w:smallCaps w:val="0"/>
                <w:color w:val="000000" w:themeColor="text1"/>
                <w:spacing w:val="0"/>
                <w:position w:val="0"/>
                <w:sz w:val="24"/>
                <w:szCs w:val="24"/>
                <w:highlight w:val="none"/>
                <w:lang w:eastAsia="zh-CN"/>
                <w14:textFill>
                  <w14:solidFill>
                    <w14:schemeClr w14:val="tx1"/>
                  </w14:solidFill>
                </w14:textFill>
              </w:rPr>
              <w:t>为润滑油、</w:t>
            </w:r>
            <w:r>
              <w:rPr>
                <w:rFonts w:hint="eastAsia"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废润滑油</w:t>
            </w:r>
            <w:r>
              <w:rPr>
                <w:rFonts w:hint="default"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，上述物质在储存、使用过程中可能发生泄漏事故</w:t>
            </w:r>
            <w:r>
              <w:rPr>
                <w:rFonts w:hint="eastAsia"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w:t>
            </w:r>
            <w:r>
              <w:rPr>
                <w:rFonts w:hint="eastAsia" w:ascii="Times New Roman" w:hAnsi="Times New Roman" w:eastAsia="宋体" w:cs="Times New Roman"/>
                <w:smallCaps w:val="0"/>
                <w:color w:val="000000" w:themeColor="text1"/>
                <w:spacing w:val="0"/>
                <w:position w:val="0"/>
                <w:sz w:val="24"/>
                <w:szCs w:val="24"/>
                <w:highlight w:val="none"/>
                <w:lang w:val="en-US" w:eastAsia="zh-CN"/>
                <w14:textFill>
                  <w14:solidFill>
                    <w14:schemeClr w14:val="tx1"/>
                  </w14:solidFill>
                </w14:textFill>
              </w:rPr>
              <w:t>火灾事故</w:t>
            </w:r>
            <w:r>
              <w:rPr>
                <w:rFonts w:hint="default"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。润滑油</w:t>
            </w:r>
            <w:r>
              <w:rPr>
                <w:rFonts w:hint="eastAsia" w:cs="Times New Roman"/>
                <w:smallCaps w:val="0"/>
                <w:color w:val="000000" w:themeColor="text1"/>
                <w:spacing w:val="0"/>
                <w:position w:val="0"/>
                <w:sz w:val="24"/>
                <w:szCs w:val="24"/>
                <w:highlight w:val="none"/>
                <w:lang w:eastAsia="zh-CN"/>
                <w14:textFill>
                  <w14:solidFill>
                    <w14:schemeClr w14:val="tx1"/>
                  </w14:solidFill>
                </w14:textFill>
              </w:rPr>
              <w:t>储</w:t>
            </w:r>
            <w:r>
              <w:rPr>
                <w:rFonts w:hint="eastAsia" w:ascii="Times New Roman" w:hAnsi="Times New Roman" w:eastAsia="宋体" w:cs="Times New Roman"/>
                <w:smallCaps w:val="0"/>
                <w:color w:val="000000" w:themeColor="text1"/>
                <w:spacing w:val="0"/>
                <w:position w:val="0"/>
                <w:sz w:val="24"/>
                <w:szCs w:val="24"/>
                <w:highlight w:val="none"/>
                <w:lang w:val="en-US" w:eastAsia="zh-CN"/>
                <w14:textFill>
                  <w14:solidFill>
                    <w14:schemeClr w14:val="tx1"/>
                  </w14:solidFill>
                </w14:textFill>
              </w:rPr>
              <w:t>存于</w:t>
            </w:r>
            <w:r>
              <w:rPr>
                <w:rFonts w:hint="eastAsia" w:cs="Times New Roman"/>
                <w:smallCaps w:val="0"/>
                <w:color w:val="000000" w:themeColor="text1"/>
                <w:spacing w:val="0"/>
                <w:position w:val="0"/>
                <w:sz w:val="24"/>
                <w:szCs w:val="24"/>
                <w:highlight w:val="none"/>
                <w:lang w:val="en-US" w:eastAsia="zh-CN"/>
                <w14:textFill>
                  <w14:solidFill>
                    <w14:schemeClr w14:val="tx1"/>
                  </w14:solidFill>
                </w14:textFill>
              </w:rPr>
              <w:t>生产</w:t>
            </w:r>
            <w:r>
              <w:rPr>
                <w:rFonts w:hint="eastAsia" w:ascii="Times New Roman" w:hAnsi="Times New Roman" w:eastAsia="宋体" w:cs="Times New Roman"/>
                <w:smallCaps w:val="0"/>
                <w:color w:val="000000" w:themeColor="text1"/>
                <w:spacing w:val="0"/>
                <w:position w:val="0"/>
                <w:sz w:val="24"/>
                <w:szCs w:val="24"/>
                <w:highlight w:val="none"/>
                <w:lang w:val="en-US" w:eastAsia="zh-CN"/>
                <w14:textFill>
                  <w14:solidFill>
                    <w14:schemeClr w14:val="tx1"/>
                  </w14:solidFill>
                </w14:textFill>
              </w:rPr>
              <w:t>设备内</w:t>
            </w:r>
            <w:r>
              <w:rPr>
                <w:rFonts w:hint="default"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w:t>
            </w:r>
            <w:r>
              <w:rPr>
                <w:rFonts w:hint="eastAsia" w:ascii="Times New Roman" w:hAnsi="Times New Roman" w:eastAsia="宋体" w:cs="Times New Roman"/>
                <w:smallCaps w:val="0"/>
                <w:color w:val="000000" w:themeColor="text1"/>
                <w:spacing w:val="0"/>
                <w:position w:val="0"/>
                <w:sz w:val="24"/>
                <w:szCs w:val="24"/>
                <w:highlight w:val="none"/>
                <w:lang w:val="en-US" w:eastAsia="zh-CN"/>
                <w14:textFill>
                  <w14:solidFill>
                    <w14:schemeClr w14:val="tx1"/>
                  </w14:solidFill>
                </w14:textFill>
              </w:rPr>
              <w:t>废润滑油均桶装</w:t>
            </w:r>
            <w:r>
              <w:rPr>
                <w:rFonts w:hint="default"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储存于</w:t>
            </w:r>
            <w:r>
              <w:rPr>
                <w:rFonts w:hint="eastAsia" w:cs="Times New Roman"/>
                <w:smallCaps w:val="0"/>
                <w:color w:val="000000" w:themeColor="text1"/>
                <w:spacing w:val="0"/>
                <w:position w:val="0"/>
                <w:sz w:val="24"/>
                <w:szCs w:val="24"/>
                <w:highlight w:val="none"/>
                <w:lang w:eastAsia="zh-CN"/>
                <w14:textFill>
                  <w14:solidFill>
                    <w14:schemeClr w14:val="tx1"/>
                  </w14:solidFill>
                </w14:textFill>
              </w:rPr>
              <w:t>危险废物暂存间</w:t>
            </w:r>
            <w:r>
              <w:rPr>
                <w:rFonts w:hint="eastAsia"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内</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w:t>
            </w:r>
          </w:p>
          <w:p w14:paraId="2EC8388F">
            <w:pPr>
              <w:keepNext w:val="0"/>
              <w:keepLines w:val="0"/>
              <w:pageBreakBefore w:val="0"/>
              <w:widowControl w:val="0"/>
              <w:numPr>
                <w:ilvl w:val="0"/>
                <w:numId w:val="0"/>
              </w:numPr>
              <w:shd w:val="clear"/>
              <w:kinsoku/>
              <w:wordWrap/>
              <w:overflowPunct/>
              <w:topLinePunct w:val="0"/>
              <w:autoSpaceDE/>
              <w:autoSpaceDN/>
              <w:bidi w:val="0"/>
              <w:spacing w:line="480" w:lineRule="exact"/>
              <w:ind w:leftChars="0" w:firstLine="480" w:firstLineChars="200"/>
              <w:textAlignment w:val="auto"/>
              <w:rPr>
                <w:rFonts w:hint="default" w:ascii="Times New Roman" w:hAnsi="Times New Roman" w:cs="Times New Roman"/>
                <w:smallCaps w:val="0"/>
                <w:color w:val="000000" w:themeColor="text1"/>
                <w:spacing w:val="0"/>
                <w:position w:val="0"/>
                <w:sz w:val="24"/>
                <w:szCs w:val="24"/>
                <w:highlight w:val="none"/>
                <w:lang w:val="en-US" w:eastAsia="zh-CN"/>
                <w14:textFill>
                  <w14:solidFill>
                    <w14:schemeClr w14:val="tx1"/>
                  </w14:solidFill>
                </w14:textFill>
              </w:rPr>
            </w:pPr>
            <w:r>
              <w:rPr>
                <w:rFonts w:hint="default" w:ascii="Times New Roman" w:hAnsi="Times New Roman" w:cs="Times New Roman"/>
                <w:smallCaps w:val="0"/>
                <w:color w:val="000000" w:themeColor="text1"/>
                <w:spacing w:val="0"/>
                <w:position w:val="0"/>
                <w:sz w:val="24"/>
                <w:szCs w:val="24"/>
                <w:highlight w:val="none"/>
                <w:lang w:val="en-US" w:eastAsia="zh-CN"/>
                <w14:textFill>
                  <w14:solidFill>
                    <w14:schemeClr w14:val="tx1"/>
                  </w14:solidFill>
                </w14:textFill>
              </w:rPr>
              <w:t>⑵临界量</w:t>
            </w:r>
          </w:p>
          <w:p w14:paraId="37DF5CA1">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smallCaps w:val="0"/>
                <w:color w:val="000000" w:themeColor="text1"/>
                <w:spacing w:val="0"/>
                <w:position w:val="0"/>
                <w:sz w:val="24"/>
                <w:szCs w:val="24"/>
                <w:highlight w:val="none"/>
                <w14:textFill>
                  <w14:solidFill>
                    <w14:schemeClr w14:val="tx1"/>
                  </w14:solidFill>
                </w14:textFill>
              </w:rPr>
              <w:t>根据《建设项目环境风险评价技术导则》（</w:t>
            </w:r>
            <w:r>
              <w:rPr>
                <w:rFonts w:hint="default" w:ascii="Times New Roman" w:hAnsi="Times New Roman" w:eastAsia="宋体" w:cs="Times New Roman"/>
                <w:smallCaps w:val="0"/>
                <w:color w:val="000000" w:themeColor="text1"/>
                <w:spacing w:val="0"/>
                <w:position w:val="0"/>
                <w:sz w:val="24"/>
                <w:szCs w:val="24"/>
                <w:highlight w:val="none"/>
                <w:lang w:eastAsia="zh-CN"/>
                <w14:textFill>
                  <w14:solidFill>
                    <w14:schemeClr w14:val="tx1"/>
                  </w14:solidFill>
                </w14:textFill>
              </w:rPr>
              <w:t>HJ</w:t>
            </w:r>
            <w:r>
              <w:rPr>
                <w:rFonts w:hint="default" w:ascii="Times New Roman" w:hAnsi="Times New Roman" w:eastAsia="宋体" w:cs="Times New Roman"/>
                <w:smallCaps w:val="0"/>
                <w:color w:val="000000" w:themeColor="text1"/>
                <w:spacing w:val="0"/>
                <w:position w:val="0"/>
                <w:sz w:val="24"/>
                <w:szCs w:val="24"/>
                <w:highlight w:val="none"/>
                <w14:textFill>
                  <w14:solidFill>
                    <w14:schemeClr w14:val="tx1"/>
                  </w14:solidFill>
                </w14:textFill>
              </w:rPr>
              <w:t>169-2018）</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导则附录C中，计算Q值。</w:t>
            </w:r>
          </w:p>
          <w:p w14:paraId="6BBF582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smallCaps w:val="0"/>
                <w:color w:val="000000" w:themeColor="text1"/>
                <w:spacing w:val="0"/>
                <w:position w:val="0"/>
                <w:sz w:val="24"/>
                <w:szCs w:val="24"/>
                <w:highlight w:val="none"/>
                <w14:textFill>
                  <w14:solidFill>
                    <w14:schemeClr w14:val="tx1"/>
                  </w14:solidFill>
                </w14:textFill>
              </w:rPr>
              <w:object>
                <v:shape id="_x0000_i1039" o:spt="75" type="#_x0000_t75" style="height:34.5pt;width:99.5pt;" o:ole="t" filled="f" o:preferrelative="t" stroked="f" coordsize="21600,21600">
                  <v:path/>
                  <v:fill on="f" focussize="0,0"/>
                  <v:stroke on="f"/>
                  <v:imagedata r:id="rId43" o:title=""/>
                  <o:lock v:ext="edit" aspectratio="t"/>
                  <w10:wrap type="none"/>
                  <w10:anchorlock/>
                </v:shape>
                <o:OLEObject Type="Embed" ProgID="Equation.KSEE3" ShapeID="_x0000_i1039" DrawAspect="Content" ObjectID="_1468075739" r:id="rId42">
                  <o:LockedField>false</o:LockedField>
                </o:OLEObject>
              </w:object>
            </w:r>
          </w:p>
          <w:p w14:paraId="69046FA2">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式中：q</w:t>
            </w:r>
            <w:r>
              <w:rPr>
                <w:rFonts w:hint="default" w:ascii="Times New Roman" w:hAnsi="Times New Roman" w:eastAsia="宋体" w:cs="Times New Roman"/>
                <w:bCs/>
                <w:smallCaps w:val="0"/>
                <w:color w:val="000000" w:themeColor="text1"/>
                <w:spacing w:val="0"/>
                <w:position w:val="0"/>
                <w:sz w:val="24"/>
                <w:szCs w:val="24"/>
                <w:highlight w:val="none"/>
                <w:vertAlign w:val="subscript"/>
                <w14:textFill>
                  <w14:solidFill>
                    <w14:schemeClr w14:val="tx1"/>
                  </w14:solidFill>
                </w14:textFill>
              </w:rPr>
              <w:t>1</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，q</w:t>
            </w:r>
            <w:r>
              <w:rPr>
                <w:rFonts w:hint="default" w:ascii="Times New Roman" w:hAnsi="Times New Roman" w:eastAsia="宋体" w:cs="Times New Roman"/>
                <w:bCs/>
                <w:smallCaps w:val="0"/>
                <w:color w:val="000000" w:themeColor="text1"/>
                <w:spacing w:val="0"/>
                <w:position w:val="0"/>
                <w:sz w:val="24"/>
                <w:szCs w:val="24"/>
                <w:highlight w:val="none"/>
                <w:vertAlign w:val="subscript"/>
                <w14:textFill>
                  <w14:solidFill>
                    <w14:schemeClr w14:val="tx1"/>
                  </w14:solidFill>
                </w14:textFill>
              </w:rPr>
              <w:t>2</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，...，q</w:t>
            </w:r>
            <w:r>
              <w:rPr>
                <w:rFonts w:hint="default" w:ascii="Times New Roman" w:hAnsi="Times New Roman" w:eastAsia="宋体" w:cs="Times New Roman"/>
                <w:bCs/>
                <w:smallCaps w:val="0"/>
                <w:color w:val="000000" w:themeColor="text1"/>
                <w:spacing w:val="0"/>
                <w:position w:val="0"/>
                <w:sz w:val="24"/>
                <w:szCs w:val="24"/>
                <w:highlight w:val="none"/>
                <w:vertAlign w:val="subscript"/>
                <w14:textFill>
                  <w14:solidFill>
                    <w14:schemeClr w14:val="tx1"/>
                  </w14:solidFill>
                </w14:textFill>
              </w:rPr>
              <w:t>n</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—每种风险物质的最大存在总量，t；</w:t>
            </w:r>
          </w:p>
          <w:p w14:paraId="792EC142">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Q</w:t>
            </w:r>
            <w:r>
              <w:rPr>
                <w:rFonts w:hint="default" w:ascii="Times New Roman" w:hAnsi="Times New Roman" w:eastAsia="宋体" w:cs="Times New Roman"/>
                <w:bCs/>
                <w:smallCaps w:val="0"/>
                <w:color w:val="000000" w:themeColor="text1"/>
                <w:spacing w:val="0"/>
                <w:position w:val="0"/>
                <w:sz w:val="24"/>
                <w:szCs w:val="24"/>
                <w:highlight w:val="none"/>
                <w:vertAlign w:val="subscript"/>
                <w14:textFill>
                  <w14:solidFill>
                    <w14:schemeClr w14:val="tx1"/>
                  </w14:solidFill>
                </w14:textFill>
              </w:rPr>
              <w:t>1</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，Q</w:t>
            </w:r>
            <w:r>
              <w:rPr>
                <w:rFonts w:hint="default" w:ascii="Times New Roman" w:hAnsi="Times New Roman" w:eastAsia="宋体" w:cs="Times New Roman"/>
                <w:bCs/>
                <w:smallCaps w:val="0"/>
                <w:color w:val="000000" w:themeColor="text1"/>
                <w:spacing w:val="0"/>
                <w:position w:val="0"/>
                <w:sz w:val="24"/>
                <w:szCs w:val="24"/>
                <w:highlight w:val="none"/>
                <w:vertAlign w:val="subscript"/>
                <w14:textFill>
                  <w14:solidFill>
                    <w14:schemeClr w14:val="tx1"/>
                  </w14:solidFill>
                </w14:textFill>
              </w:rPr>
              <w:t>2</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，...，Q</w:t>
            </w:r>
            <w:r>
              <w:rPr>
                <w:rFonts w:hint="default" w:ascii="Times New Roman" w:hAnsi="Times New Roman" w:eastAsia="宋体" w:cs="Times New Roman"/>
                <w:bCs/>
                <w:smallCaps w:val="0"/>
                <w:color w:val="000000" w:themeColor="text1"/>
                <w:spacing w:val="0"/>
                <w:position w:val="0"/>
                <w:sz w:val="24"/>
                <w:szCs w:val="24"/>
                <w:highlight w:val="none"/>
                <w:vertAlign w:val="subscript"/>
                <w14:textFill>
                  <w14:solidFill>
                    <w14:schemeClr w14:val="tx1"/>
                  </w14:solidFill>
                </w14:textFill>
              </w:rPr>
              <w:t>n</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—每种风险物质的临界量，t。</w:t>
            </w:r>
          </w:p>
          <w:p w14:paraId="2DEEBAF5">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当Q＜1时，该项目环境风险潜势为Ⅰ。</w:t>
            </w:r>
          </w:p>
          <w:p w14:paraId="413FD198">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当Q≥1时，将Q值划分为：（1）1≤Q＜10；（2）10≤Q＜100；（3）Q≥100；</w:t>
            </w:r>
          </w:p>
          <w:p w14:paraId="0A672929">
            <w:pPr>
              <w:keepNext w:val="0"/>
              <w:keepLines w:val="0"/>
              <w:pageBreakBefore w:val="0"/>
              <w:widowControl w:val="0"/>
              <w:shd w:val="clear"/>
              <w:kinsoku/>
              <w:wordWrap/>
              <w:overflowPunct/>
              <w:topLinePunct w:val="0"/>
              <w:autoSpaceDE/>
              <w:autoSpaceDN/>
              <w:bidi w:val="0"/>
              <w:spacing w:line="480" w:lineRule="exact"/>
              <w:ind w:firstLine="480" w:firstLineChars="200"/>
              <w:textAlignment w:val="auto"/>
              <w:rPr>
                <w:rFonts w:hint="eastAsia" w:cs="Times New Roman"/>
                <w:bCs/>
                <w:smallCaps w:val="0"/>
                <w:color w:val="000000" w:themeColor="text1"/>
                <w:spacing w:val="0"/>
                <w:position w:val="0"/>
                <w:sz w:val="24"/>
                <w:szCs w:val="24"/>
                <w:highlight w:val="none"/>
                <w:lang w:eastAsia="zh-CN"/>
                <w14:textFill>
                  <w14:solidFill>
                    <w14:schemeClr w14:val="tx1"/>
                  </w14:solidFill>
                </w14:textFill>
              </w:rPr>
            </w:pP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Q值计算结果如下</w:t>
            </w:r>
            <w:r>
              <w:rPr>
                <w:rFonts w:hint="eastAsia" w:cs="Times New Roman"/>
                <w:bCs/>
                <w:smallCaps w:val="0"/>
                <w:color w:val="000000" w:themeColor="text1"/>
                <w:spacing w:val="0"/>
                <w:position w:val="0"/>
                <w:sz w:val="24"/>
                <w:szCs w:val="24"/>
                <w:highlight w:val="none"/>
                <w:lang w:eastAsia="zh-CN"/>
                <w14:textFill>
                  <w14:solidFill>
                    <w14:schemeClr w14:val="tx1"/>
                  </w14:solidFill>
                </w14:textFill>
              </w:rPr>
              <w:t>：</w:t>
            </w:r>
          </w:p>
          <w:p w14:paraId="28CB931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Q值计算结果</w:t>
            </w:r>
          </w:p>
          <w:tbl>
            <w:tblPr>
              <w:tblStyle w:val="32"/>
              <w:tblW w:w="797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0" w:type="dxa"/>
                <w:bottom w:w="0" w:type="dxa"/>
                <w:right w:w="0" w:type="dxa"/>
              </w:tblCellMar>
            </w:tblPr>
            <w:tblGrid>
              <w:gridCol w:w="1617"/>
              <w:gridCol w:w="1889"/>
              <w:gridCol w:w="1299"/>
              <w:gridCol w:w="1073"/>
              <w:gridCol w:w="1138"/>
              <w:gridCol w:w="962"/>
            </w:tblGrid>
            <w:tr w14:paraId="33240EA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33" w:hRule="atLeast"/>
                <w:jc w:val="center"/>
              </w:trPr>
              <w:tc>
                <w:tcPr>
                  <w:tcW w:w="1617" w:type="dxa"/>
                  <w:tcBorders>
                    <w:tl2br w:val="nil"/>
                    <w:tr2bl w:val="nil"/>
                  </w:tcBorders>
                  <w:noWrap w:val="0"/>
                  <w:tcMar>
                    <w:top w:w="15" w:type="dxa"/>
                    <w:left w:w="15" w:type="dxa"/>
                    <w:right w:w="15" w:type="dxa"/>
                  </w:tcMar>
                  <w:vAlign w:val="center"/>
                </w:tcPr>
                <w:p w14:paraId="0F8F545A">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b w:val="0"/>
                      <w:bCs w:val="0"/>
                      <w:color w:val="000000" w:themeColor="text1"/>
                      <w:sz w:val="21"/>
                      <w:szCs w:val="21"/>
                      <w:highlight w:val="none"/>
                      <w:shd w:val="clear" w:color="auto" w:fill="auto"/>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shd w:val="clear" w:color="auto" w:fill="auto"/>
                      <w:lang w:eastAsia="zh-CN"/>
                      <w14:textFill>
                        <w14:solidFill>
                          <w14:schemeClr w14:val="tx1"/>
                        </w14:solidFill>
                      </w14:textFill>
                    </w:rPr>
                    <w:t>风险物质名称</w:t>
                  </w:r>
                </w:p>
              </w:tc>
              <w:tc>
                <w:tcPr>
                  <w:tcW w:w="1889" w:type="dxa"/>
                  <w:tcBorders>
                    <w:tl2br w:val="nil"/>
                    <w:tr2bl w:val="nil"/>
                  </w:tcBorders>
                  <w:noWrap w:val="0"/>
                  <w:tcMar>
                    <w:top w:w="15" w:type="dxa"/>
                    <w:left w:w="15" w:type="dxa"/>
                    <w:right w:w="15" w:type="dxa"/>
                  </w:tcMar>
                  <w:vAlign w:val="center"/>
                </w:tcPr>
                <w:p w14:paraId="757D6834">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b w:val="0"/>
                      <w:bCs w:val="0"/>
                      <w:color w:val="000000" w:themeColor="text1"/>
                      <w:sz w:val="21"/>
                      <w:szCs w:val="21"/>
                      <w:highlight w:val="none"/>
                      <w:shd w:val="clear" w:color="auto" w:fill="auto"/>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shd w:val="clear" w:color="auto" w:fill="auto"/>
                      <w:lang w:eastAsia="zh-CN"/>
                      <w14:textFill>
                        <w14:solidFill>
                          <w14:schemeClr w14:val="tx1"/>
                        </w14:solidFill>
                      </w14:textFill>
                    </w:rPr>
                    <w:t>储存场所</w:t>
                  </w:r>
                </w:p>
              </w:tc>
              <w:tc>
                <w:tcPr>
                  <w:tcW w:w="1299" w:type="dxa"/>
                  <w:tcBorders>
                    <w:tl2br w:val="nil"/>
                    <w:tr2bl w:val="nil"/>
                  </w:tcBorders>
                  <w:noWrap w:val="0"/>
                  <w:tcMar>
                    <w:top w:w="15" w:type="dxa"/>
                    <w:left w:w="15" w:type="dxa"/>
                    <w:right w:w="15" w:type="dxa"/>
                  </w:tcMar>
                  <w:vAlign w:val="center"/>
                </w:tcPr>
                <w:p w14:paraId="4BB20745">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储存方式</w:t>
                  </w:r>
                </w:p>
              </w:tc>
              <w:tc>
                <w:tcPr>
                  <w:tcW w:w="1073" w:type="dxa"/>
                  <w:tcBorders>
                    <w:tl2br w:val="nil"/>
                    <w:tr2bl w:val="nil"/>
                  </w:tcBorders>
                  <w:noWrap w:val="0"/>
                  <w:tcMar>
                    <w:top w:w="15" w:type="dxa"/>
                    <w:left w:w="15" w:type="dxa"/>
                    <w:right w:w="15" w:type="dxa"/>
                  </w:tcMar>
                  <w:vAlign w:val="center"/>
                </w:tcPr>
                <w:p w14:paraId="1A7A916C">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b w:val="0"/>
                      <w:bCs w:val="0"/>
                      <w:color w:val="000000" w:themeColor="text1"/>
                      <w:sz w:val="21"/>
                      <w:szCs w:val="21"/>
                      <w:highlight w:val="none"/>
                      <w:shd w:val="clear" w:color="auto" w:fill="auto"/>
                      <w:lang w:val="en-US"/>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最大储存量（t）</w:t>
                  </w:r>
                </w:p>
              </w:tc>
              <w:tc>
                <w:tcPr>
                  <w:tcW w:w="1138" w:type="dxa"/>
                  <w:tcBorders>
                    <w:tl2br w:val="nil"/>
                    <w:tr2bl w:val="nil"/>
                  </w:tcBorders>
                  <w:noWrap w:val="0"/>
                  <w:tcMar>
                    <w:top w:w="15" w:type="dxa"/>
                    <w:left w:w="15" w:type="dxa"/>
                    <w:right w:w="15" w:type="dxa"/>
                  </w:tcMar>
                  <w:vAlign w:val="center"/>
                </w:tcPr>
                <w:p w14:paraId="7D80E132">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临界量（t）</w:t>
                  </w:r>
                </w:p>
              </w:tc>
              <w:tc>
                <w:tcPr>
                  <w:tcW w:w="962" w:type="dxa"/>
                  <w:tcBorders>
                    <w:tl2br w:val="nil"/>
                    <w:tr2bl w:val="nil"/>
                  </w:tcBorders>
                  <w:noWrap w:val="0"/>
                  <w:tcMar>
                    <w:top w:w="15" w:type="dxa"/>
                    <w:left w:w="15" w:type="dxa"/>
                    <w:right w:w="15" w:type="dxa"/>
                  </w:tcMar>
                  <w:vAlign w:val="center"/>
                </w:tcPr>
                <w:p w14:paraId="40DB15FE">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Q值</w:t>
                  </w:r>
                </w:p>
              </w:tc>
            </w:tr>
            <w:tr w14:paraId="621669D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21" w:hRule="atLeast"/>
                <w:jc w:val="center"/>
              </w:trPr>
              <w:tc>
                <w:tcPr>
                  <w:tcW w:w="1617" w:type="dxa"/>
                  <w:tcBorders>
                    <w:tl2br w:val="nil"/>
                    <w:tr2bl w:val="nil"/>
                  </w:tcBorders>
                  <w:noWrap w:val="0"/>
                  <w:tcMar>
                    <w:top w:w="15" w:type="dxa"/>
                    <w:left w:w="15" w:type="dxa"/>
                    <w:right w:w="15" w:type="dxa"/>
                  </w:tcMar>
                  <w:vAlign w:val="center"/>
                </w:tcPr>
                <w:p w14:paraId="5817F9A5">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废润滑油</w:t>
                  </w:r>
                </w:p>
              </w:tc>
              <w:tc>
                <w:tcPr>
                  <w:tcW w:w="1889" w:type="dxa"/>
                  <w:tcBorders>
                    <w:tl2br w:val="nil"/>
                    <w:tr2bl w:val="nil"/>
                  </w:tcBorders>
                  <w:noWrap w:val="0"/>
                  <w:tcMar>
                    <w:top w:w="15" w:type="dxa"/>
                    <w:left w:w="15" w:type="dxa"/>
                    <w:right w:w="15" w:type="dxa"/>
                  </w:tcMar>
                  <w:vAlign w:val="center"/>
                </w:tcPr>
                <w:p w14:paraId="6BAD38C0">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危险废物暂存间</w:t>
                  </w:r>
                </w:p>
              </w:tc>
              <w:tc>
                <w:tcPr>
                  <w:tcW w:w="1299" w:type="dxa"/>
                  <w:tcBorders>
                    <w:tl2br w:val="nil"/>
                    <w:tr2bl w:val="nil"/>
                  </w:tcBorders>
                  <w:noWrap w:val="0"/>
                  <w:tcMar>
                    <w:top w:w="15" w:type="dxa"/>
                    <w:left w:w="15" w:type="dxa"/>
                    <w:right w:w="15" w:type="dxa"/>
                  </w:tcMar>
                  <w:vAlign w:val="center"/>
                </w:tcPr>
                <w:p w14:paraId="211DC97F">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桶装</w:t>
                  </w:r>
                </w:p>
              </w:tc>
              <w:tc>
                <w:tcPr>
                  <w:tcW w:w="1073" w:type="dxa"/>
                  <w:tcBorders>
                    <w:tl2br w:val="nil"/>
                    <w:tr2bl w:val="nil"/>
                  </w:tcBorders>
                  <w:noWrap w:val="0"/>
                  <w:tcMar>
                    <w:top w:w="15" w:type="dxa"/>
                    <w:left w:w="15" w:type="dxa"/>
                    <w:right w:w="15" w:type="dxa"/>
                  </w:tcMar>
                  <w:vAlign w:val="center"/>
                </w:tcPr>
                <w:p w14:paraId="6EED302C">
                  <w:pPr>
                    <w:keepNext w:val="0"/>
                    <w:keepLines w:val="0"/>
                    <w:pageBreakBefore w:val="0"/>
                    <w:shd w:val="clear"/>
                    <w:kinsoku/>
                    <w:wordWrap/>
                    <w:overflowPunct/>
                    <w:topLinePunct w:val="0"/>
                    <w:autoSpaceDE/>
                    <w:autoSpaceDN/>
                    <w:bidi w:val="0"/>
                    <w:spacing w:line="0" w:lineRule="atLeast"/>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0.28</w:t>
                  </w:r>
                </w:p>
              </w:tc>
              <w:tc>
                <w:tcPr>
                  <w:tcW w:w="1138" w:type="dxa"/>
                  <w:tcBorders>
                    <w:tl2br w:val="nil"/>
                    <w:tr2bl w:val="nil"/>
                  </w:tcBorders>
                  <w:noWrap w:val="0"/>
                  <w:tcMar>
                    <w:top w:w="15" w:type="dxa"/>
                    <w:left w:w="15" w:type="dxa"/>
                    <w:right w:w="15" w:type="dxa"/>
                  </w:tcMar>
                  <w:vAlign w:val="center"/>
                </w:tcPr>
                <w:p w14:paraId="6CB9A7CF">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100</w:t>
                  </w:r>
                </w:p>
              </w:tc>
              <w:tc>
                <w:tcPr>
                  <w:tcW w:w="962" w:type="dxa"/>
                  <w:tcBorders>
                    <w:tl2br w:val="nil"/>
                    <w:tr2bl w:val="nil"/>
                  </w:tcBorders>
                  <w:noWrap w:val="0"/>
                  <w:tcMar>
                    <w:top w:w="15" w:type="dxa"/>
                    <w:left w:w="15" w:type="dxa"/>
                    <w:right w:w="15" w:type="dxa"/>
                  </w:tcMar>
                  <w:vAlign w:val="center"/>
                </w:tcPr>
                <w:p w14:paraId="2BD031B1">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eastAsia" w:cs="Times New Roman"/>
                      <w:color w:val="000000" w:themeColor="text1"/>
                      <w:sz w:val="21"/>
                      <w:szCs w:val="21"/>
                      <w:highlight w:val="none"/>
                      <w:shd w:val="clear" w:color="auto" w:fill="auto"/>
                      <w:lang w:val="en-US" w:eastAsia="zh-CN"/>
                      <w14:textFill>
                        <w14:solidFill>
                          <w14:schemeClr w14:val="tx1"/>
                        </w14:solidFill>
                      </w14:textFill>
                    </w:rPr>
                    <w:t>0.0028</w:t>
                  </w:r>
                </w:p>
              </w:tc>
            </w:tr>
            <w:tr w14:paraId="6E50FB7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21" w:hRule="atLeast"/>
                <w:jc w:val="center"/>
              </w:trPr>
              <w:tc>
                <w:tcPr>
                  <w:tcW w:w="1617" w:type="dxa"/>
                  <w:tcBorders>
                    <w:tl2br w:val="nil"/>
                    <w:tr2bl w:val="nil"/>
                  </w:tcBorders>
                  <w:noWrap w:val="0"/>
                  <w:tcMar>
                    <w:top w:w="15" w:type="dxa"/>
                    <w:left w:w="15" w:type="dxa"/>
                    <w:right w:w="15" w:type="dxa"/>
                  </w:tcMar>
                  <w:vAlign w:val="center"/>
                </w:tcPr>
                <w:p w14:paraId="5C348C84">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润滑油</w:t>
                  </w:r>
                </w:p>
              </w:tc>
              <w:tc>
                <w:tcPr>
                  <w:tcW w:w="1889" w:type="dxa"/>
                  <w:tcBorders>
                    <w:tl2br w:val="nil"/>
                    <w:tr2bl w:val="nil"/>
                  </w:tcBorders>
                  <w:noWrap w:val="0"/>
                  <w:tcMar>
                    <w:top w:w="15" w:type="dxa"/>
                    <w:left w:w="15" w:type="dxa"/>
                    <w:right w:w="15" w:type="dxa"/>
                  </w:tcMar>
                  <w:vAlign w:val="center"/>
                </w:tcPr>
                <w:p w14:paraId="6D7E70AE">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设备</w:t>
                  </w:r>
                </w:p>
              </w:tc>
              <w:tc>
                <w:tcPr>
                  <w:tcW w:w="1299" w:type="dxa"/>
                  <w:tcBorders>
                    <w:tl2br w:val="nil"/>
                    <w:tr2bl w:val="nil"/>
                  </w:tcBorders>
                  <w:noWrap w:val="0"/>
                  <w:tcMar>
                    <w:top w:w="15" w:type="dxa"/>
                    <w:left w:w="15" w:type="dxa"/>
                    <w:right w:w="15" w:type="dxa"/>
                  </w:tcMar>
                  <w:vAlign w:val="center"/>
                </w:tcPr>
                <w:p w14:paraId="0D6F3847">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073" w:type="dxa"/>
                  <w:tcBorders>
                    <w:tl2br w:val="nil"/>
                    <w:tr2bl w:val="nil"/>
                  </w:tcBorders>
                  <w:noWrap w:val="0"/>
                  <w:tcMar>
                    <w:top w:w="15" w:type="dxa"/>
                    <w:left w:w="15" w:type="dxa"/>
                    <w:right w:w="15" w:type="dxa"/>
                  </w:tcMar>
                  <w:vAlign w:val="center"/>
                </w:tcPr>
                <w:p w14:paraId="6F4A6743">
                  <w:pPr>
                    <w:keepNext w:val="0"/>
                    <w:keepLines w:val="0"/>
                    <w:pageBreakBefore w:val="0"/>
                    <w:shd w:val="clear"/>
                    <w:kinsoku/>
                    <w:wordWrap/>
                    <w:overflowPunct/>
                    <w:topLinePunct w:val="0"/>
                    <w:autoSpaceDE/>
                    <w:autoSpaceDN/>
                    <w:bidi w:val="0"/>
                    <w:spacing w:line="0" w:lineRule="atLeast"/>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0.10</w:t>
                  </w:r>
                </w:p>
              </w:tc>
              <w:tc>
                <w:tcPr>
                  <w:tcW w:w="1138" w:type="dxa"/>
                  <w:tcBorders>
                    <w:tl2br w:val="nil"/>
                    <w:tr2bl w:val="nil"/>
                  </w:tcBorders>
                  <w:noWrap w:val="0"/>
                  <w:tcMar>
                    <w:top w:w="15" w:type="dxa"/>
                    <w:left w:w="15" w:type="dxa"/>
                    <w:right w:w="15" w:type="dxa"/>
                  </w:tcMar>
                  <w:vAlign w:val="center"/>
                </w:tcPr>
                <w:p w14:paraId="7DE9D0B8">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eastAsia" w:cs="Times New Roman"/>
                      <w:color w:val="000000" w:themeColor="text1"/>
                      <w:sz w:val="21"/>
                      <w:szCs w:val="21"/>
                      <w:highlight w:val="none"/>
                      <w:shd w:val="clear" w:color="auto" w:fill="auto"/>
                      <w:lang w:val="en-US" w:eastAsia="zh-CN"/>
                      <w14:textFill>
                        <w14:solidFill>
                          <w14:schemeClr w14:val="tx1"/>
                        </w14:solidFill>
                      </w14:textFill>
                    </w:rPr>
                    <w:t>2500</w:t>
                  </w:r>
                </w:p>
              </w:tc>
              <w:tc>
                <w:tcPr>
                  <w:tcW w:w="962" w:type="dxa"/>
                  <w:tcBorders>
                    <w:tl2br w:val="nil"/>
                    <w:tr2bl w:val="nil"/>
                  </w:tcBorders>
                  <w:noWrap w:val="0"/>
                  <w:tcMar>
                    <w:top w:w="15" w:type="dxa"/>
                    <w:left w:w="15" w:type="dxa"/>
                    <w:right w:w="15" w:type="dxa"/>
                  </w:tcMar>
                  <w:vAlign w:val="center"/>
                </w:tcPr>
                <w:p w14:paraId="58B2FFC6">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eastAsia" w:cs="Times New Roman"/>
                      <w:color w:val="000000" w:themeColor="text1"/>
                      <w:sz w:val="21"/>
                      <w:szCs w:val="21"/>
                      <w:highlight w:val="none"/>
                      <w:shd w:val="clear" w:color="auto" w:fill="auto"/>
                      <w:lang w:val="en-US" w:eastAsia="zh-CN"/>
                      <w14:textFill>
                        <w14:solidFill>
                          <w14:schemeClr w14:val="tx1"/>
                        </w14:solidFill>
                      </w14:textFill>
                    </w:rPr>
                    <w:t>0.00004</w:t>
                  </w:r>
                </w:p>
              </w:tc>
            </w:tr>
            <w:tr w14:paraId="706119F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0" w:type="dxa"/>
                  <w:bottom w:w="0" w:type="dxa"/>
                  <w:right w:w="0" w:type="dxa"/>
                </w:tblCellMar>
              </w:tblPrEx>
              <w:trPr>
                <w:trHeight w:val="349" w:hRule="atLeast"/>
                <w:jc w:val="center"/>
              </w:trPr>
              <w:tc>
                <w:tcPr>
                  <w:tcW w:w="1617" w:type="dxa"/>
                  <w:tcBorders>
                    <w:tl2br w:val="nil"/>
                    <w:tr2bl w:val="nil"/>
                  </w:tcBorders>
                  <w:noWrap w:val="0"/>
                  <w:tcMar>
                    <w:top w:w="15" w:type="dxa"/>
                    <w:left w:w="15" w:type="dxa"/>
                    <w:right w:w="15" w:type="dxa"/>
                  </w:tcMar>
                  <w:vAlign w:val="center"/>
                </w:tcPr>
                <w:p w14:paraId="63C8562D">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合计</w:t>
                  </w:r>
                </w:p>
              </w:tc>
              <w:tc>
                <w:tcPr>
                  <w:tcW w:w="1889" w:type="dxa"/>
                  <w:tcBorders>
                    <w:tl2br w:val="nil"/>
                    <w:tr2bl w:val="nil"/>
                  </w:tcBorders>
                  <w:noWrap w:val="0"/>
                  <w:tcMar>
                    <w:top w:w="15" w:type="dxa"/>
                    <w:left w:w="15" w:type="dxa"/>
                    <w:right w:w="15" w:type="dxa"/>
                  </w:tcMar>
                  <w:vAlign w:val="center"/>
                </w:tcPr>
                <w:p w14:paraId="47191959">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299" w:type="dxa"/>
                  <w:tcBorders>
                    <w:tl2br w:val="nil"/>
                    <w:tr2bl w:val="nil"/>
                  </w:tcBorders>
                  <w:noWrap w:val="0"/>
                  <w:tcMar>
                    <w:top w:w="15" w:type="dxa"/>
                    <w:left w:w="15" w:type="dxa"/>
                    <w:right w:w="15" w:type="dxa"/>
                  </w:tcMar>
                  <w:vAlign w:val="center"/>
                </w:tcPr>
                <w:p w14:paraId="4E278814">
                  <w:pPr>
                    <w:keepNext w:val="0"/>
                    <w:keepLines w:val="0"/>
                    <w:pageBreakBefore w:val="0"/>
                    <w:shd w:val="clear"/>
                    <w:kinsoku/>
                    <w:wordWrap/>
                    <w:overflowPunct/>
                    <w:topLinePunct w:val="0"/>
                    <w:autoSpaceDE/>
                    <w:autoSpaceDN/>
                    <w:bidi w:val="0"/>
                    <w:adjustRightInd w:val="0"/>
                    <w:snapToGrid w:val="0"/>
                    <w:spacing w:line="0" w:lineRule="atLeast"/>
                    <w:ind w:firstLine="0" w:firstLineChars="0"/>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073" w:type="dxa"/>
                  <w:tcBorders>
                    <w:tl2br w:val="nil"/>
                    <w:tr2bl w:val="nil"/>
                  </w:tcBorders>
                  <w:noWrap w:val="0"/>
                  <w:tcMar>
                    <w:top w:w="15" w:type="dxa"/>
                    <w:left w:w="15" w:type="dxa"/>
                    <w:right w:w="15" w:type="dxa"/>
                  </w:tcMar>
                  <w:vAlign w:val="center"/>
                </w:tcPr>
                <w:p w14:paraId="75D6EDF9">
                  <w:pPr>
                    <w:keepNext w:val="0"/>
                    <w:keepLines w:val="0"/>
                    <w:pageBreakBefore w:val="0"/>
                    <w:shd w:val="clear"/>
                    <w:kinsoku/>
                    <w:wordWrap/>
                    <w:overflowPunct/>
                    <w:topLinePunct w:val="0"/>
                    <w:autoSpaceDE/>
                    <w:autoSpaceDN/>
                    <w:bidi w:val="0"/>
                    <w:spacing w:line="0" w:lineRule="atLeast"/>
                    <w:ind w:firstLine="0" w:firstLine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138" w:type="dxa"/>
                  <w:tcBorders>
                    <w:tl2br w:val="nil"/>
                    <w:tr2bl w:val="nil"/>
                  </w:tcBorders>
                  <w:noWrap w:val="0"/>
                  <w:tcMar>
                    <w:top w:w="15" w:type="dxa"/>
                    <w:left w:w="15" w:type="dxa"/>
                    <w:right w:w="15" w:type="dxa"/>
                  </w:tcMar>
                  <w:vAlign w:val="center"/>
                </w:tcPr>
                <w:p w14:paraId="3C03F026">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eastAsia"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962" w:type="dxa"/>
                  <w:tcBorders>
                    <w:tl2br w:val="nil"/>
                    <w:tr2bl w:val="nil"/>
                  </w:tcBorders>
                  <w:noWrap w:val="0"/>
                  <w:tcMar>
                    <w:top w:w="15" w:type="dxa"/>
                    <w:left w:w="15" w:type="dxa"/>
                    <w:right w:w="15" w:type="dxa"/>
                  </w:tcMar>
                  <w:vAlign w:val="center"/>
                </w:tcPr>
                <w:p w14:paraId="7132C47F">
                  <w:pPr>
                    <w:keepNext w:val="0"/>
                    <w:keepLines w:val="0"/>
                    <w:pageBreakBefore w:val="0"/>
                    <w:widowControl/>
                    <w:suppressLineNumbers w:val="0"/>
                    <w:shd w:val="clear"/>
                    <w:kinsoku/>
                    <w:wordWrap/>
                    <w:overflowPunct/>
                    <w:topLinePunct w:val="0"/>
                    <w:autoSpaceDE/>
                    <w:autoSpaceDN/>
                    <w:bidi w:val="0"/>
                    <w:spacing w:line="0" w:lineRule="atLeast"/>
                    <w:ind w:firstLine="0" w:firstLineChars="0"/>
                    <w:jc w:val="center"/>
                    <w:textAlignment w:val="cente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eastAsia" w:cs="Times New Roman"/>
                      <w:color w:val="000000" w:themeColor="text1"/>
                      <w:sz w:val="21"/>
                      <w:szCs w:val="21"/>
                      <w:highlight w:val="none"/>
                      <w:shd w:val="clear" w:color="auto" w:fill="auto"/>
                      <w:lang w:val="en-US" w:eastAsia="zh-CN"/>
                      <w14:textFill>
                        <w14:solidFill>
                          <w14:schemeClr w14:val="tx1"/>
                        </w14:solidFill>
                      </w14:textFill>
                    </w:rPr>
                    <w:t>0.00284</w:t>
                  </w:r>
                </w:p>
              </w:tc>
            </w:tr>
          </w:tbl>
          <w:p w14:paraId="19DB9C0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outlineLvl w:val="9"/>
              <w:rPr>
                <w:rFonts w:hint="eastAsia" w:ascii="Times New Roman" w:hAnsi="Times New Roman" w:eastAsia="宋体" w:cs="Times New Roman"/>
                <w:b w:val="0"/>
                <w:bCs w:val="0"/>
                <w:color w:val="000000" w:themeColor="text1"/>
                <w:sz w:val="24"/>
                <w:szCs w:val="21"/>
                <w:highlight w:val="none"/>
                <w:shd w:val="clear" w:color="auto" w:fill="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1"/>
                <w:highlight w:val="none"/>
                <w:shd w:val="clear" w:color="auto" w:fill="auto"/>
                <w:lang w:val="en-US" w:eastAsia="zh-CN"/>
                <w14:textFill>
                  <w14:solidFill>
                    <w14:schemeClr w14:val="tx1"/>
                  </w14:solidFill>
                </w14:textFill>
              </w:rPr>
              <w:t>本项目涉及的风险物质的理化性质见下表。</w:t>
            </w:r>
          </w:p>
          <w:p w14:paraId="4EC70B7D">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zh-CN" w:eastAsia="zh-CN"/>
                <w14:textFill>
                  <w14:solidFill>
                    <w14:schemeClr w14:val="tx1"/>
                  </w14:solidFill>
                </w14:textFill>
              </w:rPr>
              <w:t>润滑油的理化性质及危险性识别</w:t>
            </w:r>
            <w:r>
              <w:rPr>
                <w:rFonts w:hint="eastAsia"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一览表</w:t>
            </w:r>
          </w:p>
          <w:tbl>
            <w:tblPr>
              <w:tblStyle w:val="32"/>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720"/>
              <w:gridCol w:w="1766"/>
              <w:gridCol w:w="1398"/>
              <w:gridCol w:w="1631"/>
              <w:gridCol w:w="1422"/>
            </w:tblGrid>
            <w:tr w14:paraId="7E8CA08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83" w:hRule="atLeast"/>
                <w:jc w:val="center"/>
              </w:trPr>
              <w:tc>
                <w:tcPr>
                  <w:tcW w:w="1720" w:type="dxa"/>
                  <w:tcBorders>
                    <w:tl2br w:val="nil"/>
                    <w:tr2bl w:val="nil"/>
                  </w:tcBorders>
                  <w:noWrap w:val="0"/>
                  <w:vAlign w:val="center"/>
                </w:tcPr>
                <w:p w14:paraId="77F79E2F">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物质名称</w:t>
                  </w:r>
                </w:p>
              </w:tc>
              <w:tc>
                <w:tcPr>
                  <w:tcW w:w="1766" w:type="dxa"/>
                  <w:tcBorders>
                    <w:tl2br w:val="nil"/>
                    <w:tr2bl w:val="nil"/>
                  </w:tcBorders>
                  <w:noWrap w:val="0"/>
                  <w:vAlign w:val="center"/>
                </w:tcPr>
                <w:p w14:paraId="52BBC65F">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分子式</w:t>
                  </w:r>
                </w:p>
              </w:tc>
              <w:tc>
                <w:tcPr>
                  <w:tcW w:w="1398" w:type="dxa"/>
                  <w:tcBorders>
                    <w:tl2br w:val="nil"/>
                    <w:tr2bl w:val="nil"/>
                  </w:tcBorders>
                  <w:noWrap w:val="0"/>
                  <w:vAlign w:val="center"/>
                </w:tcPr>
                <w:p w14:paraId="2F32D8E3">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分子量</w:t>
                  </w:r>
                </w:p>
              </w:tc>
              <w:tc>
                <w:tcPr>
                  <w:tcW w:w="1631" w:type="dxa"/>
                  <w:tcBorders>
                    <w:tl2br w:val="nil"/>
                    <w:tr2bl w:val="nil"/>
                  </w:tcBorders>
                  <w:noWrap w:val="0"/>
                  <w:vAlign w:val="center"/>
                </w:tcPr>
                <w:p w14:paraId="5AF75689">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沸点</w:t>
                  </w:r>
                </w:p>
              </w:tc>
              <w:tc>
                <w:tcPr>
                  <w:tcW w:w="1422" w:type="dxa"/>
                  <w:tcBorders>
                    <w:tl2br w:val="nil"/>
                    <w:tr2bl w:val="nil"/>
                  </w:tcBorders>
                  <w:noWrap w:val="0"/>
                  <w:vAlign w:val="center"/>
                </w:tcPr>
                <w:p w14:paraId="46B146F0">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自燃点</w:t>
                  </w:r>
                </w:p>
              </w:tc>
            </w:tr>
            <w:tr w14:paraId="6E43124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70" w:hRule="atLeast"/>
                <w:jc w:val="center"/>
              </w:trPr>
              <w:tc>
                <w:tcPr>
                  <w:tcW w:w="1720" w:type="dxa"/>
                  <w:tcBorders>
                    <w:tl2br w:val="nil"/>
                    <w:tr2bl w:val="nil"/>
                  </w:tcBorders>
                  <w:noWrap w:val="0"/>
                  <w:vAlign w:val="center"/>
                </w:tcPr>
                <w:p w14:paraId="389B68D5">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润滑油</w:t>
                  </w:r>
                </w:p>
              </w:tc>
              <w:tc>
                <w:tcPr>
                  <w:tcW w:w="1766" w:type="dxa"/>
                  <w:tcBorders>
                    <w:tl2br w:val="nil"/>
                    <w:tr2bl w:val="nil"/>
                  </w:tcBorders>
                  <w:noWrap w:val="0"/>
                  <w:vAlign w:val="center"/>
                </w:tcPr>
                <w:p w14:paraId="2C301364">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outlineLvl w:val="2"/>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1398" w:type="dxa"/>
                  <w:tcBorders>
                    <w:tl2br w:val="nil"/>
                    <w:tr2bl w:val="nil"/>
                  </w:tcBorders>
                  <w:noWrap w:val="0"/>
                  <w:vAlign w:val="center"/>
                </w:tcPr>
                <w:p w14:paraId="74FE6627">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1631" w:type="dxa"/>
                  <w:tcBorders>
                    <w:tl2br w:val="nil"/>
                    <w:tr2bl w:val="nil"/>
                  </w:tcBorders>
                  <w:noWrap w:val="0"/>
                  <w:vAlign w:val="center"/>
                </w:tcPr>
                <w:p w14:paraId="7ABC4C1B">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150℃</w:t>
                  </w:r>
                </w:p>
              </w:tc>
              <w:tc>
                <w:tcPr>
                  <w:tcW w:w="1422" w:type="dxa"/>
                  <w:tcBorders>
                    <w:tl2br w:val="nil"/>
                    <w:tr2bl w:val="nil"/>
                  </w:tcBorders>
                  <w:noWrap w:val="0"/>
                  <w:vAlign w:val="center"/>
                </w:tcPr>
                <w:p w14:paraId="6BBFFE09">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300-350℃</w:t>
                  </w:r>
                </w:p>
              </w:tc>
            </w:tr>
            <w:tr w14:paraId="43803F4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70" w:hRule="atLeast"/>
                <w:jc w:val="center"/>
              </w:trPr>
              <w:tc>
                <w:tcPr>
                  <w:tcW w:w="1720" w:type="dxa"/>
                  <w:tcBorders>
                    <w:tl2br w:val="nil"/>
                    <w:tr2bl w:val="nil"/>
                  </w:tcBorders>
                  <w:noWrap w:val="0"/>
                  <w:vAlign w:val="center"/>
                </w:tcPr>
                <w:p w14:paraId="66098751">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闪点（开口）</w:t>
                  </w:r>
                </w:p>
              </w:tc>
              <w:tc>
                <w:tcPr>
                  <w:tcW w:w="1766" w:type="dxa"/>
                  <w:tcBorders>
                    <w:tl2br w:val="nil"/>
                    <w:tr2bl w:val="nil"/>
                  </w:tcBorders>
                  <w:noWrap w:val="0"/>
                  <w:vAlign w:val="center"/>
                </w:tcPr>
                <w:p w14:paraId="08FFAD21">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蒸汽压（145.8℃）</w:t>
                  </w:r>
                </w:p>
              </w:tc>
              <w:tc>
                <w:tcPr>
                  <w:tcW w:w="1398" w:type="dxa"/>
                  <w:tcBorders>
                    <w:tl2br w:val="nil"/>
                    <w:tr2bl w:val="nil"/>
                  </w:tcBorders>
                  <w:noWrap w:val="0"/>
                  <w:vAlign w:val="center"/>
                </w:tcPr>
                <w:p w14:paraId="51E6120B">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引燃温度</w:t>
                  </w:r>
                </w:p>
              </w:tc>
              <w:tc>
                <w:tcPr>
                  <w:tcW w:w="1631" w:type="dxa"/>
                  <w:tcBorders>
                    <w:tl2br w:val="nil"/>
                    <w:tr2bl w:val="nil"/>
                  </w:tcBorders>
                  <w:noWrap w:val="0"/>
                  <w:vAlign w:val="center"/>
                </w:tcPr>
                <w:p w14:paraId="4F5513F9">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密度（水=1）</w:t>
                  </w:r>
                </w:p>
              </w:tc>
              <w:tc>
                <w:tcPr>
                  <w:tcW w:w="1422" w:type="dxa"/>
                  <w:tcBorders>
                    <w:tl2br w:val="nil"/>
                    <w:tr2bl w:val="nil"/>
                  </w:tcBorders>
                  <w:noWrap w:val="0"/>
                  <w:vAlign w:val="center"/>
                </w:tcPr>
                <w:p w14:paraId="76BEE345">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爆炸下限</w:t>
                  </w:r>
                </w:p>
              </w:tc>
            </w:tr>
            <w:tr w14:paraId="0C9C48A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70" w:hRule="atLeast"/>
                <w:jc w:val="center"/>
              </w:trPr>
              <w:tc>
                <w:tcPr>
                  <w:tcW w:w="1720" w:type="dxa"/>
                  <w:tcBorders>
                    <w:tl2br w:val="nil"/>
                    <w:tr2bl w:val="nil"/>
                  </w:tcBorders>
                  <w:noWrap w:val="0"/>
                  <w:vAlign w:val="center"/>
                </w:tcPr>
                <w:p w14:paraId="21963DDF">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120-340℃</w:t>
                  </w:r>
                </w:p>
              </w:tc>
              <w:tc>
                <w:tcPr>
                  <w:tcW w:w="1766" w:type="dxa"/>
                  <w:tcBorders>
                    <w:tl2br w:val="nil"/>
                    <w:tr2bl w:val="nil"/>
                  </w:tcBorders>
                  <w:noWrap w:val="0"/>
                  <w:vAlign w:val="center"/>
                </w:tcPr>
                <w:p w14:paraId="079F7C88">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0.13Pa</w:t>
                  </w:r>
                </w:p>
              </w:tc>
              <w:tc>
                <w:tcPr>
                  <w:tcW w:w="1398" w:type="dxa"/>
                  <w:tcBorders>
                    <w:tl2br w:val="nil"/>
                    <w:tr2bl w:val="nil"/>
                  </w:tcBorders>
                  <w:noWrap w:val="0"/>
                  <w:vAlign w:val="center"/>
                </w:tcPr>
                <w:p w14:paraId="2D0A136F">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1631" w:type="dxa"/>
                  <w:tcBorders>
                    <w:tl2br w:val="nil"/>
                    <w:tr2bl w:val="nil"/>
                  </w:tcBorders>
                  <w:noWrap w:val="0"/>
                  <w:vAlign w:val="center"/>
                </w:tcPr>
                <w:p w14:paraId="7FF9A336">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0.91</w:t>
                  </w:r>
                </w:p>
              </w:tc>
              <w:tc>
                <w:tcPr>
                  <w:tcW w:w="1422" w:type="dxa"/>
                  <w:tcBorders>
                    <w:tl2br w:val="nil"/>
                    <w:tr2bl w:val="nil"/>
                  </w:tcBorders>
                  <w:noWrap w:val="0"/>
                  <w:vAlign w:val="center"/>
                </w:tcPr>
                <w:p w14:paraId="7737F7F1">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4FF18CD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0" w:hRule="atLeast"/>
                <w:jc w:val="center"/>
              </w:trPr>
              <w:tc>
                <w:tcPr>
                  <w:tcW w:w="1720" w:type="dxa"/>
                  <w:tcBorders>
                    <w:tl2br w:val="nil"/>
                    <w:tr2bl w:val="nil"/>
                  </w:tcBorders>
                  <w:noWrap w:val="0"/>
                  <w:vAlign w:val="center"/>
                </w:tcPr>
                <w:p w14:paraId="2620FEC0">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形状和溶解性</w:t>
                  </w:r>
                </w:p>
              </w:tc>
              <w:tc>
                <w:tcPr>
                  <w:tcW w:w="6217" w:type="dxa"/>
                  <w:gridSpan w:val="4"/>
                  <w:tcBorders>
                    <w:tl2br w:val="nil"/>
                    <w:tr2bl w:val="nil"/>
                  </w:tcBorders>
                  <w:noWrap w:val="0"/>
                  <w:vAlign w:val="center"/>
                </w:tcPr>
                <w:p w14:paraId="78AAC7F0">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淡黄色粘稠液体，溶于苯、乙醇、乙醚、氯仿、丙酮等多数有机溶剂。</w:t>
                  </w:r>
                </w:p>
              </w:tc>
            </w:tr>
            <w:tr w14:paraId="6997A4F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20" w:hRule="atLeast"/>
                <w:jc w:val="center"/>
              </w:trPr>
              <w:tc>
                <w:tcPr>
                  <w:tcW w:w="1720" w:type="dxa"/>
                  <w:tcBorders>
                    <w:tl2br w:val="nil"/>
                    <w:tr2bl w:val="nil"/>
                  </w:tcBorders>
                  <w:noWrap w:val="0"/>
                  <w:vAlign w:val="center"/>
                </w:tcPr>
                <w:p w14:paraId="7CE31919">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储存注意</w:t>
                  </w:r>
                </w:p>
              </w:tc>
              <w:tc>
                <w:tcPr>
                  <w:tcW w:w="6217" w:type="dxa"/>
                  <w:gridSpan w:val="4"/>
                  <w:tcBorders>
                    <w:tl2br w:val="nil"/>
                    <w:tr2bl w:val="nil"/>
                  </w:tcBorders>
                  <w:noWrap w:val="0"/>
                  <w:vAlign w:val="center"/>
                </w:tcPr>
                <w:p w14:paraId="1D4BCEFE">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储存于阴凉、通风的库房。远离火种、热源。应与氧化剂分开存放，切忌混储。</w:t>
                  </w:r>
                </w:p>
              </w:tc>
            </w:tr>
            <w:tr w14:paraId="773F32E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89" w:hRule="atLeast"/>
                <w:jc w:val="center"/>
              </w:trPr>
              <w:tc>
                <w:tcPr>
                  <w:tcW w:w="1720" w:type="dxa"/>
                  <w:tcBorders>
                    <w:tl2br w:val="nil"/>
                    <w:tr2bl w:val="nil"/>
                  </w:tcBorders>
                  <w:noWrap w:val="0"/>
                  <w:vAlign w:val="center"/>
                </w:tcPr>
                <w:p w14:paraId="3C55C7FC">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健康危害</w:t>
                  </w:r>
                </w:p>
              </w:tc>
              <w:tc>
                <w:tcPr>
                  <w:tcW w:w="6217" w:type="dxa"/>
                  <w:gridSpan w:val="4"/>
                  <w:tcBorders>
                    <w:tl2br w:val="nil"/>
                    <w:tr2bl w:val="nil"/>
                  </w:tcBorders>
                  <w:noWrap w:val="0"/>
                  <w:vAlign w:val="center"/>
                </w:tcPr>
                <w:p w14:paraId="4DD53B93">
                  <w:pPr>
                    <w:keepNext w:val="0"/>
                    <w:keepLines w:val="0"/>
                    <w:pageBreakBefore w:val="0"/>
                    <w:shd w:val="clear"/>
                    <w:kinsoku/>
                    <w:wordWrap/>
                    <w:overflowPunct/>
                    <w:topLinePunct w:val="0"/>
                    <w:autoSpaceDE/>
                    <w:autoSpaceDN/>
                    <w:bidi w:val="0"/>
                    <w:adjustRightInd/>
                    <w:spacing w:line="240" w:lineRule="atLeast"/>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急性吸入可出现乏力、头痛、头晕、恶心，严重者可引起油脂性肺炎。慢接触者，暴露部位可发生油性痤疮和接触性皮炎，可引发神经衰弱综合征，呼吸道和眼刺激症状及慢性油脂性肺炎。</w:t>
                  </w:r>
                </w:p>
              </w:tc>
            </w:tr>
          </w:tbl>
          <w:p w14:paraId="1FD0CB13">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cs="Times New Roman"/>
                <w:b w:val="0"/>
                <w:bCs/>
                <w:smallCaps w:val="0"/>
                <w:color w:val="000000" w:themeColor="text1"/>
                <w:spacing w:val="0"/>
                <w:position w:val="0"/>
                <w:sz w:val="24"/>
                <w:szCs w:val="24"/>
                <w:highlight w:val="none"/>
                <w:lang w:val="en-US" w:eastAsia="zh-CN"/>
                <w14:textFill>
                  <w14:solidFill>
                    <w14:schemeClr w14:val="tx1"/>
                  </w14:solidFill>
                </w14:textFill>
              </w:rPr>
            </w:pPr>
            <w:r>
              <w:rPr>
                <w:rFonts w:hint="eastAsia" w:cs="Times New Roman"/>
                <w:b w:val="0"/>
                <w:bCs/>
                <w:smallCaps w:val="0"/>
                <w:color w:val="000000" w:themeColor="text1"/>
                <w:spacing w:val="0"/>
                <w:position w:val="0"/>
                <w:sz w:val="24"/>
                <w:szCs w:val="24"/>
                <w:highlight w:val="none"/>
                <w:lang w:val="en-US" w:eastAsia="zh-CN"/>
                <w14:textFill>
                  <w14:solidFill>
                    <w14:schemeClr w14:val="tx1"/>
                  </w14:solidFill>
                </w14:textFill>
              </w:rPr>
              <w:t>经上述分析可知，</w:t>
            </w:r>
            <w:r>
              <w:rPr>
                <w:rFonts w:hint="default" w:ascii="Times New Roman" w:hAnsi="Times New Roman" w:eastAsia="宋体" w:cs="Times New Roman"/>
                <w:bCs/>
                <w:smallCaps w:val="0"/>
                <w:color w:val="000000" w:themeColor="text1"/>
                <w:spacing w:val="0"/>
                <w:position w:val="0"/>
                <w:sz w:val="24"/>
                <w:szCs w:val="24"/>
                <w:highlight w:val="none"/>
                <w:lang w:val="en-US" w:eastAsia="zh-CN"/>
                <w14:textFill>
                  <w14:solidFill>
                    <w14:schemeClr w14:val="tx1"/>
                  </w14:solidFill>
                </w14:textFill>
              </w:rPr>
              <w:t>本项目有毒有害、易燃易爆危险物质储存量</w:t>
            </w:r>
            <w:r>
              <w:rPr>
                <w:rFonts w:hint="eastAsia" w:cs="Times New Roman"/>
                <w:bCs/>
                <w:smallCaps w:val="0"/>
                <w:color w:val="000000" w:themeColor="text1"/>
                <w:spacing w:val="0"/>
                <w:position w:val="0"/>
                <w:sz w:val="24"/>
                <w:szCs w:val="24"/>
                <w:highlight w:val="none"/>
                <w:lang w:val="en-US" w:eastAsia="zh-CN"/>
                <w14:textFill>
                  <w14:solidFill>
                    <w14:schemeClr w14:val="tx1"/>
                  </w14:solidFill>
                </w14:textFill>
              </w:rPr>
              <w:t>均</w:t>
            </w:r>
            <w:r>
              <w:rPr>
                <w:rFonts w:hint="default" w:ascii="Times New Roman" w:hAnsi="Times New Roman" w:eastAsia="宋体" w:cs="Times New Roman"/>
                <w:bCs/>
                <w:smallCaps w:val="0"/>
                <w:color w:val="000000" w:themeColor="text1"/>
                <w:spacing w:val="0"/>
                <w:position w:val="0"/>
                <w:sz w:val="24"/>
                <w:szCs w:val="24"/>
                <w:highlight w:val="none"/>
                <w:lang w:val="en-US" w:eastAsia="zh-CN"/>
                <w14:textFill>
                  <w14:solidFill>
                    <w14:schemeClr w14:val="tx1"/>
                  </w14:solidFill>
                </w14:textFill>
              </w:rPr>
              <w:t>小于</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《建设项目环境风险评价技术导则》（</w:t>
            </w:r>
            <w:r>
              <w:rPr>
                <w:rFonts w:hint="default" w:ascii="Times New Roman" w:hAnsi="Times New Roman" w:eastAsia="宋体" w:cs="Times New Roman"/>
                <w:bCs/>
                <w:smallCaps w:val="0"/>
                <w:color w:val="000000" w:themeColor="text1"/>
                <w:spacing w:val="0"/>
                <w:position w:val="0"/>
                <w:sz w:val="24"/>
                <w:szCs w:val="24"/>
                <w:highlight w:val="none"/>
                <w:lang w:eastAsia="zh-CN"/>
                <w14:textFill>
                  <w14:solidFill>
                    <w14:schemeClr w14:val="tx1"/>
                  </w14:solidFill>
                </w14:textFill>
              </w:rPr>
              <w:t>HJ</w:t>
            </w:r>
            <w:r>
              <w:rPr>
                <w:rFonts w:hint="default" w:ascii="Times New Roman" w:hAnsi="Times New Roman" w:eastAsia="宋体" w:cs="Times New Roman"/>
                <w:bCs/>
                <w:smallCaps w:val="0"/>
                <w:color w:val="000000" w:themeColor="text1"/>
                <w:spacing w:val="0"/>
                <w:position w:val="0"/>
                <w:sz w:val="24"/>
                <w:szCs w:val="24"/>
                <w:highlight w:val="none"/>
                <w14:textFill>
                  <w14:solidFill>
                    <w14:schemeClr w14:val="tx1"/>
                  </w14:solidFill>
                </w14:textFill>
              </w:rPr>
              <w:t>169-2018）</w:t>
            </w:r>
            <w:r>
              <w:rPr>
                <w:rFonts w:hint="default" w:ascii="Times New Roman" w:hAnsi="Times New Roman" w:eastAsia="宋体" w:cs="Times New Roman"/>
                <w:bCs/>
                <w:smallCaps w:val="0"/>
                <w:color w:val="000000" w:themeColor="text1"/>
                <w:spacing w:val="0"/>
                <w:position w:val="0"/>
                <w:sz w:val="24"/>
                <w:szCs w:val="24"/>
                <w:highlight w:val="none"/>
                <w:lang w:val="en-US" w:eastAsia="zh-CN"/>
                <w14:textFill>
                  <w14:solidFill>
                    <w14:schemeClr w14:val="tx1"/>
                  </w14:solidFill>
                </w14:textFill>
              </w:rPr>
              <w:t>中规定的临界量，Q值小于1</w:t>
            </w:r>
            <w:r>
              <w:rPr>
                <w:rFonts w:hint="default" w:ascii="Times New Roman" w:hAnsi="Times New Roman" w:cs="Times New Roman"/>
                <w:b w:val="0"/>
                <w:bCs/>
                <w:smallCaps w:val="0"/>
                <w:color w:val="000000" w:themeColor="text1"/>
                <w:spacing w:val="0"/>
                <w:position w:val="0"/>
                <w:sz w:val="24"/>
                <w:szCs w:val="24"/>
                <w:highlight w:val="none"/>
                <w:lang w:val="en-US" w:eastAsia="zh-CN"/>
                <w14:textFill>
                  <w14:solidFill>
                    <w14:schemeClr w14:val="tx1"/>
                  </w14:solidFill>
                </w14:textFill>
              </w:rPr>
              <w:t>，根据《建设项目环境影响报告表编制技术指南（污染影响类）（试行）》中专项评价设置原则可知，本项目不开展环境风险专项评价。</w:t>
            </w:r>
          </w:p>
          <w:p w14:paraId="642E6881">
            <w:pPr>
              <w:keepNext w:val="0"/>
              <w:keepLines w:val="0"/>
              <w:pageBreakBefore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 w:val="0"/>
                <w:bCs w:val="0"/>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b w:val="0"/>
                <w:bCs w:val="0"/>
                <w:smallCaps w:val="0"/>
                <w:color w:val="000000" w:themeColor="text1"/>
                <w:spacing w:val="0"/>
                <w:position w:val="0"/>
                <w:sz w:val="24"/>
                <w:szCs w:val="24"/>
                <w:highlight w:val="none"/>
                <w:lang w:val="en-US" w:eastAsia="zh-CN"/>
                <w14:textFill>
                  <w14:solidFill>
                    <w14:schemeClr w14:val="tx1"/>
                  </w14:solidFill>
                </w14:textFill>
              </w:rPr>
              <w:t>⑶</w:t>
            </w:r>
            <w:r>
              <w:rPr>
                <w:rFonts w:hint="default" w:ascii="Times New Roman" w:hAnsi="Times New Roman" w:eastAsia="宋体" w:cs="Times New Roman"/>
                <w:b w:val="0"/>
                <w:bCs w:val="0"/>
                <w:smallCaps w:val="0"/>
                <w:color w:val="000000" w:themeColor="text1"/>
                <w:spacing w:val="0"/>
                <w:position w:val="0"/>
                <w:sz w:val="24"/>
                <w:szCs w:val="24"/>
                <w:highlight w:val="none"/>
                <w14:textFill>
                  <w14:solidFill>
                    <w14:schemeClr w14:val="tx1"/>
                  </w14:solidFill>
                </w14:textFill>
              </w:rPr>
              <w:t>环境风险识别</w:t>
            </w:r>
          </w:p>
          <w:p w14:paraId="49C58691">
            <w:pPr>
              <w:keepNext w:val="0"/>
              <w:keepLines w:val="0"/>
              <w:pageBreakBefore w:val="0"/>
              <w:shd w:val="clear"/>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 w:val="0"/>
                <w:bCs w:val="0"/>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b w:val="0"/>
                <w:bCs w:val="0"/>
                <w:smallCaps w:val="0"/>
                <w:color w:val="000000" w:themeColor="text1"/>
                <w:spacing w:val="0"/>
                <w:position w:val="0"/>
                <w:sz w:val="24"/>
                <w:szCs w:val="24"/>
                <w:highlight w:val="none"/>
                <w14:textFill>
                  <w14:solidFill>
                    <w14:schemeClr w14:val="tx1"/>
                  </w14:solidFill>
                </w14:textFill>
              </w:rPr>
              <w:t>本项目可能影响环境的途径分别为：</w:t>
            </w:r>
          </w:p>
          <w:p w14:paraId="31DCF941">
            <w:pPr>
              <w:keepNext w:val="0"/>
              <w:keepLines w:val="0"/>
              <w:pageBreakBefore w:val="0"/>
              <w:shd w:val="clear"/>
              <w:kinsoku/>
              <w:wordWrap/>
              <w:overflowPunct/>
              <w:topLinePunct w:val="0"/>
              <w:autoSpaceDE/>
              <w:autoSpaceDN/>
              <w:bidi w:val="0"/>
              <w:spacing w:line="480" w:lineRule="exact"/>
              <w:ind w:firstLine="480" w:firstLineChars="200"/>
              <w:textAlignment w:val="auto"/>
              <w:rPr>
                <w:rFonts w:hint="eastAsia"/>
                <w:color w:val="000000" w:themeColor="text1"/>
                <w:highlight w:val="none"/>
                <w:lang w:bidi="ar"/>
                <w14:textFill>
                  <w14:solidFill>
                    <w14:schemeClr w14:val="tx1"/>
                  </w14:solidFill>
                </w14:textFill>
              </w:rPr>
            </w:pPr>
            <w:r>
              <w:rPr>
                <w:rFonts w:hint="eastAsia"/>
                <w:color w:val="000000" w:themeColor="text1"/>
                <w:highlight w:val="none"/>
                <w:lang w:eastAsia="zh-CN" w:bidi="ar"/>
                <w14:textFill>
                  <w14:solidFill>
                    <w14:schemeClr w14:val="tx1"/>
                  </w14:solidFill>
                </w14:textFill>
              </w:rPr>
              <w:t>①</w:t>
            </w:r>
            <w:r>
              <w:rPr>
                <w:rFonts w:hint="eastAsia"/>
                <w:color w:val="000000" w:themeColor="text1"/>
                <w:highlight w:val="none"/>
                <w:lang w:bidi="ar"/>
                <w14:textFill>
                  <w14:solidFill>
                    <w14:schemeClr w14:val="tx1"/>
                  </w14:solidFill>
                </w14:textFill>
              </w:rPr>
              <w:t>大气环境：润滑油、废润滑油泄漏，遇明火和高温燃烧</w:t>
            </w:r>
            <w:r>
              <w:rPr>
                <w:rFonts w:hint="eastAsia"/>
                <w:color w:val="000000" w:themeColor="text1"/>
                <w:highlight w:val="none"/>
                <w:lang w:val="en-US" w:eastAsia="zh-CN" w:bidi="ar"/>
                <w14:textFill>
                  <w14:solidFill>
                    <w14:schemeClr w14:val="tx1"/>
                  </w14:solidFill>
                </w14:textFill>
              </w:rPr>
              <w:t>，</w:t>
            </w:r>
            <w:r>
              <w:rPr>
                <w:rFonts w:hint="eastAsia"/>
                <w:color w:val="000000" w:themeColor="text1"/>
                <w:highlight w:val="none"/>
                <w:lang w:bidi="ar"/>
                <w14:textFill>
                  <w14:solidFill>
                    <w14:schemeClr w14:val="tx1"/>
                  </w14:solidFill>
                </w14:textFill>
              </w:rPr>
              <w:t>火灾引发的伴生/次生污染物二氧化硫、一氧化碳影响大气环境。</w:t>
            </w:r>
          </w:p>
          <w:p w14:paraId="5354B64B">
            <w:pPr>
              <w:keepNext w:val="0"/>
              <w:keepLines w:val="0"/>
              <w:pageBreakBefore w:val="0"/>
              <w:shd w:val="clear"/>
              <w:kinsoku/>
              <w:wordWrap/>
              <w:overflowPunct/>
              <w:topLinePunct w:val="0"/>
              <w:autoSpaceDE/>
              <w:autoSpaceDN/>
              <w:bidi w:val="0"/>
              <w:spacing w:line="480" w:lineRule="exact"/>
              <w:ind w:firstLine="480" w:firstLineChars="200"/>
              <w:textAlignment w:val="auto"/>
              <w:rPr>
                <w:color w:val="000000" w:themeColor="text1"/>
                <w:highlight w:val="none"/>
                <w:lang w:bidi="ar"/>
                <w14:textFill>
                  <w14:solidFill>
                    <w14:schemeClr w14:val="tx1"/>
                  </w14:solidFill>
                </w14:textFill>
              </w:rPr>
            </w:pPr>
            <w:r>
              <w:rPr>
                <w:rFonts w:hint="eastAsia"/>
                <w:color w:val="000000" w:themeColor="text1"/>
                <w:highlight w:val="none"/>
                <w:lang w:eastAsia="zh-CN" w:bidi="ar"/>
                <w14:textFill>
                  <w14:solidFill>
                    <w14:schemeClr w14:val="tx1"/>
                  </w14:solidFill>
                </w14:textFill>
              </w:rPr>
              <w:t>②</w:t>
            </w:r>
            <w:r>
              <w:rPr>
                <w:rFonts w:hint="eastAsia"/>
                <w:color w:val="000000" w:themeColor="text1"/>
                <w:highlight w:val="none"/>
                <w:lang w:bidi="ar"/>
                <w14:textFill>
                  <w14:solidFill>
                    <w14:schemeClr w14:val="tx1"/>
                  </w14:solidFill>
                </w14:textFill>
              </w:rPr>
              <w:t>地表水：润滑油、废润滑油在厂区运输过程，其包装物运输过程中操作不当造成物料泄漏，一般为</w:t>
            </w:r>
            <w:r>
              <w:rPr>
                <w:rFonts w:hint="eastAsia"/>
                <w:color w:val="000000" w:themeColor="text1"/>
                <w:highlight w:val="none"/>
                <w:lang w:val="en-US" w:eastAsia="zh-CN" w:bidi="ar"/>
                <w14:textFill>
                  <w14:solidFill>
                    <w14:schemeClr w14:val="tx1"/>
                  </w14:solidFill>
                </w14:textFill>
              </w:rPr>
              <w:t>单件储存容器</w:t>
            </w:r>
            <w:r>
              <w:rPr>
                <w:rFonts w:hint="eastAsia"/>
                <w:color w:val="000000" w:themeColor="text1"/>
                <w:highlight w:val="none"/>
                <w:lang w:bidi="ar"/>
                <w14:textFill>
                  <w14:solidFill>
                    <w14:schemeClr w14:val="tx1"/>
                  </w14:solidFill>
                </w14:textFill>
              </w:rPr>
              <w:t>泄漏，泄漏量较小，</w:t>
            </w:r>
            <w:r>
              <w:rPr>
                <w:color w:val="000000" w:themeColor="text1"/>
                <w:highlight w:val="none"/>
                <w:lang w:bidi="ar"/>
                <w14:textFill>
                  <w14:solidFill>
                    <w14:schemeClr w14:val="tx1"/>
                  </w14:solidFill>
                </w14:textFill>
              </w:rPr>
              <w:t>通过应急措施，基本能够阻隔在厂区内</w:t>
            </w:r>
            <w:r>
              <w:rPr>
                <w:rFonts w:hint="eastAsia"/>
                <w:color w:val="000000" w:themeColor="text1"/>
                <w:highlight w:val="none"/>
                <w:lang w:bidi="ar"/>
                <w14:textFill>
                  <w14:solidFill>
                    <w14:schemeClr w14:val="tx1"/>
                  </w14:solidFill>
                </w14:textFill>
              </w:rPr>
              <w:t>，基本不会对地表水环境产生影响；火灾引发的伴生/次生污染物消防废水，进入地表水环境，对地表水环境产生影响。</w:t>
            </w:r>
          </w:p>
          <w:p w14:paraId="5C7B2F97">
            <w:pPr>
              <w:keepNext w:val="0"/>
              <w:keepLines w:val="0"/>
              <w:pageBreakBefore w:val="0"/>
              <w:shd w:val="clear"/>
              <w:kinsoku/>
              <w:wordWrap/>
              <w:overflowPunct/>
              <w:topLinePunct w:val="0"/>
              <w:autoSpaceDE/>
              <w:autoSpaceDN/>
              <w:bidi w:val="0"/>
              <w:spacing w:line="480" w:lineRule="exact"/>
              <w:ind w:firstLine="480" w:firstLineChars="200"/>
              <w:textAlignment w:val="auto"/>
              <w:rPr>
                <w:color w:val="000000" w:themeColor="text1"/>
                <w:highlight w:val="none"/>
                <w:lang w:bidi="ar"/>
                <w14:textFill>
                  <w14:solidFill>
                    <w14:schemeClr w14:val="tx1"/>
                  </w14:solidFill>
                </w14:textFill>
              </w:rPr>
            </w:pPr>
            <w:r>
              <w:rPr>
                <w:rFonts w:hint="eastAsia"/>
                <w:color w:val="000000" w:themeColor="text1"/>
                <w:highlight w:val="none"/>
                <w:lang w:eastAsia="zh-CN" w:bidi="ar"/>
                <w14:textFill>
                  <w14:solidFill>
                    <w14:schemeClr w14:val="tx1"/>
                  </w14:solidFill>
                </w14:textFill>
              </w:rPr>
              <w:t>③</w:t>
            </w:r>
            <w:r>
              <w:rPr>
                <w:rFonts w:hint="eastAsia"/>
                <w:color w:val="000000" w:themeColor="text1"/>
                <w:highlight w:val="none"/>
                <w:lang w:bidi="ar"/>
                <w14:textFill>
                  <w14:solidFill>
                    <w14:schemeClr w14:val="tx1"/>
                  </w14:solidFill>
                </w14:textFill>
              </w:rPr>
              <w:t>土壤</w:t>
            </w:r>
            <w:r>
              <w:rPr>
                <w:rFonts w:hint="eastAsia"/>
                <w:color w:val="000000" w:themeColor="text1"/>
                <w:highlight w:val="none"/>
                <w:lang w:eastAsia="zh-CN" w:bidi="ar"/>
                <w14:textFill>
                  <w14:solidFill>
                    <w14:schemeClr w14:val="tx1"/>
                  </w14:solidFill>
                </w14:textFill>
              </w:rPr>
              <w:t>：</w:t>
            </w:r>
            <w:r>
              <w:rPr>
                <w:rFonts w:hint="eastAsia"/>
                <w:color w:val="000000" w:themeColor="text1"/>
                <w:highlight w:val="none"/>
                <w:lang w:bidi="ar"/>
                <w14:textFill>
                  <w14:solidFill>
                    <w14:schemeClr w14:val="tx1"/>
                  </w14:solidFill>
                </w14:textFill>
              </w:rPr>
              <w:t>润滑油、废润滑油泄漏，如果防渗层破损，风险物质对土壤和地下水环境造成影响。</w:t>
            </w:r>
          </w:p>
          <w:p w14:paraId="6F5CFDD7">
            <w:pPr>
              <w:keepNext w:val="0"/>
              <w:keepLines w:val="0"/>
              <w:pageBreakBefore w:val="0"/>
              <w:widowControl/>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smallCaps w:val="0"/>
                <w:color w:val="000000" w:themeColor="text1"/>
                <w:spacing w:val="0"/>
                <w:position w:val="0"/>
                <w:sz w:val="24"/>
                <w:szCs w:val="24"/>
                <w:highlight w:val="none"/>
                <w14:textFill>
                  <w14:solidFill>
                    <w14:schemeClr w14:val="tx1"/>
                  </w14:solidFill>
                </w14:textFill>
              </w:rPr>
            </w:pPr>
            <w:r>
              <w:rPr>
                <w:rFonts w:hint="default" w:ascii="Times New Roman" w:hAnsi="Times New Roman" w:eastAsia="宋体" w:cs="Times New Roman"/>
                <w:b w:val="0"/>
                <w:bCs w:val="0"/>
                <w:smallCaps w:val="0"/>
                <w:color w:val="000000" w:themeColor="text1"/>
                <w:spacing w:val="0"/>
                <w:position w:val="0"/>
                <w:sz w:val="24"/>
                <w:szCs w:val="24"/>
                <w:highlight w:val="none"/>
                <w:lang w:val="en-US" w:eastAsia="zh-CN"/>
                <w14:textFill>
                  <w14:solidFill>
                    <w14:schemeClr w14:val="tx1"/>
                  </w14:solidFill>
                </w14:textFill>
              </w:rPr>
              <w:t>⑷</w:t>
            </w:r>
            <w:r>
              <w:rPr>
                <w:rFonts w:hint="default" w:ascii="Times New Roman" w:hAnsi="Times New Roman" w:eastAsia="宋体" w:cs="Times New Roman"/>
                <w:b w:val="0"/>
                <w:bCs w:val="0"/>
                <w:smallCaps w:val="0"/>
                <w:color w:val="000000" w:themeColor="text1"/>
                <w:spacing w:val="0"/>
                <w:position w:val="0"/>
                <w:sz w:val="24"/>
                <w:szCs w:val="24"/>
                <w:highlight w:val="none"/>
                <w14:textFill>
                  <w14:solidFill>
                    <w14:schemeClr w14:val="tx1"/>
                  </w14:solidFill>
                </w14:textFill>
              </w:rPr>
              <w:t>环境风险防范措施</w:t>
            </w:r>
          </w:p>
          <w:p w14:paraId="3CB8BADE">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eastAsia"/>
                <w:color w:val="000000" w:themeColor="text1"/>
                <w:highlight w:val="none"/>
                <w:lang w:bidi="ar"/>
                <w14:textFill>
                  <w14:solidFill>
                    <w14:schemeClr w14:val="tx1"/>
                  </w14:solidFill>
                </w14:textFill>
              </w:rPr>
            </w:pPr>
            <w:r>
              <w:rPr>
                <w:rFonts w:hint="eastAsia"/>
                <w:color w:val="000000" w:themeColor="text1"/>
                <w:highlight w:val="none"/>
                <w:lang w:bidi="ar"/>
                <w14:textFill>
                  <w14:solidFill>
                    <w14:schemeClr w14:val="tx1"/>
                  </w14:solidFill>
                </w14:textFill>
              </w:rPr>
              <w:t>①危险废物暂存间</w:t>
            </w:r>
            <w:r>
              <w:rPr>
                <w:rFonts w:hint="eastAsia"/>
                <w:color w:val="000000" w:themeColor="text1"/>
                <w:highlight w:val="none"/>
                <w:lang w:val="en-US" w:eastAsia="zh-CN" w:bidi="ar"/>
                <w14:textFill>
                  <w14:solidFill>
                    <w14:schemeClr w14:val="tx1"/>
                  </w14:solidFill>
                </w14:textFill>
              </w:rPr>
              <w:t>、预处理车间</w:t>
            </w:r>
            <w:r>
              <w:rPr>
                <w:rFonts w:hint="eastAsia"/>
                <w:color w:val="000000" w:themeColor="text1"/>
                <w:highlight w:val="none"/>
                <w:lang w:bidi="ar"/>
                <w14:textFill>
                  <w14:solidFill>
                    <w14:schemeClr w14:val="tx1"/>
                  </w14:solidFill>
                </w14:textFill>
              </w:rPr>
              <w:t>均采取防腐防渗措施，可有效防止风险物质泄漏污染土壤及地下水。</w:t>
            </w:r>
          </w:p>
          <w:p w14:paraId="30659E34">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000000" w:themeColor="text1"/>
                <w:highlight w:val="none"/>
                <w:lang w:bidi="ar"/>
                <w14:textFill>
                  <w14:solidFill>
                    <w14:schemeClr w14:val="tx1"/>
                  </w14:solidFill>
                </w14:textFill>
              </w:rPr>
            </w:pPr>
            <w:r>
              <w:rPr>
                <w:rFonts w:hint="eastAsia"/>
                <w:color w:val="000000" w:themeColor="text1"/>
                <w:highlight w:val="none"/>
                <w:lang w:bidi="ar"/>
                <w14:textFill>
                  <w14:solidFill>
                    <w14:schemeClr w14:val="tx1"/>
                  </w14:solidFill>
                </w14:textFill>
              </w:rPr>
              <w:t>②危险废物暂存间、</w:t>
            </w:r>
            <w:r>
              <w:rPr>
                <w:rFonts w:hint="eastAsia"/>
                <w:color w:val="000000" w:themeColor="text1"/>
                <w:highlight w:val="none"/>
                <w:lang w:val="en-US" w:eastAsia="zh-CN" w:bidi="ar"/>
                <w14:textFill>
                  <w14:solidFill>
                    <w14:schemeClr w14:val="tx1"/>
                  </w14:solidFill>
                </w14:textFill>
              </w:rPr>
              <w:t>预处理车间</w:t>
            </w:r>
            <w:r>
              <w:rPr>
                <w:rFonts w:hint="eastAsia"/>
                <w:color w:val="000000" w:themeColor="text1"/>
                <w:highlight w:val="none"/>
                <w:lang w:bidi="ar"/>
                <w14:textFill>
                  <w14:solidFill>
                    <w14:schemeClr w14:val="tx1"/>
                  </w14:solidFill>
                </w14:textFill>
              </w:rPr>
              <w:t>、厂区内均</w:t>
            </w:r>
            <w:r>
              <w:rPr>
                <w:color w:val="000000" w:themeColor="text1"/>
                <w:highlight w:val="none"/>
                <w:lang w:bidi="ar"/>
                <w14:textFill>
                  <w14:solidFill>
                    <w14:schemeClr w14:val="tx1"/>
                  </w14:solidFill>
                </w14:textFill>
              </w:rPr>
              <w:t>安装监控，并对储存容器、生产设备进行定期检查，按要求规范的进行生产操作，发现潜在危险立即处理。监控中心值班人员认真履行监控职责，坚守岗位，落实各项监控措施，确保监控系统24小时不间断正常运行。</w:t>
            </w:r>
          </w:p>
          <w:p w14:paraId="4D8D3102">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000000" w:themeColor="text1"/>
                <w:highlight w:val="none"/>
                <w:lang w:bidi="ar"/>
                <w14:textFill>
                  <w14:solidFill>
                    <w14:schemeClr w14:val="tx1"/>
                  </w14:solidFill>
                </w14:textFill>
              </w:rPr>
            </w:pPr>
            <w:r>
              <w:rPr>
                <w:rFonts w:hint="eastAsia"/>
                <w:color w:val="000000" w:themeColor="text1"/>
                <w:highlight w:val="none"/>
                <w:lang w:bidi="ar"/>
                <w14:textFill>
                  <w14:solidFill>
                    <w14:schemeClr w14:val="tx1"/>
                  </w14:solidFill>
                </w14:textFill>
              </w:rPr>
              <w:t>③</w:t>
            </w:r>
            <w:r>
              <w:rPr>
                <w:color w:val="000000" w:themeColor="text1"/>
                <w:highlight w:val="none"/>
                <w:lang w:bidi="ar"/>
                <w14:textFill>
                  <w14:solidFill>
                    <w14:schemeClr w14:val="tx1"/>
                  </w14:solidFill>
                </w14:textFill>
              </w:rPr>
              <w:t>制定班组、车间级、厂级严格巡检制度，设专人巡检</w:t>
            </w:r>
            <w:r>
              <w:rPr>
                <w:rFonts w:hint="eastAsia"/>
                <w:color w:val="000000" w:themeColor="text1"/>
                <w:highlight w:val="none"/>
                <w:lang w:bidi="ar"/>
                <w14:textFill>
                  <w14:solidFill>
                    <w14:schemeClr w14:val="tx1"/>
                  </w14:solidFill>
                </w14:textFill>
              </w:rPr>
              <w:t>，</w:t>
            </w:r>
            <w:r>
              <w:rPr>
                <w:color w:val="000000" w:themeColor="text1"/>
                <w:highlight w:val="none"/>
                <w:lang w:bidi="ar"/>
                <w14:textFill>
                  <w14:solidFill>
                    <w14:schemeClr w14:val="tx1"/>
                  </w14:solidFill>
                </w14:textFill>
              </w:rPr>
              <w:t>检查储存设施或容器是否有渗漏或破损，如发现及时采取措施清理更换。</w:t>
            </w:r>
          </w:p>
          <w:p w14:paraId="604EAE20">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eastAsia"/>
                <w:color w:val="000000" w:themeColor="text1"/>
                <w:highlight w:val="none"/>
                <w:lang w:bidi="ar"/>
                <w14:textFill>
                  <w14:solidFill>
                    <w14:schemeClr w14:val="tx1"/>
                  </w14:solidFill>
                </w14:textFill>
              </w:rPr>
            </w:pPr>
            <w:r>
              <w:rPr>
                <w:rFonts w:hint="eastAsia"/>
                <w:color w:val="000000" w:themeColor="text1"/>
                <w:highlight w:val="none"/>
                <w:lang w:bidi="ar"/>
                <w14:textFill>
                  <w14:solidFill>
                    <w14:schemeClr w14:val="tx1"/>
                  </w14:solidFill>
                </w14:textFill>
              </w:rPr>
              <w:t>④</w:t>
            </w:r>
            <w:r>
              <w:rPr>
                <w:color w:val="000000" w:themeColor="text1"/>
                <w:highlight w:val="none"/>
                <w:lang w:bidi="ar"/>
                <w14:textFill>
                  <w14:solidFill>
                    <w14:schemeClr w14:val="tx1"/>
                  </w14:solidFill>
                </w14:textFill>
              </w:rPr>
              <w:t>设置沙包沙袋、沙土</w:t>
            </w:r>
            <w:r>
              <w:rPr>
                <w:rFonts w:hint="eastAsia"/>
                <w:color w:val="000000" w:themeColor="text1"/>
                <w:highlight w:val="none"/>
                <w:lang w:eastAsia="zh-CN" w:bidi="ar"/>
                <w14:textFill>
                  <w14:solidFill>
                    <w14:schemeClr w14:val="tx1"/>
                  </w14:solidFill>
                </w14:textFill>
              </w:rPr>
              <w:t>储存点</w:t>
            </w:r>
            <w:r>
              <w:rPr>
                <w:color w:val="000000" w:themeColor="text1"/>
                <w:highlight w:val="none"/>
                <w:lang w:bidi="ar"/>
                <w14:textFill>
                  <w14:solidFill>
                    <w14:schemeClr w14:val="tx1"/>
                  </w14:solidFill>
                </w14:textFill>
              </w:rPr>
              <w:t>，</w:t>
            </w:r>
            <w:r>
              <w:rPr>
                <w:rFonts w:hint="eastAsia"/>
                <w:color w:val="000000" w:themeColor="text1"/>
                <w:highlight w:val="none"/>
                <w:lang w:bidi="ar"/>
                <w14:textFill>
                  <w14:solidFill>
                    <w14:schemeClr w14:val="tx1"/>
                  </w14:solidFill>
                </w14:textFill>
              </w:rPr>
              <w:t>一旦发生泄漏事故，立即</w:t>
            </w:r>
            <w:r>
              <w:rPr>
                <w:color w:val="000000" w:themeColor="text1"/>
                <w:highlight w:val="none"/>
                <w:lang w:bidi="ar"/>
                <w14:textFill>
                  <w14:solidFill>
                    <w14:schemeClr w14:val="tx1"/>
                  </w14:solidFill>
                </w14:textFill>
              </w:rPr>
              <w:t>围挡泄漏区域，及时控制。</w:t>
            </w:r>
            <w:r>
              <w:rPr>
                <w:rFonts w:hint="eastAsia"/>
                <w:color w:val="000000" w:themeColor="text1"/>
                <w:highlight w:val="none"/>
                <w:lang w:bidi="ar"/>
                <w14:textFill>
                  <w14:solidFill>
                    <w14:schemeClr w14:val="tx1"/>
                  </w14:solidFill>
                </w14:textFill>
              </w:rPr>
              <w:t>收容的泄漏物及沙土转移至专用收集容器内，送</w:t>
            </w:r>
            <w:r>
              <w:rPr>
                <w:rFonts w:hint="eastAsia"/>
                <w:color w:val="000000" w:themeColor="text1"/>
                <w:highlight w:val="none"/>
                <w:lang w:eastAsia="zh-CN" w:bidi="ar"/>
                <w14:textFill>
                  <w14:solidFill>
                    <w14:schemeClr w14:val="tx1"/>
                  </w14:solidFill>
                </w14:textFill>
              </w:rPr>
              <w:t>有资质的危险废物处置单位</w:t>
            </w:r>
            <w:r>
              <w:rPr>
                <w:rFonts w:hint="eastAsia"/>
                <w:color w:val="000000" w:themeColor="text1"/>
                <w:highlight w:val="none"/>
                <w:lang w:bidi="ar"/>
                <w14:textFill>
                  <w14:solidFill>
                    <w14:schemeClr w14:val="tx1"/>
                  </w14:solidFill>
                </w14:textFill>
              </w:rPr>
              <w:t>处置。</w:t>
            </w:r>
          </w:p>
          <w:p w14:paraId="2F4FC034">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000000" w:themeColor="text1"/>
                <w:highlight w:val="none"/>
                <w:lang w:bidi="ar"/>
                <w14:textFill>
                  <w14:solidFill>
                    <w14:schemeClr w14:val="tx1"/>
                  </w14:solidFill>
                </w14:textFill>
              </w:rPr>
            </w:pPr>
            <w:r>
              <w:rPr>
                <w:rFonts w:hint="eastAsia"/>
                <w:color w:val="000000" w:themeColor="text1"/>
                <w:highlight w:val="none"/>
                <w:lang w:eastAsia="zh-CN" w:bidi="ar"/>
                <w14:textFill>
                  <w14:solidFill>
                    <w14:schemeClr w14:val="tx1"/>
                  </w14:solidFill>
                </w14:textFill>
              </w:rPr>
              <w:t>⑤</w:t>
            </w:r>
            <w:r>
              <w:rPr>
                <w:rFonts w:hint="eastAsia"/>
                <w:color w:val="000000" w:themeColor="text1"/>
                <w:highlight w:val="none"/>
                <w:lang w:bidi="ar"/>
                <w14:textFill>
                  <w14:solidFill>
                    <w14:schemeClr w14:val="tx1"/>
                  </w14:solidFill>
                </w14:textFill>
              </w:rPr>
              <w:t>配备相应品种和数量的消防器材及泄漏应急处理设备。</w:t>
            </w:r>
          </w:p>
          <w:p w14:paraId="5C342FEE">
            <w:pPr>
              <w:keepNext w:val="0"/>
              <w:keepLines w:val="0"/>
              <w:pageBreakBefore w:val="0"/>
              <w:widowControl w:val="0"/>
              <w:shd w:val="clear"/>
              <w:kinsoku/>
              <w:wordWrap/>
              <w:overflowPunct/>
              <w:topLinePunct w:val="0"/>
              <w:autoSpaceDE/>
              <w:autoSpaceDN/>
              <w:bidi w:val="0"/>
              <w:adjustRightInd w:val="0"/>
              <w:snapToGrid w:val="0"/>
              <w:spacing w:before="0" w:beforeAutospacing="0" w:after="0" w:afterAutospacing="0" w:line="480" w:lineRule="exact"/>
              <w:ind w:right="0" w:firstLine="480" w:firstLineChars="200"/>
              <w:jc w:val="both"/>
              <w:textAlignment w:val="auto"/>
              <w:rPr>
                <w:rFonts w:hint="default" w:ascii="Times New Roman" w:hAnsi="Times New Roman" w:eastAsia="宋体" w:cs="Times New Roman"/>
                <w:b w:val="0"/>
                <w:bCs w:val="0"/>
                <w:smallCaps w:val="0"/>
                <w:color w:val="000000" w:themeColor="text1"/>
                <w:spacing w:val="0"/>
                <w:kern w:val="0"/>
                <w:position w:val="0"/>
                <w:sz w:val="24"/>
                <w:szCs w:val="24"/>
                <w:highlight w:val="none"/>
                <w:lang w:val="en-US" w:eastAsia="zh-CN" w:bidi="ar-SA"/>
                <w14:textFill>
                  <w14:solidFill>
                    <w14:schemeClr w14:val="tx1"/>
                  </w14:solidFill>
                </w14:textFill>
              </w:rPr>
            </w:pPr>
            <w:r>
              <w:rPr>
                <w:rFonts w:hint="eastAsia"/>
                <w:color w:val="000000" w:themeColor="text1"/>
                <w:highlight w:val="none"/>
                <w:lang w:eastAsia="zh-CN" w:bidi="ar"/>
                <w14:textFill>
                  <w14:solidFill>
                    <w14:schemeClr w14:val="tx1"/>
                  </w14:solidFill>
                </w14:textFill>
              </w:rPr>
              <w:t>⑸</w:t>
            </w:r>
            <w:r>
              <w:rPr>
                <w:rFonts w:hint="default" w:ascii="Times New Roman" w:hAnsi="Times New Roman" w:eastAsia="宋体" w:cs="Times New Roman"/>
                <w:b w:val="0"/>
                <w:bCs w:val="0"/>
                <w:smallCaps w:val="0"/>
                <w:color w:val="000000" w:themeColor="text1"/>
                <w:spacing w:val="0"/>
                <w:kern w:val="2"/>
                <w:position w:val="0"/>
                <w:sz w:val="24"/>
                <w:szCs w:val="24"/>
                <w:highlight w:val="none"/>
                <w:lang w:val="en-US" w:eastAsia="zh-CN" w:bidi="ar"/>
                <w14:textFill>
                  <w14:solidFill>
                    <w14:schemeClr w14:val="tx1"/>
                  </w14:solidFill>
                </w14:textFill>
              </w:rPr>
              <w:t>应急预案</w:t>
            </w:r>
          </w:p>
          <w:p w14:paraId="662D223D">
            <w:pPr>
              <w:keepNext w:val="0"/>
              <w:keepLines w:val="0"/>
              <w:pageBreakBefore w:val="0"/>
              <w:shd w:val="clear"/>
              <w:kinsoku/>
              <w:wordWrap/>
              <w:overflowPunct/>
              <w:topLinePunct w:val="0"/>
              <w:autoSpaceDE/>
              <w:autoSpaceDN/>
              <w:bidi w:val="0"/>
              <w:spacing w:line="480" w:lineRule="exac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根据《河北省生态环境厅关于优化企事业单位突发环境事件应急预案备案的指导意见（试行）》相关要求，本项目建成后，企业环境风险等级符合应急预案简化管理条件。按照规定，企业在项目投产运行前，只需规范填写《企事业单位环境应急预案表》及《环境安全责任承诺卡》，通过河北省突发环境事件应急预案备案系统向属地县级生态环境主管部门线上提交备案。</w:t>
            </w:r>
          </w:p>
          <w:p w14:paraId="6D9EE50E">
            <w:pPr>
              <w:keepNext w:val="0"/>
              <w:keepLines w:val="0"/>
              <w:pageBreakBefore w:val="0"/>
              <w:widowControl w:val="0"/>
              <w:shd w:val="clear"/>
              <w:kinsoku/>
              <w:wordWrap/>
              <w:overflowPunct/>
              <w:topLinePunct w:val="0"/>
              <w:autoSpaceDE/>
              <w:autoSpaceDN/>
              <w:bidi w:val="0"/>
              <w:adjustRightInd w:val="0"/>
              <w:snapToGrid w:val="0"/>
              <w:spacing w:before="0" w:beforeAutospacing="0" w:after="0" w:afterAutospacing="0" w:line="480" w:lineRule="exact"/>
              <w:ind w:firstLine="482" w:firstLineChars="200"/>
              <w:jc w:val="both"/>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8、电磁辐射</w:t>
            </w:r>
          </w:p>
          <w:p w14:paraId="2C29D94A">
            <w:pPr>
              <w:keepNext w:val="0"/>
              <w:keepLines w:val="0"/>
              <w:pageBreakBefore w:val="0"/>
              <w:shd w:val="clear"/>
              <w:kinsoku/>
              <w:wordWrap/>
              <w:overflowPunct/>
              <w:topLinePunct w:val="0"/>
              <w:autoSpaceDE/>
              <w:autoSpaceDN/>
              <w:bidi w:val="0"/>
              <w:spacing w:line="480" w:lineRule="exact"/>
              <w:textAlignment w:val="auto"/>
              <w:rPr>
                <w:rFonts w:hint="default" w:ascii="Times New Roman" w:hAnsi="Times New Roman" w:cs="Times New Roman"/>
                <w:color w:val="000000" w:themeColor="text1"/>
                <w:highlight w:val="none"/>
                <w:vertAlign w:val="baseli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本项目不涉及电磁辐射源，即不会对项目所在</w:t>
            </w:r>
            <w:r>
              <w:rPr>
                <w:rFonts w:hint="eastAsia" w:cs="Times New Roman"/>
                <w:color w:val="000000" w:themeColor="text1"/>
                <w:highlight w:val="none"/>
                <w:lang w:val="en-US" w:eastAsia="zh-CN"/>
                <w14:textFill>
                  <w14:solidFill>
                    <w14:schemeClr w14:val="tx1"/>
                  </w14:solidFill>
                </w14:textFill>
              </w:rPr>
              <w:t>区域</w:t>
            </w:r>
            <w:r>
              <w:rPr>
                <w:rFonts w:hint="default" w:ascii="Times New Roman" w:hAnsi="Times New Roman" w:cs="Times New Roman"/>
                <w:color w:val="000000" w:themeColor="text1"/>
                <w:highlight w:val="none"/>
                <w:lang w:val="en-US" w:eastAsia="zh-CN"/>
                <w14:textFill>
                  <w14:solidFill>
                    <w14:schemeClr w14:val="tx1"/>
                  </w14:solidFill>
                </w14:textFill>
              </w:rPr>
              <w:t>环境产生相应的电磁辐射影响。</w:t>
            </w:r>
          </w:p>
          <w:p w14:paraId="5D95073A">
            <w:pPr>
              <w:pStyle w:val="45"/>
              <w:shd w:val="clear"/>
              <w:jc w:val="both"/>
              <w:rPr>
                <w:rFonts w:hint="default" w:ascii="Times New Roman" w:hAnsi="Times New Roman" w:cs="Times New Roman"/>
                <w:color w:val="000000" w:themeColor="text1"/>
                <w:highlight w:val="none"/>
                <w:vertAlign w:val="baseline"/>
                <w14:textFill>
                  <w14:solidFill>
                    <w14:schemeClr w14:val="tx1"/>
                  </w14:solidFill>
                </w14:textFill>
              </w:rPr>
            </w:pPr>
          </w:p>
          <w:p w14:paraId="74A93DD1">
            <w:pPr>
              <w:pStyle w:val="9"/>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4D523A82">
            <w:pPr>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032D9389">
            <w:pPr>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2A9EBD22">
            <w:pPr>
              <w:pStyle w:val="7"/>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0579ED61">
            <w:pPr>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1ACDB9DD">
            <w:pPr>
              <w:pStyle w:val="15"/>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5776F0E6">
            <w:pPr>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6CD608DB">
            <w:pPr>
              <w:pStyle w:val="15"/>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351C3FB7">
            <w:pPr>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63DADC35">
            <w:pPr>
              <w:pStyle w:val="15"/>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0222448B">
            <w:pPr>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2B50C916">
            <w:pPr>
              <w:pStyle w:val="15"/>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4BE08FA0">
            <w:pPr>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2A9018C6">
            <w:pPr>
              <w:pStyle w:val="15"/>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5F29567E">
            <w:pPr>
              <w:shd w:val="clear"/>
              <w:rPr>
                <w:rFonts w:hint="default" w:ascii="Times New Roman" w:hAnsi="Times New Roman" w:cs="Times New Roman"/>
                <w:color w:val="000000" w:themeColor="text1"/>
                <w:highlight w:val="none"/>
                <w:vertAlign w:val="baseline"/>
                <w14:textFill>
                  <w14:solidFill>
                    <w14:schemeClr w14:val="tx1"/>
                  </w14:solidFill>
                </w14:textFill>
              </w:rPr>
            </w:pPr>
          </w:p>
          <w:p w14:paraId="5995D68A">
            <w:pPr>
              <w:pStyle w:val="45"/>
              <w:shd w:val="clear"/>
              <w:jc w:val="both"/>
              <w:rPr>
                <w:rFonts w:hint="default"/>
                <w:color w:val="000000" w:themeColor="text1"/>
                <w:highlight w:val="none"/>
                <w14:textFill>
                  <w14:solidFill>
                    <w14:schemeClr w14:val="tx1"/>
                  </w14:solidFill>
                </w14:textFill>
              </w:rPr>
            </w:pPr>
          </w:p>
          <w:p w14:paraId="22D9D778">
            <w:pPr>
              <w:shd w:val="clear"/>
              <w:ind w:left="0" w:leftChars="0" w:firstLine="0" w:firstLineChars="0"/>
              <w:rPr>
                <w:rFonts w:hint="default"/>
                <w:color w:val="000000" w:themeColor="text1"/>
                <w:highlight w:val="none"/>
                <w14:textFill>
                  <w14:solidFill>
                    <w14:schemeClr w14:val="tx1"/>
                  </w14:solidFill>
                </w14:textFill>
              </w:rPr>
            </w:pPr>
          </w:p>
        </w:tc>
      </w:tr>
    </w:tbl>
    <w:p w14:paraId="13ED9E7F">
      <w:pPr>
        <w:shd w:val="clear"/>
        <w:rPr>
          <w:rFonts w:hint="default" w:ascii="Times New Roman" w:hAnsi="Times New Roman" w:cs="Times New Roman"/>
          <w:color w:val="000000" w:themeColor="text1"/>
          <w:highlight w:val="none"/>
          <w14:textFill>
            <w14:solidFill>
              <w14:schemeClr w14:val="tx1"/>
            </w14:solidFill>
          </w14:textFill>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CA24C9D">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五、</w:t>
      </w:r>
      <w:bookmarkStart w:id="7" w:name="_Hlk54167917"/>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环境保护措施监督检查清单</w:t>
      </w:r>
      <w:bookmarkEnd w:id="7"/>
    </w:p>
    <w:tbl>
      <w:tblPr>
        <w:tblStyle w:val="32"/>
        <w:tblW w:w="9748" w:type="dxa"/>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1258"/>
        <w:gridCol w:w="839"/>
        <w:gridCol w:w="736"/>
        <w:gridCol w:w="895"/>
        <w:gridCol w:w="3072"/>
        <w:gridCol w:w="812"/>
        <w:gridCol w:w="2136"/>
      </w:tblGrid>
      <w:tr w14:paraId="387744F6">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02" w:hRule="atLeast"/>
          <w:jc w:val="center"/>
        </w:trPr>
        <w:tc>
          <w:tcPr>
            <w:tcW w:w="1258" w:type="dxa"/>
            <w:tcBorders>
              <w:tl2br w:val="nil"/>
              <w:tr2bl w:val="nil"/>
            </w:tcBorders>
            <w:noWrap w:val="0"/>
            <w:vAlign w:val="top"/>
            <mc:AlternateContent>
              <mc:Choice Requires="wpsCustomData">
                <wpsCustomData:diagonals>
                  <wpsCustomData:diagonal from="10000" to="30000">
                    <wpsCustomData:border w:val="single" w:color="auto" w:sz="12" w:space="0"/>
                  </wpsCustomData:diagonal>
                </wpsCustomData:diagonals>
              </mc:Choice>
            </mc:AlternateContent>
          </w:tcPr>
          <w:p w14:paraId="453E24C5">
            <w:pPr>
              <w:pStyle w:val="43"/>
              <w:shd w:val="clear"/>
              <w:bidi w:val="0"/>
              <w:rPr>
                <w:rFonts w:hint="default" w:ascii="Times New Roman" w:hAnsi="Times New Roman" w:cs="Times New Roman"/>
                <w:color w:val="000000" w:themeColor="text1"/>
                <w:sz w:val="24"/>
                <w:szCs w:val="24"/>
                <w:highlight w:val="none"/>
                <w14:textFill>
                  <w14:solidFill>
                    <w14:schemeClr w14:val="tx1"/>
                  </w14:solidFill>
                </w14:textFill>
              </w:rPr>
            </w:pPr>
          </w:p>
          <w:p w14:paraId="64916213">
            <w:pPr>
              <w:pStyle w:val="43"/>
              <w:shd w:val="clear"/>
              <w:bidi w:val="0"/>
              <w:snapToGrid w:val="0"/>
              <w:spacing w:line="240" w:lineRule="auto"/>
              <w:jc w:val="both"/>
              <mc:AlternateContent>
                <mc:Choice Requires="wpsCustomData">
                  <wpsCustomData:diagonalParaType/>
                </mc:Choice>
              </mc:AlternateConten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要素</w:t>
            </w:r>
          </w:p>
          <w:p w14:paraId="18F168FB">
            <w:pPr>
              <w:pStyle w:val="43"/>
              <w:shd w:val="clear"/>
              <w:bidi w:val="0"/>
              <w:jc w:val="both"/>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内容</w:t>
            </w:r>
          </w:p>
        </w:tc>
        <w:tc>
          <w:tcPr>
            <w:tcW w:w="1575" w:type="dxa"/>
            <w:gridSpan w:val="2"/>
            <w:tcBorders>
              <w:tl2br w:val="nil"/>
              <w:tr2bl w:val="nil"/>
            </w:tcBorders>
            <w:noWrap w:val="0"/>
            <w:vAlign w:val="center"/>
          </w:tcPr>
          <w:p w14:paraId="0BB4FB4A">
            <w:pPr>
              <w:pStyle w:val="43"/>
              <w:shd w:val="clear"/>
              <w:bidi w:val="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排放口</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编号、名称</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/污染源</w:t>
            </w:r>
          </w:p>
        </w:tc>
        <w:tc>
          <w:tcPr>
            <w:tcW w:w="895" w:type="dxa"/>
            <w:tcBorders>
              <w:tl2br w:val="nil"/>
              <w:tr2bl w:val="nil"/>
            </w:tcBorders>
            <w:noWrap w:val="0"/>
            <w:vAlign w:val="center"/>
          </w:tcPr>
          <w:p w14:paraId="2EEFA449">
            <w:pPr>
              <w:pStyle w:val="43"/>
              <w:keepNext w:val="0"/>
              <w:keepLines w:val="0"/>
              <w:pageBreakBefore w:val="0"/>
              <w:widowControl/>
              <w:shd w:val="clear"/>
              <w:kinsoku/>
              <w:wordWrap/>
              <w:overflowPunct/>
              <w:topLinePunct w:val="0"/>
              <w:autoSpaceDE/>
              <w:autoSpaceDN/>
              <w:bidi w:val="0"/>
              <w:adjustRightInd/>
              <w:snapToGrid w:val="0"/>
              <w:spacing w:before="0" w:after="0"/>
              <w:ind w:right="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污染物项目</w:t>
            </w:r>
          </w:p>
        </w:tc>
        <w:tc>
          <w:tcPr>
            <w:tcW w:w="3884" w:type="dxa"/>
            <w:gridSpan w:val="2"/>
            <w:tcBorders>
              <w:tl2br w:val="nil"/>
              <w:tr2bl w:val="nil"/>
            </w:tcBorders>
            <w:noWrap w:val="0"/>
            <w:vAlign w:val="center"/>
          </w:tcPr>
          <w:p w14:paraId="51CA207A">
            <w:pPr>
              <w:pStyle w:val="43"/>
              <w:shd w:val="clear"/>
              <w:bidi w:val="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环境保护措施</w:t>
            </w:r>
          </w:p>
        </w:tc>
        <w:tc>
          <w:tcPr>
            <w:tcW w:w="2136" w:type="dxa"/>
            <w:tcBorders>
              <w:tl2br w:val="nil"/>
              <w:tr2bl w:val="nil"/>
            </w:tcBorders>
            <w:noWrap w:val="0"/>
            <w:vAlign w:val="center"/>
          </w:tcPr>
          <w:p w14:paraId="656034CF">
            <w:pPr>
              <w:pStyle w:val="43"/>
              <w:shd w:val="clear"/>
              <w:bidi w:val="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执行标准</w:t>
            </w:r>
          </w:p>
        </w:tc>
      </w:tr>
      <w:tr w14:paraId="0A0F154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97" w:hRule="atLeast"/>
          <w:jc w:val="center"/>
        </w:trPr>
        <w:tc>
          <w:tcPr>
            <w:tcW w:w="1258" w:type="dxa"/>
            <w:vMerge w:val="restart"/>
            <w:tcBorders>
              <w:tl2br w:val="nil"/>
              <w:tr2bl w:val="nil"/>
            </w:tcBorders>
            <w:noWrap w:val="0"/>
            <w:vAlign w:val="center"/>
          </w:tcPr>
          <w:p w14:paraId="54F7D7AE">
            <w:pPr>
              <w:pStyle w:val="43"/>
              <w:shd w:val="clear"/>
              <w:bidi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大气环境</w:t>
            </w:r>
          </w:p>
        </w:tc>
        <w:tc>
          <w:tcPr>
            <w:tcW w:w="1575" w:type="dxa"/>
            <w:gridSpan w:val="2"/>
            <w:tcBorders>
              <w:tl2br w:val="nil"/>
              <w:tr2bl w:val="nil"/>
            </w:tcBorders>
            <w:noWrap w:val="0"/>
            <w:vAlign w:val="center"/>
          </w:tcPr>
          <w:p w14:paraId="777837E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不合格矿石原料上料过程</w:t>
            </w:r>
          </w:p>
        </w:tc>
        <w:tc>
          <w:tcPr>
            <w:tcW w:w="895" w:type="dxa"/>
            <w:tcBorders>
              <w:tl2br w:val="nil"/>
              <w:tr2bl w:val="nil"/>
            </w:tcBorders>
            <w:noWrap w:val="0"/>
            <w:vAlign w:val="center"/>
          </w:tcPr>
          <w:p w14:paraId="02196A6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072" w:type="dxa"/>
            <w:tcBorders>
              <w:tl2br w:val="nil"/>
              <w:tr2bl w:val="nil"/>
            </w:tcBorders>
            <w:noWrap w:val="0"/>
            <w:vAlign w:val="center"/>
          </w:tcPr>
          <w:p w14:paraId="081E79F4">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上料</w:t>
            </w: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仓</w:t>
            </w:r>
            <w:r>
              <w:rPr>
                <w:rFonts w:hint="default"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三面及顶部围挡，</w:t>
            </w: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入料口上</w:t>
            </w:r>
            <w:r>
              <w:rPr>
                <w:rFonts w:hint="default"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面设置软帘</w:t>
            </w: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（软帘下高度1.5m）</w:t>
            </w:r>
            <w:r>
              <w:rPr>
                <w:rFonts w:hint="default"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w:t>
            </w: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入料口下方用彩钢板封闭，顶部设置集气管</w:t>
            </w:r>
            <w:r>
              <w:rPr>
                <w:rFonts w:hint="eastAsia" w:cs="Times New Roman"/>
                <w:b w:val="0"/>
                <w:bCs w:val="0"/>
                <w:strike/>
                <w:dstrike w:val="0"/>
                <w:snapToGrid w:val="0"/>
                <w:color w:val="000000" w:themeColor="text1"/>
                <w:kern w:val="0"/>
                <w:sz w:val="24"/>
                <w:szCs w:val="24"/>
                <w:highlight w:val="none"/>
                <w:vertAlign w:val="baseline"/>
                <w:lang w:val="en-US" w:eastAsia="zh-CN" w:bidi="ar-SA"/>
                <w14:textFill>
                  <w14:solidFill>
                    <w14:schemeClr w14:val="tx1"/>
                  </w14:solidFill>
                </w14:textFill>
              </w:rPr>
              <w:t>罩</w:t>
            </w: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；设置伞状喷雾抑尘装置，喷雾抑尘装置范围应覆盖整个落料点（电伴热）</w:t>
            </w:r>
          </w:p>
        </w:tc>
        <w:tc>
          <w:tcPr>
            <w:tcW w:w="812" w:type="dxa"/>
            <w:vMerge w:val="restart"/>
            <w:tcBorders>
              <w:tl2br w:val="nil"/>
              <w:tr2bl w:val="nil"/>
            </w:tcBorders>
            <w:noWrap w:val="0"/>
            <w:vAlign w:val="center"/>
          </w:tcPr>
          <w:p w14:paraId="65DFB54F">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上述工序产生的废气经集气装置收集后，由1套</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脉冲布袋除尘器</w:t>
            </w:r>
            <w:r>
              <w:rPr>
                <w:rFonts w:hint="eastAsia" w:eastAsia="宋体" w:cs="Times New Roman"/>
                <w:color w:val="000000" w:themeColor="text1"/>
                <w:sz w:val="24"/>
                <w:szCs w:val="24"/>
                <w:highlight w:val="none"/>
                <w:lang w:val="en-US" w:eastAsia="zh-CN"/>
                <w14:textFill>
                  <w14:solidFill>
                    <w14:schemeClr w14:val="tx1"/>
                  </w14:solidFill>
                </w14:textFill>
              </w:rPr>
              <w:t>处理，经1根</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排气筒（DA00</w:t>
            </w:r>
            <w:r>
              <w:rPr>
                <w:rFonts w:hint="eastAsia"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eastAsia="宋体" w:cs="Times New Roman"/>
                <w:color w:val="000000" w:themeColor="text1"/>
                <w:sz w:val="24"/>
                <w:szCs w:val="24"/>
                <w:highlight w:val="none"/>
                <w:lang w:val="en-US" w:eastAsia="zh-CN"/>
                <w14:textFill>
                  <w14:solidFill>
                    <w14:schemeClr w14:val="tx1"/>
                  </w14:solidFill>
                </w14:textFill>
              </w:rPr>
              <w:t>排放</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eastAsia="zh-CN"/>
                <w14:textFill>
                  <w14:solidFill>
                    <w14:schemeClr w14:val="tx1"/>
                  </w14:solidFill>
                </w14:textFill>
              </w:rPr>
              <w:t>风机风量</w:t>
            </w:r>
            <w:r>
              <w:rPr>
                <w:rFonts w:hint="eastAsia" w:cs="Times New Roman"/>
                <w:color w:val="000000" w:themeColor="text1"/>
                <w:sz w:val="24"/>
                <w:szCs w:val="24"/>
                <w:highlight w:val="none"/>
                <w:lang w:val="en-US" w:eastAsia="zh-CN"/>
                <w14:textFill>
                  <w14:solidFill>
                    <w14:schemeClr w14:val="tx1"/>
                  </w14:solidFill>
                </w14:textFill>
              </w:rPr>
              <w:t>45000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/h</w:t>
            </w:r>
          </w:p>
        </w:tc>
        <w:tc>
          <w:tcPr>
            <w:tcW w:w="2136" w:type="dxa"/>
            <w:vMerge w:val="restart"/>
            <w:tcBorders>
              <w:tl2br w:val="nil"/>
              <w:tr2bl w:val="nil"/>
            </w:tcBorders>
            <w:noWrap w:val="0"/>
            <w:vAlign w:val="center"/>
          </w:tcPr>
          <w:p w14:paraId="5132119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石灰工业大气污染物排放标准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》（DB</w:t>
            </w:r>
            <w:r>
              <w:rPr>
                <w:rFonts w:hint="eastAsia" w:cs="Times New Roman"/>
                <w:color w:val="000000" w:themeColor="text1"/>
                <w:sz w:val="24"/>
                <w:szCs w:val="24"/>
                <w:highlight w:val="none"/>
                <w:lang w:val="en-US" w:eastAsia="zh-CN"/>
                <w14:textFill>
                  <w14:solidFill>
                    <w14:schemeClr w14:val="tx1"/>
                  </w14:solidFill>
                </w14:textFill>
              </w:rPr>
              <w:t>13/1641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-2025）及《2019年“十项重点工作”工作方案》（唐办发﹝2019﹞3号）颗粒物有组织排放限值要求：10mg/m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p>
        </w:tc>
      </w:tr>
      <w:tr w14:paraId="5214A682">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635" w:hRule="atLeast"/>
          <w:jc w:val="center"/>
        </w:trPr>
        <w:tc>
          <w:tcPr>
            <w:tcW w:w="1258" w:type="dxa"/>
            <w:vMerge w:val="continue"/>
            <w:tcBorders>
              <w:tl2br w:val="nil"/>
              <w:tr2bl w:val="nil"/>
            </w:tcBorders>
            <w:noWrap w:val="0"/>
            <w:vAlign w:val="center"/>
          </w:tcPr>
          <w:p w14:paraId="21C7AB1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839" w:type="dxa"/>
            <w:vMerge w:val="restart"/>
            <w:tcBorders>
              <w:tl2br w:val="nil"/>
              <w:tr2bl w:val="nil"/>
            </w:tcBorders>
            <w:noWrap w:val="0"/>
            <w:vAlign w:val="center"/>
          </w:tcPr>
          <w:p w14:paraId="08DFA817">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颚式破碎机</w:t>
            </w:r>
          </w:p>
        </w:tc>
        <w:tc>
          <w:tcPr>
            <w:tcW w:w="736" w:type="dxa"/>
            <w:tcBorders>
              <w:tl2br w:val="nil"/>
              <w:tr2bl w:val="nil"/>
            </w:tcBorders>
            <w:noWrap w:val="0"/>
            <w:vAlign w:val="center"/>
          </w:tcPr>
          <w:p w14:paraId="2BC56BF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上料、破碎</w:t>
            </w:r>
          </w:p>
        </w:tc>
        <w:tc>
          <w:tcPr>
            <w:tcW w:w="895" w:type="dxa"/>
            <w:tcBorders>
              <w:tl2br w:val="nil"/>
              <w:tr2bl w:val="nil"/>
            </w:tcBorders>
            <w:noWrap w:val="0"/>
            <w:vAlign w:val="center"/>
          </w:tcPr>
          <w:p w14:paraId="2333316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072" w:type="dxa"/>
            <w:tcBorders>
              <w:tl2br w:val="nil"/>
              <w:tr2bl w:val="nil"/>
            </w:tcBorders>
            <w:shd w:val="clear" w:color="auto" w:fill="auto"/>
            <w:noWrap w:val="0"/>
            <w:vAlign w:val="center"/>
          </w:tcPr>
          <w:p w14:paraId="0E9EEAE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上料仓</w:t>
            </w: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落料点以及</w:t>
            </w:r>
            <w:r>
              <w:rPr>
                <w:rFonts w:hint="default"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颚式破碎机入料口</w:t>
            </w: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上方设置集气罩</w:t>
            </w:r>
          </w:p>
        </w:tc>
        <w:tc>
          <w:tcPr>
            <w:tcW w:w="812" w:type="dxa"/>
            <w:vMerge w:val="continue"/>
            <w:tcBorders>
              <w:tl2br w:val="nil"/>
              <w:tr2bl w:val="nil"/>
            </w:tcBorders>
            <w:shd w:val="clear" w:color="auto" w:fill="auto"/>
            <w:noWrap w:val="0"/>
            <w:vAlign w:val="center"/>
          </w:tcPr>
          <w:p w14:paraId="4C6DABB3">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2136" w:type="dxa"/>
            <w:vMerge w:val="continue"/>
            <w:tcBorders>
              <w:tl2br w:val="nil"/>
              <w:tr2bl w:val="nil"/>
            </w:tcBorders>
            <w:noWrap w:val="0"/>
            <w:vAlign w:val="center"/>
          </w:tcPr>
          <w:p w14:paraId="5E7F3A0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p>
        </w:tc>
      </w:tr>
      <w:tr w14:paraId="5FE7BB65">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00" w:hRule="atLeast"/>
          <w:jc w:val="center"/>
        </w:trPr>
        <w:tc>
          <w:tcPr>
            <w:tcW w:w="1258" w:type="dxa"/>
            <w:vMerge w:val="continue"/>
            <w:tcBorders>
              <w:tl2br w:val="nil"/>
              <w:tr2bl w:val="nil"/>
            </w:tcBorders>
            <w:noWrap w:val="0"/>
            <w:vAlign w:val="center"/>
          </w:tcPr>
          <w:p w14:paraId="61748D8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839" w:type="dxa"/>
            <w:vMerge w:val="continue"/>
            <w:tcBorders>
              <w:tl2br w:val="nil"/>
              <w:tr2bl w:val="nil"/>
            </w:tcBorders>
            <w:noWrap w:val="0"/>
            <w:vAlign w:val="center"/>
          </w:tcPr>
          <w:p w14:paraId="2FB8E98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736" w:type="dxa"/>
            <w:tcBorders>
              <w:tl2br w:val="nil"/>
              <w:tr2bl w:val="nil"/>
            </w:tcBorders>
            <w:noWrap w:val="0"/>
            <w:vAlign w:val="center"/>
          </w:tcPr>
          <w:p w14:paraId="3A06E0A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落料</w:t>
            </w:r>
          </w:p>
        </w:tc>
        <w:tc>
          <w:tcPr>
            <w:tcW w:w="895" w:type="dxa"/>
            <w:tcBorders>
              <w:tl2br w:val="nil"/>
              <w:tr2bl w:val="nil"/>
            </w:tcBorders>
            <w:noWrap w:val="0"/>
            <w:vAlign w:val="center"/>
          </w:tcPr>
          <w:p w14:paraId="6022A1A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072" w:type="dxa"/>
            <w:tcBorders>
              <w:tl2br w:val="nil"/>
              <w:tr2bl w:val="nil"/>
            </w:tcBorders>
            <w:shd w:val="clear" w:color="auto" w:fill="auto"/>
            <w:noWrap w:val="0"/>
            <w:vAlign w:val="center"/>
          </w:tcPr>
          <w:p w14:paraId="3349DDCA">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物料落料处全封闭，落料点上方设置集气引风口</w:t>
            </w:r>
          </w:p>
        </w:tc>
        <w:tc>
          <w:tcPr>
            <w:tcW w:w="812" w:type="dxa"/>
            <w:vMerge w:val="continue"/>
            <w:tcBorders>
              <w:tl2br w:val="nil"/>
              <w:tr2bl w:val="nil"/>
            </w:tcBorders>
            <w:shd w:val="clear" w:color="auto" w:fill="auto"/>
            <w:noWrap w:val="0"/>
            <w:vAlign w:val="center"/>
          </w:tcPr>
          <w:p w14:paraId="6882D4AF">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2136" w:type="dxa"/>
            <w:vMerge w:val="continue"/>
            <w:tcBorders>
              <w:tl2br w:val="nil"/>
              <w:tr2bl w:val="nil"/>
            </w:tcBorders>
            <w:noWrap w:val="0"/>
            <w:vAlign w:val="center"/>
          </w:tcPr>
          <w:p w14:paraId="09D4713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p>
        </w:tc>
      </w:tr>
      <w:tr w14:paraId="22ABFDD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68" w:hRule="atLeast"/>
          <w:jc w:val="center"/>
        </w:trPr>
        <w:tc>
          <w:tcPr>
            <w:tcW w:w="1258" w:type="dxa"/>
            <w:vMerge w:val="continue"/>
            <w:tcBorders>
              <w:tl2br w:val="nil"/>
              <w:tr2bl w:val="nil"/>
            </w:tcBorders>
            <w:noWrap w:val="0"/>
            <w:vAlign w:val="center"/>
          </w:tcPr>
          <w:p w14:paraId="4806A989">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839" w:type="dxa"/>
            <w:vMerge w:val="restart"/>
            <w:tcBorders>
              <w:tl2br w:val="nil"/>
              <w:tr2bl w:val="nil"/>
            </w:tcBorders>
            <w:noWrap w:val="0"/>
            <w:vAlign w:val="center"/>
          </w:tcPr>
          <w:p w14:paraId="35501535">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圆锥破碎机</w:t>
            </w:r>
          </w:p>
        </w:tc>
        <w:tc>
          <w:tcPr>
            <w:tcW w:w="736" w:type="dxa"/>
            <w:tcBorders>
              <w:tl2br w:val="nil"/>
              <w:tr2bl w:val="nil"/>
            </w:tcBorders>
            <w:noWrap w:val="0"/>
            <w:vAlign w:val="center"/>
          </w:tcPr>
          <w:p w14:paraId="40A5A68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上料、破碎</w:t>
            </w:r>
          </w:p>
        </w:tc>
        <w:tc>
          <w:tcPr>
            <w:tcW w:w="895" w:type="dxa"/>
            <w:tcBorders>
              <w:tl2br w:val="nil"/>
              <w:tr2bl w:val="nil"/>
            </w:tcBorders>
            <w:noWrap w:val="0"/>
            <w:vAlign w:val="center"/>
          </w:tcPr>
          <w:p w14:paraId="066960D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072" w:type="dxa"/>
            <w:tcBorders>
              <w:tl2br w:val="nil"/>
              <w:tr2bl w:val="nil"/>
            </w:tcBorders>
            <w:shd w:val="clear" w:color="auto" w:fill="auto"/>
            <w:noWrap w:val="0"/>
            <w:vAlign w:val="center"/>
          </w:tcPr>
          <w:p w14:paraId="670E5DBB">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皮带输送机与圆锥破碎机封闭相连，圆锥破碎机入料口上方设置集气罩</w:t>
            </w:r>
          </w:p>
        </w:tc>
        <w:tc>
          <w:tcPr>
            <w:tcW w:w="812" w:type="dxa"/>
            <w:vMerge w:val="continue"/>
            <w:tcBorders>
              <w:tl2br w:val="nil"/>
              <w:tr2bl w:val="nil"/>
            </w:tcBorders>
            <w:shd w:val="clear" w:color="auto" w:fill="auto"/>
            <w:noWrap w:val="0"/>
            <w:vAlign w:val="center"/>
          </w:tcPr>
          <w:p w14:paraId="79E6620A">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2136" w:type="dxa"/>
            <w:vMerge w:val="continue"/>
            <w:tcBorders>
              <w:tl2br w:val="nil"/>
              <w:tr2bl w:val="nil"/>
            </w:tcBorders>
            <w:noWrap w:val="0"/>
            <w:vAlign w:val="center"/>
          </w:tcPr>
          <w:p w14:paraId="74DA84B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p>
        </w:tc>
      </w:tr>
      <w:tr w14:paraId="5554A79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1258" w:type="dxa"/>
            <w:vMerge w:val="continue"/>
            <w:tcBorders>
              <w:tl2br w:val="nil"/>
              <w:tr2bl w:val="nil"/>
            </w:tcBorders>
            <w:noWrap w:val="0"/>
            <w:vAlign w:val="center"/>
          </w:tcPr>
          <w:p w14:paraId="3BC564B4">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839" w:type="dxa"/>
            <w:vMerge w:val="continue"/>
            <w:tcBorders>
              <w:tl2br w:val="nil"/>
              <w:tr2bl w:val="nil"/>
            </w:tcBorders>
            <w:noWrap w:val="0"/>
            <w:vAlign w:val="center"/>
          </w:tcPr>
          <w:p w14:paraId="6C22D01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736" w:type="dxa"/>
            <w:tcBorders>
              <w:tl2br w:val="nil"/>
              <w:tr2bl w:val="nil"/>
            </w:tcBorders>
            <w:noWrap w:val="0"/>
            <w:vAlign w:val="center"/>
          </w:tcPr>
          <w:p w14:paraId="17F342C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落料</w:t>
            </w:r>
          </w:p>
        </w:tc>
        <w:tc>
          <w:tcPr>
            <w:tcW w:w="895" w:type="dxa"/>
            <w:tcBorders>
              <w:tl2br w:val="nil"/>
              <w:tr2bl w:val="nil"/>
            </w:tcBorders>
            <w:noWrap w:val="0"/>
            <w:vAlign w:val="center"/>
          </w:tcPr>
          <w:p w14:paraId="474C79C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072" w:type="dxa"/>
            <w:tcBorders>
              <w:tl2br w:val="nil"/>
              <w:tr2bl w:val="nil"/>
            </w:tcBorders>
            <w:shd w:val="clear" w:color="auto" w:fill="auto"/>
            <w:noWrap w:val="0"/>
            <w:vAlign w:val="center"/>
          </w:tcPr>
          <w:p w14:paraId="18732299">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物料落料处全封闭，落料点上方设置集气引风口</w:t>
            </w:r>
          </w:p>
        </w:tc>
        <w:tc>
          <w:tcPr>
            <w:tcW w:w="812" w:type="dxa"/>
            <w:vMerge w:val="continue"/>
            <w:tcBorders>
              <w:tl2br w:val="nil"/>
              <w:tr2bl w:val="nil"/>
            </w:tcBorders>
            <w:shd w:val="clear" w:color="auto" w:fill="auto"/>
            <w:noWrap w:val="0"/>
            <w:vAlign w:val="center"/>
          </w:tcPr>
          <w:p w14:paraId="019D9E07">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2136" w:type="dxa"/>
            <w:vMerge w:val="continue"/>
            <w:tcBorders>
              <w:tl2br w:val="nil"/>
              <w:tr2bl w:val="nil"/>
            </w:tcBorders>
            <w:noWrap w:val="0"/>
            <w:vAlign w:val="center"/>
          </w:tcPr>
          <w:p w14:paraId="5726D81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p>
        </w:tc>
      </w:tr>
      <w:tr w14:paraId="20D2D80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741" w:hRule="atLeast"/>
          <w:jc w:val="center"/>
        </w:trPr>
        <w:tc>
          <w:tcPr>
            <w:tcW w:w="1258" w:type="dxa"/>
            <w:vMerge w:val="continue"/>
            <w:tcBorders>
              <w:tl2br w:val="nil"/>
              <w:tr2bl w:val="nil"/>
            </w:tcBorders>
            <w:noWrap w:val="0"/>
            <w:vAlign w:val="center"/>
          </w:tcPr>
          <w:p w14:paraId="1A90AB0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839" w:type="dxa"/>
            <w:vMerge w:val="restart"/>
            <w:tcBorders>
              <w:tl2br w:val="nil"/>
              <w:tr2bl w:val="nil"/>
            </w:tcBorders>
            <w:noWrap w:val="0"/>
            <w:vAlign w:val="center"/>
          </w:tcPr>
          <w:p w14:paraId="13D9CE2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eastAsia="宋体" w:cs="Times New Roman"/>
                <w:i w:val="0"/>
                <w:iCs w:val="0"/>
                <w:caps w:val="0"/>
                <w:color w:val="000000" w:themeColor="text1"/>
                <w:spacing w:val="0"/>
                <w:sz w:val="24"/>
                <w:szCs w:val="24"/>
                <w:highlight w:val="none"/>
                <w:lang w:eastAsia="zh-CN"/>
                <w14:textFill>
                  <w14:solidFill>
                    <w14:schemeClr w14:val="tx1"/>
                  </w14:solidFill>
                </w14:textFill>
              </w:rPr>
              <w:t>往复式摇筛</w:t>
            </w:r>
          </w:p>
        </w:tc>
        <w:tc>
          <w:tcPr>
            <w:tcW w:w="736" w:type="dxa"/>
            <w:tcBorders>
              <w:tl2br w:val="nil"/>
              <w:tr2bl w:val="nil"/>
            </w:tcBorders>
            <w:noWrap w:val="0"/>
            <w:vAlign w:val="center"/>
          </w:tcPr>
          <w:p w14:paraId="6A7C4C6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上料、筛分</w:t>
            </w:r>
          </w:p>
        </w:tc>
        <w:tc>
          <w:tcPr>
            <w:tcW w:w="895" w:type="dxa"/>
            <w:tcBorders>
              <w:tl2br w:val="nil"/>
              <w:tr2bl w:val="nil"/>
            </w:tcBorders>
            <w:noWrap w:val="0"/>
            <w:vAlign w:val="center"/>
          </w:tcPr>
          <w:p w14:paraId="199E396C">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颗粒物</w:t>
            </w:r>
          </w:p>
        </w:tc>
        <w:tc>
          <w:tcPr>
            <w:tcW w:w="3072" w:type="dxa"/>
            <w:tcBorders>
              <w:tl2br w:val="nil"/>
              <w:tr2bl w:val="nil"/>
            </w:tcBorders>
            <w:shd w:val="clear" w:color="auto" w:fill="auto"/>
            <w:noWrap w:val="0"/>
            <w:vAlign w:val="center"/>
          </w:tcPr>
          <w:p w14:paraId="6A844EDD">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本次配套建设全密闭筛分间，物料上料转运、筛分分级等产污工序均置于密闭空间内实施，在筛分间顶部开设集气引风口</w:t>
            </w:r>
          </w:p>
        </w:tc>
        <w:tc>
          <w:tcPr>
            <w:tcW w:w="812" w:type="dxa"/>
            <w:vMerge w:val="continue"/>
            <w:tcBorders>
              <w:tl2br w:val="nil"/>
              <w:tr2bl w:val="nil"/>
            </w:tcBorders>
            <w:shd w:val="clear" w:color="auto" w:fill="auto"/>
            <w:noWrap w:val="0"/>
            <w:vAlign w:val="center"/>
          </w:tcPr>
          <w:p w14:paraId="2EE7098C">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2136" w:type="dxa"/>
            <w:vMerge w:val="continue"/>
            <w:tcBorders>
              <w:tl2br w:val="nil"/>
              <w:tr2bl w:val="nil"/>
            </w:tcBorders>
            <w:noWrap w:val="0"/>
            <w:vAlign w:val="center"/>
          </w:tcPr>
          <w:p w14:paraId="2B2E890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p>
        </w:tc>
      </w:tr>
      <w:tr w14:paraId="3EFAAD01">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951" w:hRule="atLeast"/>
          <w:jc w:val="center"/>
        </w:trPr>
        <w:tc>
          <w:tcPr>
            <w:tcW w:w="1258" w:type="dxa"/>
            <w:vMerge w:val="continue"/>
            <w:tcBorders>
              <w:tl2br w:val="nil"/>
              <w:tr2bl w:val="nil"/>
            </w:tcBorders>
            <w:noWrap w:val="0"/>
            <w:vAlign w:val="center"/>
          </w:tcPr>
          <w:p w14:paraId="00B46901">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839" w:type="dxa"/>
            <w:vMerge w:val="continue"/>
            <w:tcBorders>
              <w:tl2br w:val="nil"/>
              <w:tr2bl w:val="nil"/>
            </w:tcBorders>
            <w:noWrap w:val="0"/>
            <w:vAlign w:val="center"/>
          </w:tcPr>
          <w:p w14:paraId="3AF593D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Segoe UI Symbol" w:cs="Times New Roman"/>
                <w:i w:val="0"/>
                <w:iCs w:val="0"/>
                <w:caps w:val="0"/>
                <w:color w:val="000000" w:themeColor="text1"/>
                <w:spacing w:val="0"/>
                <w:sz w:val="24"/>
                <w:szCs w:val="24"/>
                <w:highlight w:val="none"/>
                <w14:textFill>
                  <w14:solidFill>
                    <w14:schemeClr w14:val="tx1"/>
                  </w14:solidFill>
                </w14:textFill>
              </w:rPr>
            </w:pPr>
          </w:p>
        </w:tc>
        <w:tc>
          <w:tcPr>
            <w:tcW w:w="736" w:type="dxa"/>
            <w:vMerge w:val="restart"/>
            <w:tcBorders>
              <w:tl2br w:val="nil"/>
              <w:tr2bl w:val="nil"/>
            </w:tcBorders>
            <w:noWrap w:val="0"/>
            <w:vAlign w:val="center"/>
          </w:tcPr>
          <w:p w14:paraId="236B2D4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落料</w:t>
            </w:r>
          </w:p>
        </w:tc>
        <w:tc>
          <w:tcPr>
            <w:tcW w:w="895" w:type="dxa"/>
            <w:vMerge w:val="restart"/>
            <w:tcBorders>
              <w:tl2br w:val="nil"/>
              <w:tr2bl w:val="nil"/>
            </w:tcBorders>
            <w:noWrap w:val="0"/>
            <w:vAlign w:val="center"/>
          </w:tcPr>
          <w:p w14:paraId="412D6B4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072" w:type="dxa"/>
            <w:tcBorders>
              <w:tl2br w:val="nil"/>
              <w:tr2bl w:val="nil"/>
            </w:tcBorders>
            <w:shd w:val="clear" w:color="auto" w:fill="auto"/>
            <w:noWrap w:val="0"/>
            <w:vAlign w:val="center"/>
          </w:tcPr>
          <w:p w14:paraId="66CD8145">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pP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土渣直接落料至往复式摇筛出料口下方皮带输送机（此落料点位于封闭的筛分间内，通过筛分间集气措施收集落料点产生的颗粒物），通过皮带机输送至筛分间外（预处理车间内），此落料点上方设置集气罩，并设置伞状喷雾抑尘装置（设置电伴热装置），喷雾抑尘装置范围覆盖整个落料点</w:t>
            </w:r>
          </w:p>
        </w:tc>
        <w:tc>
          <w:tcPr>
            <w:tcW w:w="812" w:type="dxa"/>
            <w:vMerge w:val="continue"/>
            <w:tcBorders>
              <w:tl2br w:val="nil"/>
              <w:tr2bl w:val="nil"/>
            </w:tcBorders>
            <w:shd w:val="clear" w:color="auto" w:fill="auto"/>
            <w:noWrap w:val="0"/>
            <w:vAlign w:val="center"/>
          </w:tcPr>
          <w:p w14:paraId="1013C25C">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2136" w:type="dxa"/>
            <w:vMerge w:val="continue"/>
            <w:tcBorders>
              <w:tl2br w:val="nil"/>
              <w:tr2bl w:val="nil"/>
            </w:tcBorders>
            <w:noWrap w:val="0"/>
            <w:vAlign w:val="center"/>
          </w:tcPr>
          <w:p w14:paraId="1416ED4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p>
        </w:tc>
      </w:tr>
      <w:tr w14:paraId="4F9A683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536" w:hRule="atLeast"/>
          <w:jc w:val="center"/>
        </w:trPr>
        <w:tc>
          <w:tcPr>
            <w:tcW w:w="1258" w:type="dxa"/>
            <w:vMerge w:val="continue"/>
            <w:tcBorders>
              <w:tl2br w:val="nil"/>
              <w:tr2bl w:val="nil"/>
            </w:tcBorders>
            <w:noWrap w:val="0"/>
            <w:vAlign w:val="center"/>
          </w:tcPr>
          <w:p w14:paraId="7001CD30">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839" w:type="dxa"/>
            <w:vMerge w:val="continue"/>
            <w:tcBorders>
              <w:tl2br w:val="nil"/>
              <w:tr2bl w:val="nil"/>
            </w:tcBorders>
            <w:noWrap w:val="0"/>
            <w:vAlign w:val="center"/>
          </w:tcPr>
          <w:p w14:paraId="6E7293A6">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736" w:type="dxa"/>
            <w:vMerge w:val="continue"/>
            <w:tcBorders>
              <w:tl2br w:val="nil"/>
              <w:tr2bl w:val="nil"/>
            </w:tcBorders>
            <w:noWrap w:val="0"/>
            <w:vAlign w:val="center"/>
          </w:tcPr>
          <w:p w14:paraId="3F736388">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895" w:type="dxa"/>
            <w:vMerge w:val="continue"/>
            <w:tcBorders>
              <w:tl2br w:val="nil"/>
              <w:tr2bl w:val="nil"/>
            </w:tcBorders>
            <w:noWrap w:val="0"/>
            <w:vAlign w:val="center"/>
          </w:tcPr>
          <w:p w14:paraId="1DD14632">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3072" w:type="dxa"/>
            <w:tcBorders>
              <w:tl2br w:val="nil"/>
              <w:tr2bl w:val="nil"/>
            </w:tcBorders>
            <w:shd w:val="clear" w:color="auto" w:fill="auto"/>
            <w:noWrap w:val="0"/>
            <w:vAlign w:val="center"/>
          </w:tcPr>
          <w:p w14:paraId="01488B85">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b w:val="0"/>
                <w:bCs w:val="0"/>
                <w:snapToGrid w:val="0"/>
                <w:color w:val="000000" w:themeColor="text1"/>
                <w:kern w:val="0"/>
                <w:sz w:val="24"/>
                <w:szCs w:val="24"/>
                <w:highlight w:val="none"/>
                <w:vertAlign w:val="baseline"/>
                <w:lang w:val="en-US" w:eastAsia="zh-CN" w:bidi="ar-SA"/>
                <w14:textFill>
                  <w14:solidFill>
                    <w14:schemeClr w14:val="tx1"/>
                  </w14:solidFill>
                </w14:textFill>
              </w:rPr>
              <w:t>合格矿石原料落料至筛分间外（预处理车间内），落料点上方设置集气罩，并设置伞状喷雾抑尘装置（设置电伴热装置），喷雾抑尘装置范围覆盖整个落料点</w:t>
            </w:r>
          </w:p>
        </w:tc>
        <w:tc>
          <w:tcPr>
            <w:tcW w:w="812" w:type="dxa"/>
            <w:vMerge w:val="continue"/>
            <w:tcBorders>
              <w:tl2br w:val="nil"/>
              <w:tr2bl w:val="nil"/>
            </w:tcBorders>
            <w:shd w:val="clear" w:color="auto" w:fill="auto"/>
            <w:noWrap w:val="0"/>
            <w:vAlign w:val="center"/>
          </w:tcPr>
          <w:p w14:paraId="28A33E1A">
            <w:pPr>
              <w:pStyle w:val="80"/>
              <w:keepNext w:val="0"/>
              <w:keepLines w:val="0"/>
              <w:pageBreakBefore w:val="0"/>
              <w:widowControl w:val="0"/>
              <w:numPr>
                <w:ilvl w:val="0"/>
                <w:numId w:val="0"/>
              </w:numPr>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2136" w:type="dxa"/>
            <w:vMerge w:val="continue"/>
            <w:tcBorders>
              <w:tl2br w:val="nil"/>
              <w:tr2bl w:val="nil"/>
            </w:tcBorders>
            <w:noWrap w:val="0"/>
            <w:vAlign w:val="center"/>
          </w:tcPr>
          <w:p w14:paraId="586E873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p>
        </w:tc>
      </w:tr>
      <w:tr w14:paraId="3F1DCB7C">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045" w:hRule="atLeast"/>
          <w:jc w:val="center"/>
        </w:trPr>
        <w:tc>
          <w:tcPr>
            <w:tcW w:w="1258" w:type="dxa"/>
            <w:vMerge w:val="continue"/>
            <w:tcBorders>
              <w:tl2br w:val="nil"/>
              <w:tr2bl w:val="nil"/>
            </w:tcBorders>
            <w:noWrap w:val="0"/>
            <w:vAlign w:val="center"/>
          </w:tcPr>
          <w:p w14:paraId="13A9DD57">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1575" w:type="dxa"/>
            <w:gridSpan w:val="2"/>
            <w:tcBorders>
              <w:tl2br w:val="nil"/>
              <w:tr2bl w:val="nil"/>
            </w:tcBorders>
            <w:noWrap w:val="0"/>
            <w:vAlign w:val="center"/>
          </w:tcPr>
          <w:p w14:paraId="3AECB619">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不合格矿石原料装卸、堆存过程</w:t>
            </w:r>
          </w:p>
        </w:tc>
        <w:tc>
          <w:tcPr>
            <w:tcW w:w="895" w:type="dxa"/>
            <w:tcBorders>
              <w:tl2br w:val="nil"/>
              <w:tr2bl w:val="nil"/>
            </w:tcBorders>
            <w:noWrap w:val="0"/>
            <w:vAlign w:val="center"/>
          </w:tcPr>
          <w:p w14:paraId="77EFF1B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caps w:val="0"/>
                <w:smallCaps w:val="0"/>
                <w:color w:val="000000" w:themeColor="text1"/>
                <w:spacing w:val="0"/>
                <w:position w:val="0"/>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884" w:type="dxa"/>
            <w:gridSpan w:val="2"/>
            <w:vMerge w:val="restart"/>
            <w:tcBorders>
              <w:tl2br w:val="nil"/>
              <w:tr2bl w:val="nil"/>
            </w:tcBorders>
            <w:shd w:val="clear" w:color="auto" w:fill="auto"/>
            <w:noWrap w:val="0"/>
            <w:vAlign w:val="center"/>
          </w:tcPr>
          <w:p w14:paraId="3ED3833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⑴</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装卸过程在封闭的</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预处理</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车间内进行，</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预处理车间设置</w:t>
            </w:r>
            <w:r>
              <w:rPr>
                <w:rFonts w:hint="eastAsia" w:cs="Times New Roman"/>
                <w:color w:val="000000" w:themeColor="text1"/>
                <w:kern w:val="0"/>
                <w:sz w:val="24"/>
                <w:szCs w:val="24"/>
                <w:highlight w:val="none"/>
                <w:lang w:val="en-US" w:eastAsia="zh-CN"/>
                <w14:textFill>
                  <w14:solidFill>
                    <w14:schemeClr w14:val="tx1"/>
                  </w14:solidFill>
                </w14:textFill>
              </w:rPr>
              <w:t>6台雾炮</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，保证不合格矿石原料、合格矿石原料、土渣装卸区域全部覆盖</w:t>
            </w:r>
            <w:r>
              <w:rPr>
                <w:rFonts w:hint="eastAsia" w:ascii="Times New Roman" w:hAnsi="Times New Roman" w:eastAsia="宋体" w:cs="Times New Roman"/>
                <w:b w:val="0"/>
                <w:bCs w:val="0"/>
                <w:snapToGrid w:val="0"/>
                <w:color w:val="000000" w:themeColor="text1"/>
                <w:kern w:val="0"/>
                <w:sz w:val="24"/>
                <w:szCs w:val="24"/>
                <w:highlight w:val="none"/>
                <w:lang w:val="en-US" w:eastAsia="zh-CN"/>
                <w14:textFill>
                  <w14:solidFill>
                    <w14:schemeClr w14:val="tx1"/>
                  </w14:solidFill>
                </w14:textFill>
              </w:rPr>
              <w:t>，可有效降低原料区扬尘污染</w:t>
            </w:r>
            <w:r>
              <w:rPr>
                <w:rFonts w:hint="eastAsia" w:ascii="Times New Roman" w:hAnsi="Times New Roman" w:cs="Times New Roman"/>
                <w:b w:val="0"/>
                <w:bCs w:val="0"/>
                <w:snapToGrid w:val="0"/>
                <w:color w:val="000000" w:themeColor="text1"/>
                <w:kern w:val="0"/>
                <w:sz w:val="24"/>
                <w:szCs w:val="24"/>
                <w:highlight w:val="none"/>
                <w:lang w:val="en-US" w:eastAsia="zh-CN"/>
                <w14:textFill>
                  <w14:solidFill>
                    <w14:schemeClr w14:val="tx1"/>
                  </w14:solidFill>
                </w14:textFill>
              </w:rPr>
              <w:t>；</w:t>
            </w:r>
          </w:p>
          <w:p w14:paraId="7D0F3D7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⑵</w:t>
            </w:r>
            <w:r>
              <w:rPr>
                <w:rFonts w:hint="eastAsia" w:cs="Times New Roman"/>
                <w:color w:val="000000" w:themeColor="text1"/>
                <w:kern w:val="0"/>
                <w:sz w:val="24"/>
                <w:szCs w:val="24"/>
                <w:highlight w:val="none"/>
                <w:lang w:val="en-US" w:eastAsia="zh-CN"/>
                <w14:textFill>
                  <w14:solidFill>
                    <w14:schemeClr w14:val="tx1"/>
                  </w14:solidFill>
                </w14:textFill>
              </w:rPr>
              <w:t>不合格矿石原料上料仓设置伞状喷雾抑尘装置</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，喷雾抑尘装置范围应覆盖整个落料点（电伴热）；</w:t>
            </w:r>
            <w:r>
              <w:rPr>
                <w:rFonts w:hint="eastAsia" w:cs="Times New Roman"/>
                <w:color w:val="000000" w:themeColor="text1"/>
                <w:kern w:val="0"/>
                <w:sz w:val="24"/>
                <w:szCs w:val="24"/>
                <w:highlight w:val="none"/>
                <w:lang w:val="en-US" w:eastAsia="zh-CN"/>
                <w14:textFill>
                  <w14:solidFill>
                    <w14:schemeClr w14:val="tx1"/>
                  </w14:solidFill>
                </w14:textFill>
              </w:rPr>
              <w:t>往复式摇筛</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落料</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点（2处）分别设置伞状喷雾抑尘装置（设置电伴热装置），喷雾抑尘装置范围应覆盖整个落料点；</w:t>
            </w:r>
          </w:p>
          <w:p w14:paraId="371DB6D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⑶</w:t>
            </w:r>
            <w:r>
              <w:rPr>
                <w:rFonts w:ascii="宋体" w:hAnsi="宋体" w:eastAsia="宋体" w:cs="宋体"/>
                <w:color w:val="000000" w:themeColor="text1"/>
                <w:sz w:val="24"/>
                <w:szCs w:val="24"/>
                <w:highlight w:val="none"/>
                <w14:textFill>
                  <w14:solidFill>
                    <w14:schemeClr w14:val="tx1"/>
                  </w14:solidFill>
                </w14:textFill>
              </w:rPr>
              <w:t>预处理车间与现有工程原料库直接相连，不另行单独设置出入口，人员及物料进出均依托现有工程原料库出入口。原料库已配备自动感应门，物料输送系统采用全封闭</w:t>
            </w:r>
            <w:r>
              <w:rPr>
                <w:rFonts w:hint="eastAsia" w:ascii="宋体" w:hAnsi="宋体" w:cs="宋体"/>
                <w:color w:val="000000" w:themeColor="text1"/>
                <w:sz w:val="24"/>
                <w:szCs w:val="24"/>
                <w:highlight w:val="none"/>
                <w:lang w:eastAsia="zh-CN"/>
                <w14:textFill>
                  <w14:solidFill>
                    <w14:schemeClr w14:val="tx1"/>
                  </w14:solidFill>
                </w14:textFill>
              </w:rPr>
              <w:t>设计，可有</w:t>
            </w:r>
            <w:r>
              <w:rPr>
                <w:rFonts w:ascii="宋体" w:hAnsi="宋体" w:eastAsia="宋体" w:cs="宋体"/>
                <w:color w:val="000000" w:themeColor="text1"/>
                <w:sz w:val="24"/>
                <w:szCs w:val="24"/>
                <w:highlight w:val="none"/>
                <w14:textFill>
                  <w14:solidFill>
                    <w14:schemeClr w14:val="tx1"/>
                  </w14:solidFill>
                </w14:textFill>
              </w:rPr>
              <w:t>效控制无组织排放</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p>
          <w:p w14:paraId="276E0C0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⑷</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车间及厂区道路地面全部硬化，</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未硬化的区域应采取绿化措施；</w:t>
            </w:r>
          </w:p>
          <w:p w14:paraId="29E3D6A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jc w:val="left"/>
              <w:textAlignment w:val="auto"/>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⑸</w:t>
            </w:r>
            <w:r>
              <w:rPr>
                <w:rFonts w:hint="eastAsia" w:cs="Times New Roman"/>
                <w:color w:val="000000" w:themeColor="text1"/>
                <w:kern w:val="0"/>
                <w:sz w:val="24"/>
                <w:szCs w:val="24"/>
                <w:highlight w:val="none"/>
                <w:lang w:val="en-US" w:eastAsia="zh-CN"/>
                <w14:textFill>
                  <w14:solidFill>
                    <w14:schemeClr w14:val="tx1"/>
                  </w14:solidFill>
                </w14:textFill>
              </w:rPr>
              <w:t>运输车辆车斗采用苫布苫盖；</w:t>
            </w:r>
          </w:p>
          <w:p w14:paraId="51D8B87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left"/>
              <w:textAlignment w:val="auto"/>
              <w:rPr>
                <w:rFonts w:hint="eastAsia"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⑹</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现有工程已设置车辆洗车平台，并配套建设沉淀池、清水池等废水处理设施。本项目</w:t>
            </w:r>
            <w:r>
              <w:rPr>
                <w:rFonts w:hint="eastAsia" w:cs="Times New Roman"/>
                <w:color w:val="000000" w:themeColor="text1"/>
                <w:kern w:val="0"/>
                <w:sz w:val="24"/>
                <w:szCs w:val="24"/>
                <w:highlight w:val="none"/>
                <w:lang w:val="en-US" w:eastAsia="zh-CN"/>
                <w14:textFill>
                  <w14:solidFill>
                    <w14:schemeClr w14:val="tx1"/>
                  </w14:solidFill>
                </w14:textFill>
              </w:rPr>
              <w:t>新增运输车辆</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清洗作业依托现有洗车平台统一实施</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p>
        </w:tc>
        <w:tc>
          <w:tcPr>
            <w:tcW w:w="2136" w:type="dxa"/>
            <w:vMerge w:val="restart"/>
            <w:tcBorders>
              <w:tl2br w:val="nil"/>
              <w:tr2bl w:val="nil"/>
            </w:tcBorders>
            <w:noWrap w:val="0"/>
            <w:vAlign w:val="center"/>
          </w:tcPr>
          <w:p w14:paraId="7876D50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0" w:lineRule="atLeast"/>
              <w:ind w:left="0" w:right="0" w:firstLine="0"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《2019年“十项重点工作”工作方案》</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唐办发</w:t>
            </w:r>
            <w:r>
              <w:rPr>
                <w:rFonts w:hint="eastAsia"/>
                <w:color w:val="000000" w:themeColor="text1"/>
                <w:szCs w:val="24"/>
                <w:highlight w:val="none"/>
                <w:lang w:eastAsia="zh-CN"/>
                <w14:textFill>
                  <w14:solidFill>
                    <w14:schemeClr w14:val="tx1"/>
                  </w14:solidFill>
                </w14:textFill>
              </w:rPr>
              <w:t>﹝2019﹞</w:t>
            </w:r>
            <w:r>
              <w:rPr>
                <w:rFonts w:hint="eastAsia"/>
                <w:color w:val="000000" w:themeColor="text1"/>
                <w:szCs w:val="24"/>
                <w:highlight w:val="none"/>
                <w14:textFill>
                  <w14:solidFill>
                    <w14:schemeClr w14:val="tx1"/>
                  </w14:solidFill>
                </w14:textFill>
              </w:rPr>
              <w:t>3号</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排放限值要求</w:t>
            </w:r>
            <w:r>
              <w:rPr>
                <w:rFonts w:hint="eastAsia"/>
                <w:color w:val="000000" w:themeColor="text1"/>
                <w:szCs w:val="24"/>
                <w:highlight w:val="none"/>
                <w:lang w:eastAsia="zh-CN"/>
                <w14:textFill>
                  <w14:solidFill>
                    <w14:schemeClr w14:val="tx1"/>
                  </w14:solidFill>
                </w14:textFill>
              </w:rPr>
              <w:t>：厂界无组织颗粒物浓度不超过0.5mg/m</w:t>
            </w:r>
            <w:r>
              <w:rPr>
                <w:rFonts w:hint="eastAsia"/>
                <w:color w:val="000000" w:themeColor="text1"/>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生产车间外无组织颗粒物</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满足</w:t>
            </w:r>
            <w:r>
              <w:rPr>
                <w:rFonts w:hint="eastAsia"/>
                <w:color w:val="000000" w:themeColor="text1"/>
                <w:szCs w:val="24"/>
                <w:highlight w:val="none"/>
                <w14:textFill>
                  <w14:solidFill>
                    <w14:schemeClr w14:val="tx1"/>
                  </w14:solidFill>
                </w14:textFill>
              </w:rPr>
              <w:t>《</w:t>
            </w:r>
            <w:r>
              <w:rPr>
                <w:rFonts w:hint="eastAsia"/>
                <w:color w:val="000000" w:themeColor="text1"/>
                <w:szCs w:val="24"/>
                <w:highlight w:val="none"/>
                <w:lang w:eastAsia="zh-CN"/>
                <w14:textFill>
                  <w14:solidFill>
                    <w14:schemeClr w14:val="tx1"/>
                  </w14:solidFill>
                </w14:textFill>
              </w:rPr>
              <w:t>石灰工业大气污染物排放标准</w:t>
            </w:r>
            <w:r>
              <w:rPr>
                <w:rFonts w:hint="eastAsia"/>
                <w:color w:val="000000" w:themeColor="text1"/>
                <w:szCs w:val="24"/>
                <w:highlight w:val="none"/>
                <w14:textFill>
                  <w14:solidFill>
                    <w14:schemeClr w14:val="tx1"/>
                  </w14:solidFill>
                </w14:textFill>
              </w:rPr>
              <w:t>》</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DB</w:t>
            </w:r>
            <w:r>
              <w:rPr>
                <w:rFonts w:hint="eastAsia"/>
                <w:color w:val="000000" w:themeColor="text1"/>
                <w:szCs w:val="24"/>
                <w:highlight w:val="none"/>
                <w:lang w:eastAsia="zh-CN"/>
                <w14:textFill>
                  <w14:solidFill>
                    <w14:schemeClr w14:val="tx1"/>
                  </w14:solidFill>
                </w14:textFill>
              </w:rPr>
              <w:t>13/1641-2025）</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表3企业厂区内大气污染物无组织排放限值5.0mg/m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3</w:t>
            </w:r>
          </w:p>
        </w:tc>
      </w:tr>
      <w:tr w14:paraId="3460A2E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045" w:hRule="atLeast"/>
          <w:jc w:val="center"/>
        </w:trPr>
        <w:tc>
          <w:tcPr>
            <w:tcW w:w="1258" w:type="dxa"/>
            <w:vMerge w:val="continue"/>
            <w:tcBorders>
              <w:tl2br w:val="nil"/>
              <w:tr2bl w:val="nil"/>
            </w:tcBorders>
            <w:noWrap w:val="0"/>
            <w:vAlign w:val="center"/>
          </w:tcPr>
          <w:p w14:paraId="27D58F6A">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1575" w:type="dxa"/>
            <w:gridSpan w:val="2"/>
            <w:tcBorders>
              <w:tl2br w:val="nil"/>
              <w:tr2bl w:val="nil"/>
            </w:tcBorders>
            <w:shd w:val="clear" w:color="auto" w:fill="auto"/>
            <w:noWrap w:val="0"/>
            <w:vAlign w:val="center"/>
          </w:tcPr>
          <w:p w14:paraId="413CC134">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Segoe UI Symbol" w:cs="Times New Roman"/>
                <w:i w:val="0"/>
                <w:iCs w:val="0"/>
                <w:caps w:val="0"/>
                <w:color w:val="000000" w:themeColor="text1"/>
                <w:spacing w:val="0"/>
                <w:kern w:val="2"/>
                <w:sz w:val="24"/>
                <w:szCs w:val="24"/>
                <w:highlight w:val="none"/>
                <w:lang w:val="en-US" w:eastAsia="zh-CN" w:bidi="ar-SA"/>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合格矿石原料、装卸、堆存过程</w:t>
            </w:r>
          </w:p>
        </w:tc>
        <w:tc>
          <w:tcPr>
            <w:tcW w:w="895" w:type="dxa"/>
            <w:tcBorders>
              <w:tl2br w:val="nil"/>
              <w:tr2bl w:val="nil"/>
            </w:tcBorders>
            <w:shd w:val="clear" w:color="auto" w:fill="auto"/>
            <w:noWrap w:val="0"/>
            <w:vAlign w:val="center"/>
          </w:tcPr>
          <w:p w14:paraId="54D94E1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884" w:type="dxa"/>
            <w:gridSpan w:val="2"/>
            <w:vMerge w:val="continue"/>
            <w:tcBorders>
              <w:tl2br w:val="nil"/>
              <w:tr2bl w:val="nil"/>
            </w:tcBorders>
            <w:shd w:val="clear" w:color="auto" w:fill="auto"/>
            <w:noWrap w:val="0"/>
            <w:vAlign w:val="center"/>
          </w:tcPr>
          <w:p w14:paraId="269F792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i w:val="0"/>
                <w:iCs w:val="0"/>
                <w:color w:val="000000" w:themeColor="text1"/>
                <w:kern w:val="0"/>
                <w:sz w:val="24"/>
                <w:szCs w:val="24"/>
                <w:highlight w:val="none"/>
                <w:u w:val="none"/>
                <w:lang w:val="en-US" w:eastAsia="zh-CN" w:bidi="ar"/>
                <w14:textFill>
                  <w14:solidFill>
                    <w14:schemeClr w14:val="tx1"/>
                  </w14:solidFill>
                </w14:textFill>
              </w:rPr>
            </w:pPr>
          </w:p>
        </w:tc>
        <w:tc>
          <w:tcPr>
            <w:tcW w:w="2136" w:type="dxa"/>
            <w:vMerge w:val="continue"/>
            <w:tcBorders>
              <w:tl2br w:val="nil"/>
              <w:tr2bl w:val="nil"/>
            </w:tcBorders>
            <w:noWrap w:val="0"/>
            <w:vAlign w:val="center"/>
          </w:tcPr>
          <w:p w14:paraId="475DE7B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p>
        </w:tc>
      </w:tr>
      <w:tr w14:paraId="550B6AD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045" w:hRule="atLeast"/>
          <w:jc w:val="center"/>
        </w:trPr>
        <w:tc>
          <w:tcPr>
            <w:tcW w:w="1258" w:type="dxa"/>
            <w:vMerge w:val="continue"/>
            <w:tcBorders>
              <w:tl2br w:val="nil"/>
              <w:tr2bl w:val="nil"/>
            </w:tcBorders>
            <w:noWrap w:val="0"/>
            <w:vAlign w:val="center"/>
          </w:tcPr>
          <w:p w14:paraId="02E7E33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right="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1575" w:type="dxa"/>
            <w:gridSpan w:val="2"/>
            <w:tcBorders>
              <w:tl2br w:val="nil"/>
              <w:tr2bl w:val="nil"/>
            </w:tcBorders>
            <w:shd w:val="clear" w:color="auto" w:fill="auto"/>
            <w:noWrap w:val="0"/>
            <w:vAlign w:val="center"/>
          </w:tcPr>
          <w:p w14:paraId="7F75498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Segoe UI Symbol" w:cs="Times New Roman"/>
                <w:i w:val="0"/>
                <w:iCs w:val="0"/>
                <w:caps w:val="0"/>
                <w:color w:val="000000" w:themeColor="text1"/>
                <w:spacing w:val="0"/>
                <w:kern w:val="2"/>
                <w:sz w:val="24"/>
                <w:szCs w:val="24"/>
                <w:highlight w:val="none"/>
                <w:lang w:val="en-US" w:eastAsia="zh-CN" w:bidi="ar-SA"/>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土渣装卸、堆存过程</w:t>
            </w:r>
          </w:p>
        </w:tc>
        <w:tc>
          <w:tcPr>
            <w:tcW w:w="895" w:type="dxa"/>
            <w:tcBorders>
              <w:tl2br w:val="nil"/>
              <w:tr2bl w:val="nil"/>
            </w:tcBorders>
            <w:shd w:val="clear" w:color="auto" w:fill="auto"/>
            <w:noWrap w:val="0"/>
            <w:vAlign w:val="center"/>
          </w:tcPr>
          <w:p w14:paraId="285294BA">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颗粒物</w:t>
            </w:r>
          </w:p>
        </w:tc>
        <w:tc>
          <w:tcPr>
            <w:tcW w:w="3884" w:type="dxa"/>
            <w:gridSpan w:val="2"/>
            <w:vMerge w:val="continue"/>
            <w:tcBorders>
              <w:tl2br w:val="nil"/>
              <w:tr2bl w:val="nil"/>
            </w:tcBorders>
            <w:shd w:val="clear" w:color="auto" w:fill="auto"/>
            <w:noWrap w:val="0"/>
            <w:vAlign w:val="center"/>
          </w:tcPr>
          <w:p w14:paraId="3231EB6E">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cs="Times New Roman"/>
                <w:i w:val="0"/>
                <w:iCs w:val="0"/>
                <w:color w:val="000000" w:themeColor="text1"/>
                <w:kern w:val="0"/>
                <w:sz w:val="24"/>
                <w:szCs w:val="24"/>
                <w:highlight w:val="none"/>
                <w:u w:val="none"/>
                <w:lang w:val="en-US" w:eastAsia="zh-CN" w:bidi="ar"/>
                <w14:textFill>
                  <w14:solidFill>
                    <w14:schemeClr w14:val="tx1"/>
                  </w14:solidFill>
                </w14:textFill>
              </w:rPr>
            </w:pPr>
          </w:p>
        </w:tc>
        <w:tc>
          <w:tcPr>
            <w:tcW w:w="2136" w:type="dxa"/>
            <w:vMerge w:val="continue"/>
            <w:tcBorders>
              <w:tl2br w:val="nil"/>
              <w:tr2bl w:val="nil"/>
            </w:tcBorders>
            <w:noWrap w:val="0"/>
            <w:vAlign w:val="center"/>
          </w:tcPr>
          <w:p w14:paraId="0956073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p>
        </w:tc>
      </w:tr>
      <w:tr w14:paraId="0412F78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45" w:hRule="atLeast"/>
          <w:jc w:val="center"/>
        </w:trPr>
        <w:tc>
          <w:tcPr>
            <w:tcW w:w="1258" w:type="dxa"/>
            <w:vMerge w:val="restart"/>
            <w:tcBorders>
              <w:tl2br w:val="nil"/>
              <w:tr2bl w:val="nil"/>
            </w:tcBorders>
            <w:noWrap w:val="0"/>
            <w:vAlign w:val="center"/>
          </w:tcPr>
          <w:p w14:paraId="4089047F">
            <w:pPr>
              <w:pStyle w:val="43"/>
              <w:keepNext w:val="0"/>
              <w:keepLines w:val="0"/>
              <w:pageBreakBefore w:val="0"/>
              <w:shd w:val="clear"/>
              <w:kinsoku/>
              <w:wordWrap/>
              <w:overflowPunct/>
              <w:topLinePunct w:val="0"/>
              <w:autoSpaceDE/>
              <w:autoSpaceDN/>
              <w:bidi w:val="0"/>
              <w:adjustRightInd/>
              <w:spacing w:before="0" w:after="0"/>
              <w:ind w:right="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地表水环境</w:t>
            </w:r>
          </w:p>
        </w:tc>
        <w:tc>
          <w:tcPr>
            <w:tcW w:w="1575" w:type="dxa"/>
            <w:gridSpan w:val="2"/>
            <w:tcBorders>
              <w:tl2br w:val="nil"/>
              <w:tr2bl w:val="nil"/>
            </w:tcBorders>
            <w:noWrap w:val="0"/>
            <w:vAlign w:val="center"/>
          </w:tcPr>
          <w:p w14:paraId="2D9F28E5">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firstLine="0" w:firstLineChars="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生活污水</w:t>
            </w:r>
          </w:p>
        </w:tc>
        <w:tc>
          <w:tcPr>
            <w:tcW w:w="895" w:type="dxa"/>
            <w:tcBorders>
              <w:tl2br w:val="nil"/>
              <w:tr2bl w:val="nil"/>
            </w:tcBorders>
            <w:noWrap w:val="0"/>
            <w:vAlign w:val="center"/>
          </w:tcPr>
          <w:p w14:paraId="61E78A11">
            <w:pPr>
              <w:pStyle w:val="43"/>
              <w:keepNext w:val="0"/>
              <w:keepLines w:val="0"/>
              <w:pageBreakBefore w:val="0"/>
              <w:widowControl w:val="0"/>
              <w:shd w:val="clear"/>
              <w:kinsoku/>
              <w:wordWrap/>
              <w:overflowPunct/>
              <w:topLinePunct w:val="0"/>
              <w:autoSpaceDE/>
              <w:autoSpaceDN/>
              <w:bidi w:val="0"/>
              <w:adjustRightInd/>
              <w:snapToGrid/>
              <w:spacing w:before="0" w:after="0"/>
              <w:ind w:left="-48" w:leftChars="-20" w:right="-48" w:rightChars="-20" w:firstLine="0" w:firstLineChars="0"/>
              <w:textAlignment w:val="auto"/>
              <w:rPr>
                <w:rFonts w:hint="default" w:ascii="Times New Roman" w:hAnsi="Times New Roman" w:eastAsia="宋体" w:cs="Times New Roman"/>
                <w:color w:val="000000" w:themeColor="text1"/>
                <w:kern w:val="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COD、SS</w:t>
            </w:r>
          </w:p>
        </w:tc>
        <w:tc>
          <w:tcPr>
            <w:tcW w:w="3884" w:type="dxa"/>
            <w:gridSpan w:val="2"/>
            <w:tcBorders>
              <w:tl2br w:val="nil"/>
              <w:tr2bl w:val="nil"/>
            </w:tcBorders>
            <w:noWrap w:val="0"/>
            <w:vAlign w:val="center"/>
          </w:tcPr>
          <w:p w14:paraId="1AE41CCE">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firstLine="0" w:firstLineChars="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水质简单，泼洒抑尘，不外排</w:t>
            </w:r>
          </w:p>
        </w:tc>
        <w:tc>
          <w:tcPr>
            <w:tcW w:w="2136" w:type="dxa"/>
            <w:tcBorders>
              <w:tl2br w:val="nil"/>
              <w:tr2bl w:val="nil"/>
            </w:tcBorders>
            <w:noWrap w:val="0"/>
            <w:vAlign w:val="center"/>
          </w:tcPr>
          <w:p w14:paraId="6D5535A6">
            <w:pPr>
              <w:pStyle w:val="43"/>
              <w:keepNext w:val="0"/>
              <w:keepLines w:val="0"/>
              <w:pageBreakBefore w:val="0"/>
              <w:widowControl w:val="0"/>
              <w:shd w:val="clear"/>
              <w:kinsoku/>
              <w:wordWrap/>
              <w:overflowPunct/>
              <w:topLinePunct w:val="0"/>
              <w:autoSpaceDE/>
              <w:autoSpaceDN/>
              <w:bidi w:val="0"/>
              <w:adjustRightInd/>
              <w:snapToGrid/>
              <w:spacing w:line="264" w:lineRule="auto"/>
              <w:ind w:firstLine="0" w:firstLineChars="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p>
        </w:tc>
      </w:tr>
      <w:tr w14:paraId="747473D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145" w:hRule="atLeast"/>
          <w:jc w:val="center"/>
        </w:trPr>
        <w:tc>
          <w:tcPr>
            <w:tcW w:w="1258" w:type="dxa"/>
            <w:vMerge w:val="continue"/>
            <w:tcBorders>
              <w:tl2br w:val="nil"/>
              <w:tr2bl w:val="nil"/>
            </w:tcBorders>
            <w:noWrap w:val="0"/>
            <w:vAlign w:val="center"/>
          </w:tcPr>
          <w:p w14:paraId="647931F8">
            <w:pPr>
              <w:pStyle w:val="43"/>
              <w:keepNext w:val="0"/>
              <w:keepLines w:val="0"/>
              <w:pageBreakBefore w:val="0"/>
              <w:shd w:val="clear"/>
              <w:kinsoku/>
              <w:wordWrap/>
              <w:overflowPunct/>
              <w:topLinePunct w:val="0"/>
              <w:autoSpaceDE/>
              <w:autoSpaceDN/>
              <w:bidi w:val="0"/>
              <w:adjustRightInd/>
              <w:spacing w:before="0" w:after="0"/>
              <w:ind w:right="0"/>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575" w:type="dxa"/>
            <w:gridSpan w:val="2"/>
            <w:tcBorders>
              <w:tl2br w:val="nil"/>
              <w:tr2bl w:val="nil"/>
            </w:tcBorders>
            <w:noWrap w:val="0"/>
            <w:vAlign w:val="center"/>
          </w:tcPr>
          <w:p w14:paraId="695E84E2">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firstLine="0" w:firstLineChars="0"/>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洗车废水</w:t>
            </w:r>
          </w:p>
        </w:tc>
        <w:tc>
          <w:tcPr>
            <w:tcW w:w="895" w:type="dxa"/>
            <w:tcBorders>
              <w:tl2br w:val="nil"/>
              <w:tr2bl w:val="nil"/>
            </w:tcBorders>
            <w:noWrap w:val="0"/>
            <w:vAlign w:val="center"/>
          </w:tcPr>
          <w:p w14:paraId="4E34B32E">
            <w:pPr>
              <w:pStyle w:val="43"/>
              <w:keepNext w:val="0"/>
              <w:keepLines w:val="0"/>
              <w:pageBreakBefore w:val="0"/>
              <w:widowControl w:val="0"/>
              <w:shd w:val="clear"/>
              <w:kinsoku/>
              <w:wordWrap/>
              <w:overflowPunct/>
              <w:topLinePunct w:val="0"/>
              <w:autoSpaceDE/>
              <w:autoSpaceDN/>
              <w:bidi w:val="0"/>
              <w:adjustRightInd/>
              <w:snapToGrid/>
              <w:spacing w:before="0" w:after="0"/>
              <w:ind w:left="-48" w:leftChars="-20" w:right="-48" w:rightChars="-20" w:firstLine="0" w:firstLineChars="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SS</w:t>
            </w:r>
          </w:p>
        </w:tc>
        <w:tc>
          <w:tcPr>
            <w:tcW w:w="3884" w:type="dxa"/>
            <w:gridSpan w:val="2"/>
            <w:tcBorders>
              <w:tl2br w:val="nil"/>
              <w:tr2bl w:val="nil"/>
            </w:tcBorders>
            <w:noWrap w:val="0"/>
            <w:vAlign w:val="center"/>
          </w:tcPr>
          <w:p w14:paraId="58B73FC6">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ind w:firstLine="0" w:firstLineChars="0"/>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依托现有洗车平台（设置有沉淀池和清水池），洗车废水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经沉淀池沉淀后，上层清水进入清水池回用于运输车辆冲洗</w:t>
            </w:r>
          </w:p>
        </w:tc>
        <w:tc>
          <w:tcPr>
            <w:tcW w:w="2136" w:type="dxa"/>
            <w:tcBorders>
              <w:tl2br w:val="nil"/>
              <w:tr2bl w:val="nil"/>
            </w:tcBorders>
            <w:noWrap w:val="0"/>
            <w:vAlign w:val="center"/>
          </w:tcPr>
          <w:p w14:paraId="444E333F">
            <w:pPr>
              <w:pStyle w:val="43"/>
              <w:keepNext w:val="0"/>
              <w:keepLines w:val="0"/>
              <w:pageBreakBefore w:val="0"/>
              <w:widowControl w:val="0"/>
              <w:shd w:val="clear"/>
              <w:kinsoku/>
              <w:wordWrap/>
              <w:overflowPunct/>
              <w:topLinePunct w:val="0"/>
              <w:autoSpaceDE/>
              <w:autoSpaceDN/>
              <w:bidi w:val="0"/>
              <w:adjustRightInd/>
              <w:snapToGrid/>
              <w:spacing w:line="264" w:lineRule="auto"/>
              <w:ind w:firstLine="0" w:firstLineChars="0"/>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p>
        </w:tc>
      </w:tr>
      <w:tr w14:paraId="2F2CC42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722" w:hRule="atLeast"/>
          <w:jc w:val="center"/>
        </w:trPr>
        <w:tc>
          <w:tcPr>
            <w:tcW w:w="1258" w:type="dxa"/>
            <w:tcBorders>
              <w:tl2br w:val="nil"/>
              <w:tr2bl w:val="nil"/>
            </w:tcBorders>
            <w:noWrap w:val="0"/>
            <w:vAlign w:val="center"/>
          </w:tcPr>
          <w:p w14:paraId="52C27607">
            <w:pPr>
              <w:pStyle w:val="43"/>
              <w:keepNext w:val="0"/>
              <w:keepLines w:val="0"/>
              <w:pageBreakBefore w:val="0"/>
              <w:widowControl w:val="0"/>
              <w:shd w:val="clear"/>
              <w:kinsoku/>
              <w:wordWrap/>
              <w:overflowPunct/>
              <w:topLinePunct w:val="0"/>
              <w:autoSpaceDE/>
              <w:autoSpaceDN/>
              <w:bidi w:val="0"/>
              <w:adjustRightInd/>
              <w:snapToGrid/>
              <w:spacing w:before="0" w:after="0"/>
              <w:ind w:right="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声环境</w:t>
            </w:r>
          </w:p>
        </w:tc>
        <w:tc>
          <w:tcPr>
            <w:tcW w:w="1575" w:type="dxa"/>
            <w:gridSpan w:val="2"/>
            <w:tcBorders>
              <w:tl2br w:val="nil"/>
              <w:tr2bl w:val="nil"/>
            </w:tcBorders>
            <w:noWrap w:val="0"/>
            <w:vAlign w:val="center"/>
          </w:tcPr>
          <w:p w14:paraId="2A6CDAA4">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生产设备运行</w:t>
            </w:r>
          </w:p>
        </w:tc>
        <w:tc>
          <w:tcPr>
            <w:tcW w:w="895" w:type="dxa"/>
            <w:tcBorders>
              <w:tl2br w:val="nil"/>
              <w:tr2bl w:val="nil"/>
            </w:tcBorders>
            <w:noWrap w:val="0"/>
            <w:vAlign w:val="center"/>
          </w:tcPr>
          <w:p w14:paraId="6B708DDD">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噪声</w:t>
            </w:r>
          </w:p>
        </w:tc>
        <w:tc>
          <w:tcPr>
            <w:tcW w:w="3884" w:type="dxa"/>
            <w:gridSpan w:val="2"/>
            <w:tcBorders>
              <w:tl2br w:val="nil"/>
              <w:tr2bl w:val="nil"/>
            </w:tcBorders>
            <w:noWrap w:val="0"/>
            <w:vAlign w:val="center"/>
          </w:tcPr>
          <w:p w14:paraId="7485A463">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基础减振，厂房隔声</w:t>
            </w:r>
          </w:p>
        </w:tc>
        <w:tc>
          <w:tcPr>
            <w:tcW w:w="2136" w:type="dxa"/>
            <w:tcBorders>
              <w:tl2br w:val="nil"/>
              <w:tr2bl w:val="nil"/>
            </w:tcBorders>
            <w:noWrap w:val="0"/>
            <w:vAlign w:val="center"/>
          </w:tcPr>
          <w:p w14:paraId="45BB8087">
            <w:pPr>
              <w:pStyle w:val="43"/>
              <w:keepNext w:val="0"/>
              <w:keepLines w:val="0"/>
              <w:pageBreakBefore w:val="0"/>
              <w:widowControl w:val="0"/>
              <w:shd w:val="clear"/>
              <w:kinsoku/>
              <w:wordWrap/>
              <w:overflowPunct/>
              <w:topLinePunct w:val="0"/>
              <w:autoSpaceDE/>
              <w:autoSpaceDN/>
              <w:bidi w:val="0"/>
              <w:adjustRightInd/>
              <w:snapToGrid/>
              <w:spacing w:before="0" w:after="0" w:line="264" w:lineRule="auto"/>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厂界满足</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工业企业厂界环境噪声排放标准</w:t>
            </w:r>
            <w:r>
              <w:rPr>
                <w:rFonts w:hint="default" w:ascii="Times New Roman" w:hAnsi="Times New Roman" w:cs="Times New Roman"/>
                <w:color w:val="000000" w:themeColor="text1"/>
                <w:sz w:val="24"/>
                <w:szCs w:val="24"/>
                <w:highlight w:val="none"/>
                <w14:textFill>
                  <w14:solidFill>
                    <w14:schemeClr w14:val="tx1"/>
                  </w14:solidFill>
                </w14:textFill>
              </w:rPr>
              <w:t>》（GB</w:t>
            </w:r>
            <w:r>
              <w:rPr>
                <w:rFonts w:hint="eastAsia" w:cs="Times New Roman"/>
                <w:color w:val="000000" w:themeColor="text1"/>
                <w:sz w:val="24"/>
                <w:szCs w:val="24"/>
                <w:highlight w:val="none"/>
                <w:lang w:eastAsia="zh-CN"/>
                <w14:textFill>
                  <w14:solidFill>
                    <w14:schemeClr w14:val="tx1"/>
                  </w14:solidFill>
                </w14:textFill>
              </w:rPr>
              <w:t>12348</w:t>
            </w:r>
            <w:r>
              <w:rPr>
                <w:rFonts w:hint="default" w:ascii="Times New Roman" w:hAnsi="Times New Roman" w:cs="Times New Roman"/>
                <w:color w:val="000000" w:themeColor="text1"/>
                <w:sz w:val="24"/>
                <w:szCs w:val="24"/>
                <w:highlight w:val="none"/>
                <w14:textFill>
                  <w14:solidFill>
                    <w14:schemeClr w14:val="tx1"/>
                  </w14:solidFill>
                </w14:textFill>
              </w:rPr>
              <w:t>-2008）中</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类标准</w:t>
            </w:r>
          </w:p>
        </w:tc>
      </w:tr>
      <w:tr w14:paraId="4BC8531F">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884" w:hRule="atLeast"/>
          <w:jc w:val="center"/>
        </w:trPr>
        <w:tc>
          <w:tcPr>
            <w:tcW w:w="1258" w:type="dxa"/>
            <w:tcBorders>
              <w:tl2br w:val="nil"/>
              <w:tr2bl w:val="nil"/>
            </w:tcBorders>
            <w:noWrap w:val="0"/>
            <w:vAlign w:val="center"/>
          </w:tcPr>
          <w:p w14:paraId="48860607">
            <w:pPr>
              <w:pStyle w:val="43"/>
              <w:keepNext w:val="0"/>
              <w:keepLines w:val="0"/>
              <w:pageBreakBefore w:val="0"/>
              <w:shd w:val="clear"/>
              <w:kinsoku/>
              <w:wordWrap/>
              <w:overflowPunct/>
              <w:topLinePunct w:val="0"/>
              <w:autoSpaceDE/>
              <w:autoSpaceDN/>
              <w:bidi w:val="0"/>
              <w:adjustRightInd/>
              <w:spacing w:before="0" w:after="0"/>
              <w:ind w:right="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电磁辐射</w:t>
            </w:r>
          </w:p>
        </w:tc>
        <w:tc>
          <w:tcPr>
            <w:tcW w:w="1575" w:type="dxa"/>
            <w:gridSpan w:val="2"/>
            <w:tcBorders>
              <w:tl2br w:val="nil"/>
              <w:tr2bl w:val="nil"/>
            </w:tcBorders>
            <w:noWrap w:val="0"/>
            <w:vAlign w:val="center"/>
          </w:tcPr>
          <w:p w14:paraId="45B25B3B">
            <w:pPr>
              <w:pStyle w:val="43"/>
              <w:keepNext w:val="0"/>
              <w:keepLines w:val="0"/>
              <w:pageBreakBefore w:val="0"/>
              <w:widowControl w:val="0"/>
              <w:shd w:val="clear"/>
              <w:kinsoku/>
              <w:wordWrap/>
              <w:overflowPunct/>
              <w:topLinePunct w:val="0"/>
              <w:autoSpaceDE/>
              <w:autoSpaceDN/>
              <w:bidi w:val="0"/>
              <w:adjustRightInd/>
              <w:snapToGrid/>
              <w:spacing w:line="264" w:lineRule="auto"/>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tc>
        <w:tc>
          <w:tcPr>
            <w:tcW w:w="895" w:type="dxa"/>
            <w:tcBorders>
              <w:tl2br w:val="nil"/>
              <w:tr2bl w:val="nil"/>
            </w:tcBorders>
            <w:noWrap w:val="0"/>
            <w:vAlign w:val="center"/>
          </w:tcPr>
          <w:p w14:paraId="03AA0608">
            <w:pPr>
              <w:pStyle w:val="43"/>
              <w:keepNext w:val="0"/>
              <w:keepLines w:val="0"/>
              <w:pageBreakBefore w:val="0"/>
              <w:widowControl w:val="0"/>
              <w:shd w:val="clear"/>
              <w:kinsoku/>
              <w:wordWrap/>
              <w:overflowPunct/>
              <w:topLinePunct w:val="0"/>
              <w:autoSpaceDE/>
              <w:autoSpaceDN/>
              <w:bidi w:val="0"/>
              <w:adjustRightInd/>
              <w:snapToGrid/>
              <w:spacing w:line="264" w:lineRule="auto"/>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tc>
        <w:tc>
          <w:tcPr>
            <w:tcW w:w="3884" w:type="dxa"/>
            <w:gridSpan w:val="2"/>
            <w:tcBorders>
              <w:tl2br w:val="nil"/>
              <w:tr2bl w:val="nil"/>
            </w:tcBorders>
            <w:noWrap w:val="0"/>
            <w:vAlign w:val="center"/>
          </w:tcPr>
          <w:p w14:paraId="37CEFFCA">
            <w:pPr>
              <w:pStyle w:val="43"/>
              <w:keepNext w:val="0"/>
              <w:keepLines w:val="0"/>
              <w:pageBreakBefore w:val="0"/>
              <w:widowControl w:val="0"/>
              <w:shd w:val="clear"/>
              <w:kinsoku/>
              <w:wordWrap/>
              <w:overflowPunct/>
              <w:topLinePunct w:val="0"/>
              <w:autoSpaceDE/>
              <w:autoSpaceDN/>
              <w:bidi w:val="0"/>
              <w:adjustRightInd/>
              <w:snapToGrid/>
              <w:spacing w:line="264" w:lineRule="auto"/>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tc>
        <w:tc>
          <w:tcPr>
            <w:tcW w:w="2136" w:type="dxa"/>
            <w:tcBorders>
              <w:tl2br w:val="nil"/>
              <w:tr2bl w:val="nil"/>
            </w:tcBorders>
            <w:noWrap w:val="0"/>
            <w:vAlign w:val="center"/>
          </w:tcPr>
          <w:p w14:paraId="5BC05B9B">
            <w:pPr>
              <w:pStyle w:val="43"/>
              <w:keepNext w:val="0"/>
              <w:keepLines w:val="0"/>
              <w:pageBreakBefore w:val="0"/>
              <w:widowControl w:val="0"/>
              <w:shd w:val="clear"/>
              <w:kinsoku/>
              <w:wordWrap/>
              <w:overflowPunct/>
              <w:topLinePunct w:val="0"/>
              <w:autoSpaceDE/>
              <w:autoSpaceDN/>
              <w:bidi w:val="0"/>
              <w:adjustRightInd/>
              <w:snapToGrid/>
              <w:spacing w:line="264" w:lineRule="auto"/>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tc>
      </w:tr>
      <w:tr w14:paraId="7DD9A4BB">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675" w:hRule="atLeast"/>
          <w:jc w:val="center"/>
        </w:trPr>
        <w:tc>
          <w:tcPr>
            <w:tcW w:w="1258" w:type="dxa"/>
            <w:vMerge w:val="restart"/>
            <w:tcBorders>
              <w:tl2br w:val="nil"/>
              <w:tr2bl w:val="nil"/>
            </w:tcBorders>
            <w:noWrap w:val="0"/>
            <w:vAlign w:val="center"/>
          </w:tcPr>
          <w:p w14:paraId="067F8B32">
            <w:pPr>
              <w:pStyle w:val="43"/>
              <w:shd w:val="clear"/>
              <w:bidi w:val="0"/>
              <w:ind w:firstLine="0" w:firstLineChars="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固体废物</w:t>
            </w:r>
          </w:p>
        </w:tc>
        <w:tc>
          <w:tcPr>
            <w:tcW w:w="1575" w:type="dxa"/>
            <w:gridSpan w:val="2"/>
            <w:tcBorders>
              <w:tl2br w:val="nil"/>
              <w:tr2bl w:val="nil"/>
            </w:tcBorders>
            <w:noWrap w:val="0"/>
            <w:vAlign w:val="center"/>
          </w:tcPr>
          <w:p w14:paraId="257E5F19">
            <w:pPr>
              <w:keepNext w:val="0"/>
              <w:keepLines w:val="0"/>
              <w:pageBreakBefore w:val="0"/>
              <w:widowControl w:val="0"/>
              <w:shd w:val="clea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一般工业固体废物</w:t>
            </w:r>
          </w:p>
        </w:tc>
        <w:tc>
          <w:tcPr>
            <w:tcW w:w="6915" w:type="dxa"/>
            <w:gridSpan w:val="4"/>
            <w:tcBorders>
              <w:tl2br w:val="nil"/>
              <w:tr2bl w:val="nil"/>
            </w:tcBorders>
            <w:noWrap w:val="0"/>
            <w:vAlign w:val="center"/>
          </w:tcPr>
          <w:p w14:paraId="073D2ECE">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布袋除尘器产生的废布袋，</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更换后，直接外售废品回收站</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除尘灰</w:t>
            </w:r>
            <w:r>
              <w:rPr>
                <w:rFonts w:hint="eastAsia" w:cs="Times New Roman"/>
                <w:b w:val="0"/>
                <w:bCs/>
                <w:color w:val="000000" w:themeColor="text1"/>
                <w:sz w:val="24"/>
                <w:szCs w:val="24"/>
                <w:highlight w:val="none"/>
                <w:lang w:val="en-US" w:eastAsia="zh-CN"/>
                <w14:textFill>
                  <w14:solidFill>
                    <w14:schemeClr w14:val="tx1"/>
                  </w14:solidFill>
                </w14:textFill>
              </w:rPr>
              <w:t>集中</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收集</w:t>
            </w:r>
            <w:r>
              <w:rPr>
                <w:rFonts w:hint="eastAsia" w:cs="Times New Roman"/>
                <w:b w:val="0"/>
                <w:bCs/>
                <w:color w:val="000000" w:themeColor="text1"/>
                <w:sz w:val="24"/>
                <w:szCs w:val="24"/>
                <w:highlight w:val="none"/>
                <w:lang w:val="en-US" w:eastAsia="zh-CN"/>
                <w14:textFill>
                  <w14:solidFill>
                    <w14:schemeClr w14:val="tx1"/>
                  </w14:solidFill>
                </w14:textFill>
              </w:rPr>
              <w:t>，</w:t>
            </w:r>
            <w:r>
              <w:rPr>
                <w:rFonts w:hint="eastAsia" w:cs="Times New Roman"/>
                <w:b w:val="0"/>
                <w:bCs/>
                <w:color w:val="000000" w:themeColor="text1"/>
                <w:sz w:val="24"/>
                <w:szCs w:val="24"/>
                <w:highlight w:val="none"/>
                <w:lang w:eastAsia="zh-CN"/>
                <w14:textFill>
                  <w14:solidFill>
                    <w14:schemeClr w14:val="tx1"/>
                  </w14:solidFill>
                </w14:textFill>
              </w:rPr>
              <w:t>暂存于一般固废暂存间，定期外售水泥厂</w:t>
            </w:r>
            <w:r>
              <w:rPr>
                <w:rFonts w:hint="eastAsia" w:ascii="Times New Roman" w:hAnsi="Times New Roman" w:eastAsia="宋体"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沉淀池污泥定期清理，清理后</w:t>
            </w:r>
            <w:r>
              <w:rPr>
                <w:rFonts w:hint="eastAsia" w:cs="Times New Roman"/>
                <w:b w:val="0"/>
                <w:bCs/>
                <w:color w:val="000000" w:themeColor="text1"/>
                <w:sz w:val="24"/>
                <w:szCs w:val="24"/>
                <w:highlight w:val="none"/>
                <w:lang w:val="en-US" w:eastAsia="zh-CN"/>
                <w14:textFill>
                  <w14:solidFill>
                    <w14:schemeClr w14:val="tx1"/>
                  </w14:solidFill>
                </w14:textFill>
              </w:rPr>
              <w:t>直接外售水泥厂</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；土渣暂存于预处理车间土渣储存区，定期外售水泥厂。</w:t>
            </w:r>
          </w:p>
        </w:tc>
      </w:tr>
      <w:tr w14:paraId="4BD93AB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1258" w:type="dxa"/>
            <w:vMerge w:val="continue"/>
            <w:tcBorders>
              <w:tl2br w:val="nil"/>
              <w:tr2bl w:val="nil"/>
            </w:tcBorders>
            <w:noWrap w:val="0"/>
            <w:vAlign w:val="center"/>
          </w:tcPr>
          <w:p w14:paraId="1F6A3469">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1575" w:type="dxa"/>
            <w:gridSpan w:val="2"/>
            <w:tcBorders>
              <w:tl2br w:val="nil"/>
              <w:tr2bl w:val="nil"/>
            </w:tcBorders>
            <w:noWrap w:val="0"/>
            <w:vAlign w:val="center"/>
          </w:tcPr>
          <w:p w14:paraId="3BD669B9">
            <w:pPr>
              <w:keepNext w:val="0"/>
              <w:keepLines w:val="0"/>
              <w:pageBreakBefore w:val="0"/>
              <w:widowControl w:val="0"/>
              <w:shd w:val="clea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危险废物</w:t>
            </w:r>
          </w:p>
        </w:tc>
        <w:tc>
          <w:tcPr>
            <w:tcW w:w="6915" w:type="dxa"/>
            <w:gridSpan w:val="4"/>
            <w:tcBorders>
              <w:tl2br w:val="nil"/>
              <w:tr2bl w:val="nil"/>
            </w:tcBorders>
            <w:noWrap w:val="0"/>
            <w:vAlign w:val="center"/>
          </w:tcPr>
          <w:p w14:paraId="792C954A">
            <w:pPr>
              <w:keepNext w:val="0"/>
              <w:keepLines w:val="0"/>
              <w:pageBreakBefore w:val="0"/>
              <w:widowControl w:val="0"/>
              <w:shd w:val="clear"/>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废润滑油、</w:t>
            </w:r>
            <w:r>
              <w:rPr>
                <w:rFonts w:hint="eastAsia" w:cs="Times New Roman"/>
                <w:color w:val="000000" w:themeColor="text1"/>
                <w:sz w:val="24"/>
                <w:szCs w:val="24"/>
                <w:highlight w:val="none"/>
                <w:lang w:val="en-US" w:eastAsia="zh-CN"/>
                <w14:textFill>
                  <w14:solidFill>
                    <w14:schemeClr w14:val="tx1"/>
                  </w14:solidFill>
                </w14:textFill>
              </w:rPr>
              <w:t>废润滑油桶</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分类收集，暂存于危险废物暂存间，定期委托</w:t>
            </w:r>
            <w:r>
              <w:rPr>
                <w:rFonts w:hint="eastAsia" w:cs="Times New Roman"/>
                <w:color w:val="000000" w:themeColor="text1"/>
                <w:sz w:val="24"/>
                <w:szCs w:val="24"/>
                <w:highlight w:val="none"/>
                <w:lang w:val="en-US" w:eastAsia="zh-CN"/>
                <w14:textFill>
                  <w14:solidFill>
                    <w14:schemeClr w14:val="tx1"/>
                  </w14:solidFill>
                </w14:textFill>
              </w:rPr>
              <w:t>有资质的危险废物处置单位</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进行处置</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p>
        </w:tc>
      </w:tr>
      <w:tr w14:paraId="7AE4E517">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55" w:hRule="atLeast"/>
          <w:jc w:val="center"/>
        </w:trPr>
        <w:tc>
          <w:tcPr>
            <w:tcW w:w="1258" w:type="dxa"/>
            <w:vMerge w:val="continue"/>
            <w:tcBorders>
              <w:tl2br w:val="nil"/>
              <w:tr2bl w:val="nil"/>
            </w:tcBorders>
            <w:noWrap w:val="0"/>
            <w:vAlign w:val="center"/>
          </w:tcPr>
          <w:p w14:paraId="2974710B">
            <w:pPr>
              <w:keepNext w:val="0"/>
              <w:keepLines w:val="0"/>
              <w:pageBreakBefore w:val="0"/>
              <w:widowControl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c>
          <w:tcPr>
            <w:tcW w:w="1575" w:type="dxa"/>
            <w:gridSpan w:val="2"/>
            <w:tcBorders>
              <w:tl2br w:val="nil"/>
              <w:tr2bl w:val="nil"/>
            </w:tcBorders>
            <w:noWrap w:val="0"/>
            <w:vAlign w:val="center"/>
          </w:tcPr>
          <w:p w14:paraId="7B853E27">
            <w:pPr>
              <w:keepNext w:val="0"/>
              <w:keepLines w:val="0"/>
              <w:pageBreakBefore w:val="0"/>
              <w:widowControl w:val="0"/>
              <w:shd w:val="clear"/>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生活垃圾</w:t>
            </w:r>
          </w:p>
        </w:tc>
        <w:tc>
          <w:tcPr>
            <w:tcW w:w="6915" w:type="dxa"/>
            <w:gridSpan w:val="4"/>
            <w:tcBorders>
              <w:tl2br w:val="nil"/>
              <w:tr2bl w:val="nil"/>
            </w:tcBorders>
            <w:noWrap w:val="0"/>
            <w:vAlign w:val="center"/>
          </w:tcPr>
          <w:p w14:paraId="10AB629B">
            <w:pPr>
              <w:keepNext w:val="0"/>
              <w:keepLines w:val="0"/>
              <w:pageBreakBefore w:val="0"/>
              <w:widowControl w:val="0"/>
              <w:shd w:val="clear"/>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color w:val="000000" w:themeColor="text1"/>
                <w:spacing w:val="-6"/>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本项目职工生活会产生一定量的生活垃圾，主要为废纸、废塑料袋等，袋装化，集中收集，送当地环卫部门指定地点统一处理。</w:t>
            </w:r>
          </w:p>
        </w:tc>
      </w:tr>
      <w:tr w14:paraId="65917D7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2735" w:hRule="atLeast"/>
          <w:jc w:val="center"/>
        </w:trPr>
        <w:tc>
          <w:tcPr>
            <w:tcW w:w="1258" w:type="dxa"/>
            <w:tcBorders>
              <w:tl2br w:val="nil"/>
              <w:tr2bl w:val="nil"/>
            </w:tcBorders>
            <w:noWrap w:val="0"/>
            <w:vAlign w:val="center"/>
          </w:tcPr>
          <w:p w14:paraId="06361731">
            <w:pPr>
              <w:pStyle w:val="43"/>
              <w:shd w:val="clear"/>
              <w:bidi w:val="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土壤及地下水污染防治措施</w:t>
            </w:r>
          </w:p>
        </w:tc>
        <w:tc>
          <w:tcPr>
            <w:tcW w:w="8490" w:type="dxa"/>
            <w:gridSpan w:val="6"/>
            <w:tcBorders>
              <w:tl2br w:val="nil"/>
              <w:tr2bl w:val="nil"/>
            </w:tcBorders>
            <w:noWrap w:val="0"/>
            <w:vAlign w:val="center"/>
          </w:tcPr>
          <w:p w14:paraId="2E9DD0CA">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1"/>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⑴源头控制措施</w:t>
            </w:r>
          </w:p>
          <w:p w14:paraId="3B32A601">
            <w:pPr>
              <w:pStyle w:val="65"/>
              <w:keepNext w:val="0"/>
              <w:keepLines w:val="0"/>
              <w:pageBreakBefore w:val="0"/>
              <w:shd w:val="clear"/>
              <w:kinsoku/>
              <w:wordWrap/>
              <w:overflowPunct/>
              <w:topLinePunct w:val="0"/>
              <w:autoSpaceDE/>
              <w:autoSpaceDN/>
              <w:bidi w:val="0"/>
              <w:spacing w:line="480" w:lineRule="exact"/>
              <w:ind w:firstLine="480" w:firstLineChars="200"/>
              <w:rPr>
                <w:color w:val="000000" w:themeColor="text1"/>
                <w:kern w:val="0"/>
                <w:szCs w:val="24"/>
                <w:highlight w:val="none"/>
                <w:lang w:bidi="ar"/>
                <w14:textFill>
                  <w14:solidFill>
                    <w14:schemeClr w14:val="tx1"/>
                  </w14:solidFill>
                </w14:textFill>
              </w:rPr>
            </w:pPr>
            <w:r>
              <w:rPr>
                <w:color w:val="000000" w:themeColor="text1"/>
                <w:kern w:val="0"/>
                <w:szCs w:val="24"/>
                <w:highlight w:val="none"/>
                <w:lang w:bidi="ar"/>
                <w14:textFill>
                  <w14:solidFill>
                    <w14:schemeClr w14:val="tx1"/>
                  </w14:solidFill>
                </w14:textFill>
              </w:rPr>
              <w:t>源头控制的措施首先是领导重视，全员加强安全生产和环境保护意识，只有这样才有可能从工程建设、生产和建设期后各阶段的工程活动，都能在相关的法律法规约束下，将安全生产和清洁生产作为一种自觉的行动，降低甚至杜绝突发事故的发生。</w:t>
            </w:r>
          </w:p>
          <w:p w14:paraId="3C247D29">
            <w:pPr>
              <w:pStyle w:val="65"/>
              <w:keepNext w:val="0"/>
              <w:keepLines w:val="0"/>
              <w:pageBreakBefore w:val="0"/>
              <w:shd w:val="clear"/>
              <w:kinsoku/>
              <w:wordWrap/>
              <w:overflowPunct/>
              <w:topLinePunct w:val="0"/>
              <w:autoSpaceDE/>
              <w:autoSpaceDN/>
              <w:bidi w:val="0"/>
              <w:spacing w:line="480" w:lineRule="exact"/>
              <w:ind w:firstLine="480" w:firstLineChars="200"/>
              <w:rPr>
                <w:color w:val="000000" w:themeColor="text1"/>
                <w:kern w:val="0"/>
                <w:szCs w:val="24"/>
                <w:highlight w:val="none"/>
                <w:lang w:bidi="ar"/>
                <w14:textFill>
                  <w14:solidFill>
                    <w14:schemeClr w14:val="tx1"/>
                  </w14:solidFill>
                </w14:textFill>
              </w:rPr>
            </w:pPr>
            <w:r>
              <w:rPr>
                <w:color w:val="000000" w:themeColor="text1"/>
                <w:kern w:val="0"/>
                <w:szCs w:val="24"/>
                <w:highlight w:val="none"/>
                <w:lang w:bidi="ar"/>
                <w14:textFill>
                  <w14:solidFill>
                    <w14:schemeClr w14:val="tx1"/>
                  </w14:solidFill>
                </w14:textFill>
              </w:rPr>
              <w:t>加强危险废物暂存间</w:t>
            </w:r>
            <w:r>
              <w:rPr>
                <w:rFonts w:hint="eastAsia"/>
                <w:color w:val="000000" w:themeColor="text1"/>
                <w:kern w:val="0"/>
                <w:szCs w:val="24"/>
                <w:highlight w:val="none"/>
                <w:lang w:bidi="ar"/>
                <w14:textFill>
                  <w14:solidFill>
                    <w14:schemeClr w14:val="tx1"/>
                  </w14:solidFill>
                </w14:textFill>
              </w:rPr>
              <w:t>、</w:t>
            </w:r>
            <w:r>
              <w:rPr>
                <w:rFonts w:hint="eastAsia"/>
                <w:color w:val="000000" w:themeColor="text1"/>
                <w:kern w:val="0"/>
                <w:szCs w:val="24"/>
                <w:highlight w:val="none"/>
                <w:lang w:eastAsia="zh-CN" w:bidi="ar"/>
                <w14:textFill>
                  <w14:solidFill>
                    <w14:schemeClr w14:val="tx1"/>
                  </w14:solidFill>
                </w14:textFill>
              </w:rPr>
              <w:t>生产区</w:t>
            </w:r>
            <w:r>
              <w:rPr>
                <w:color w:val="000000" w:themeColor="text1"/>
                <w:kern w:val="0"/>
                <w:szCs w:val="24"/>
                <w:highlight w:val="none"/>
                <w:lang w:bidi="ar"/>
                <w14:textFill>
                  <w14:solidFill>
                    <w14:schemeClr w14:val="tx1"/>
                  </w14:solidFill>
                </w14:textFill>
              </w:rPr>
              <w:t>的巡视和监控。在项目运营过程中，要定期对设备进行维护，保持设备运行处于良好的状态；定期检查建、构筑物是否存在异常</w:t>
            </w:r>
            <w:r>
              <w:rPr>
                <w:rFonts w:hint="eastAsia"/>
                <w:color w:val="000000" w:themeColor="text1"/>
                <w:kern w:val="0"/>
                <w:szCs w:val="24"/>
                <w:highlight w:val="none"/>
                <w:lang w:bidi="ar"/>
                <w14:textFill>
                  <w14:solidFill>
                    <w14:schemeClr w14:val="tx1"/>
                  </w14:solidFill>
                </w14:textFill>
              </w:rPr>
              <w:t>；</w:t>
            </w:r>
            <w:r>
              <w:rPr>
                <w:bCs/>
                <w:color w:val="000000" w:themeColor="text1"/>
                <w:szCs w:val="24"/>
                <w:highlight w:val="none"/>
                <w:lang w:bidi="ar"/>
                <w14:textFill>
                  <w14:solidFill>
                    <w14:schemeClr w14:val="tx1"/>
                  </w14:solidFill>
                </w14:textFill>
              </w:rPr>
              <w:t>对于</w:t>
            </w:r>
            <w:r>
              <w:rPr>
                <w:rFonts w:hint="eastAsia"/>
                <w:bCs/>
                <w:color w:val="000000" w:themeColor="text1"/>
                <w:szCs w:val="24"/>
                <w:highlight w:val="none"/>
                <w:lang w:eastAsia="zh-CN" w:bidi="ar"/>
                <w14:textFill>
                  <w14:solidFill>
                    <w14:schemeClr w14:val="tx1"/>
                  </w14:solidFill>
                </w14:textFill>
              </w:rPr>
              <w:t>润滑油，</w:t>
            </w:r>
            <w:r>
              <w:rPr>
                <w:bCs/>
                <w:color w:val="000000" w:themeColor="text1"/>
                <w:szCs w:val="24"/>
                <w:highlight w:val="none"/>
                <w:lang w:bidi="ar"/>
                <w14:textFill>
                  <w14:solidFill>
                    <w14:schemeClr w14:val="tx1"/>
                  </w14:solidFill>
                </w14:textFill>
              </w:rPr>
              <w:t>保证其包装完好，装卸、使用、储存过程中不要损坏其包装桶，</w:t>
            </w:r>
            <w:r>
              <w:rPr>
                <w:color w:val="000000" w:themeColor="text1"/>
                <w:kern w:val="0"/>
                <w:szCs w:val="24"/>
                <w:highlight w:val="none"/>
                <w:lang w:bidi="ar"/>
                <w14:textFill>
                  <w14:solidFill>
                    <w14:schemeClr w14:val="tx1"/>
                  </w14:solidFill>
                </w14:textFill>
              </w:rPr>
              <w:t>杜绝</w:t>
            </w:r>
            <w:r>
              <w:rPr>
                <w:rFonts w:hint="eastAsia"/>
                <w:color w:val="000000" w:themeColor="text1"/>
                <w:kern w:val="0"/>
                <w:szCs w:val="24"/>
                <w:highlight w:val="none"/>
                <w:lang w:eastAsia="zh-CN" w:bidi="ar"/>
                <w14:textFill>
                  <w14:solidFill>
                    <w14:schemeClr w14:val="tx1"/>
                  </w14:solidFill>
                </w14:textFill>
              </w:rPr>
              <w:t>润滑油</w:t>
            </w:r>
            <w:r>
              <w:rPr>
                <w:color w:val="000000" w:themeColor="text1"/>
                <w:kern w:val="0"/>
                <w:szCs w:val="24"/>
                <w:highlight w:val="none"/>
                <w:lang w:bidi="ar"/>
                <w14:textFill>
                  <w14:solidFill>
                    <w14:schemeClr w14:val="tx1"/>
                  </w14:solidFill>
                </w14:textFill>
              </w:rPr>
              <w:t>的跑、冒、滴、漏现象产生，力求将泄漏的环境风险事故降低到最低程度。本项目</w:t>
            </w:r>
            <w:r>
              <w:rPr>
                <w:rFonts w:hint="eastAsia"/>
                <w:color w:val="000000" w:themeColor="text1"/>
                <w:kern w:val="0"/>
                <w:szCs w:val="24"/>
                <w:highlight w:val="none"/>
                <w:lang w:bidi="ar"/>
                <w14:textFill>
                  <w14:solidFill>
                    <w14:schemeClr w14:val="tx1"/>
                  </w14:solidFill>
                </w14:textFill>
              </w:rPr>
              <w:t>着重</w:t>
            </w:r>
            <w:r>
              <w:rPr>
                <w:rFonts w:hint="eastAsia"/>
                <w:bCs/>
                <w:color w:val="000000" w:themeColor="text1"/>
                <w:szCs w:val="24"/>
                <w:highlight w:val="none"/>
                <w:lang w:bidi="ar"/>
                <w14:textFill>
                  <w14:solidFill>
                    <w14:schemeClr w14:val="tx1"/>
                  </w14:solidFill>
                </w14:textFill>
              </w:rPr>
              <w:t>对车间内</w:t>
            </w:r>
            <w:r>
              <w:rPr>
                <w:bCs/>
                <w:color w:val="000000" w:themeColor="text1"/>
                <w:szCs w:val="24"/>
                <w:highlight w:val="none"/>
                <w:lang w:bidi="ar"/>
                <w14:textFill>
                  <w14:solidFill>
                    <w14:schemeClr w14:val="tx1"/>
                  </w14:solidFill>
                </w14:textFill>
              </w:rPr>
              <w:t>使用润滑油设备</w:t>
            </w:r>
            <w:r>
              <w:rPr>
                <w:color w:val="000000" w:themeColor="text1"/>
                <w:kern w:val="0"/>
                <w:szCs w:val="24"/>
                <w:highlight w:val="none"/>
                <w:lang w:bidi="ar"/>
                <w14:textFill>
                  <w14:solidFill>
                    <w14:schemeClr w14:val="tx1"/>
                  </w14:solidFill>
                </w14:textFill>
              </w:rPr>
              <w:t>危险废物暂存间定期</w:t>
            </w:r>
            <w:r>
              <w:rPr>
                <w:rFonts w:hint="eastAsia"/>
                <w:color w:val="000000" w:themeColor="text1"/>
                <w:kern w:val="0"/>
                <w:szCs w:val="24"/>
                <w:highlight w:val="none"/>
                <w:lang w:val="en-US" w:eastAsia="zh-CN" w:bidi="ar"/>
                <w14:textFill>
                  <w14:solidFill>
                    <w14:schemeClr w14:val="tx1"/>
                  </w14:solidFill>
                </w14:textFill>
              </w:rPr>
              <w:t>检查维护</w:t>
            </w:r>
            <w:r>
              <w:rPr>
                <w:color w:val="000000" w:themeColor="text1"/>
                <w:kern w:val="0"/>
                <w:szCs w:val="24"/>
                <w:highlight w:val="none"/>
                <w:lang w:bidi="ar"/>
                <w14:textFill>
                  <w14:solidFill>
                    <w14:schemeClr w14:val="tx1"/>
                  </w14:solidFill>
                </w14:textFill>
              </w:rPr>
              <w:t>，对</w:t>
            </w:r>
            <w:r>
              <w:rPr>
                <w:rFonts w:hint="eastAsia"/>
                <w:color w:val="000000" w:themeColor="text1"/>
                <w:kern w:val="0"/>
                <w:szCs w:val="24"/>
                <w:highlight w:val="none"/>
                <w:lang w:bidi="ar"/>
                <w14:textFill>
                  <w14:solidFill>
                    <w14:schemeClr w14:val="tx1"/>
                  </w14:solidFill>
                </w14:textFill>
              </w:rPr>
              <w:t>车间</w:t>
            </w:r>
            <w:r>
              <w:rPr>
                <w:color w:val="000000" w:themeColor="text1"/>
                <w:kern w:val="0"/>
                <w:szCs w:val="24"/>
                <w:highlight w:val="none"/>
                <w:lang w:bidi="ar"/>
                <w14:textFill>
                  <w14:solidFill>
                    <w14:schemeClr w14:val="tx1"/>
                  </w14:solidFill>
                </w14:textFill>
              </w:rPr>
              <w:t>地面防渗措施进行定期检查，保证防渗措施的有效性。</w:t>
            </w:r>
          </w:p>
          <w:p w14:paraId="2BEB2A3F">
            <w:pPr>
              <w:keepNext w:val="0"/>
              <w:keepLines w:val="0"/>
              <w:pageBreakBefore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⑵过程防控措施</w:t>
            </w:r>
          </w:p>
          <w:p w14:paraId="6E34AF4C">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①</w:t>
            </w:r>
            <w:r>
              <w:rPr>
                <w:rFonts w:hint="default" w:ascii="Times New Roman" w:hAnsi="Times New Roman" w:eastAsia="宋体" w:cs="Times New Roman"/>
                <w:color w:val="000000" w:themeColor="text1"/>
                <w:sz w:val="24"/>
                <w:highlight w:val="none"/>
                <w14:textFill>
                  <w14:solidFill>
                    <w14:schemeClr w14:val="tx1"/>
                  </w14:solidFill>
                </w14:textFill>
              </w:rPr>
              <w:t>大气沉降防控措施</w:t>
            </w:r>
          </w:p>
          <w:p w14:paraId="77EC4A11">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在厂区</w:t>
            </w:r>
            <w:r>
              <w:rPr>
                <w:rFonts w:hint="eastAsia" w:cs="Times New Roman"/>
                <w:color w:val="000000" w:themeColor="text1"/>
                <w:sz w:val="24"/>
                <w:highlight w:val="none"/>
                <w:lang w:eastAsia="zh-CN"/>
                <w14:textFill>
                  <w14:solidFill>
                    <w14:schemeClr w14:val="tx1"/>
                  </w14:solidFill>
                </w14:textFill>
              </w:rPr>
              <w:t>内</w:t>
            </w:r>
            <w:r>
              <w:rPr>
                <w:rFonts w:hint="default" w:ascii="Times New Roman" w:hAnsi="Times New Roman" w:eastAsia="宋体" w:cs="Times New Roman"/>
                <w:color w:val="000000" w:themeColor="text1"/>
                <w:sz w:val="24"/>
                <w:highlight w:val="none"/>
                <w14:textFill>
                  <w14:solidFill>
                    <w14:schemeClr w14:val="tx1"/>
                  </w14:solidFill>
                </w14:textFill>
              </w:rPr>
              <w:t>多种植能够吸附粉尘的植物，使项目排放的污染物落至土壤上的量减少，从而减少对土壤的污染。</w:t>
            </w:r>
          </w:p>
          <w:p w14:paraId="3EFF9A0B">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②</w:t>
            </w:r>
            <w:r>
              <w:rPr>
                <w:rFonts w:hint="default" w:ascii="Times New Roman" w:hAnsi="Times New Roman" w:eastAsia="宋体" w:cs="Times New Roman"/>
                <w:color w:val="000000" w:themeColor="text1"/>
                <w:sz w:val="24"/>
                <w:highlight w:val="none"/>
                <w14:textFill>
                  <w14:solidFill>
                    <w14:schemeClr w14:val="tx1"/>
                  </w14:solidFill>
                </w14:textFill>
              </w:rPr>
              <w:t>垂直入渗防控措施</w:t>
            </w:r>
          </w:p>
          <w:p w14:paraId="5C60545C">
            <w:pPr>
              <w:keepNext w:val="0"/>
              <w:keepLines w:val="0"/>
              <w:pageBreakBefore w:val="0"/>
              <w:widowControl/>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sz w:val="24"/>
                <w:szCs w:val="22"/>
                <w:highlight w:val="none"/>
                <w:lang w:bidi="ar"/>
                <w14:textFill>
                  <w14:solidFill>
                    <w14:schemeClr w14:val="tx1"/>
                  </w14:solidFill>
                </w14:textFill>
              </w:rPr>
            </w:pP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对厂区可能泄漏污染物的地面进行防渗处理，可有效防止污染物渗入地下，并及时地将泄漏、渗漏的污染物收集并进行集中处理。</w:t>
            </w:r>
            <w:r>
              <w:rPr>
                <w:rFonts w:hint="eastAsia" w:cs="Times New Roman"/>
                <w:color w:val="000000" w:themeColor="text1"/>
                <w:sz w:val="24"/>
                <w:szCs w:val="21"/>
                <w:highlight w:val="none"/>
                <w:lang w:eastAsia="zh-CN" w:bidi="ar"/>
                <w14:textFill>
                  <w14:solidFill>
                    <w14:schemeClr w14:val="tx1"/>
                  </w14:solidFill>
                </w14:textFill>
              </w:rPr>
              <w:t>现有工程建构筑物已按要求进行了防渗处理。</w:t>
            </w:r>
            <w:r>
              <w:rPr>
                <w:rFonts w:hint="default" w:ascii="Times New Roman" w:hAnsi="Times New Roman" w:eastAsia="宋体" w:cs="Times New Roman"/>
                <w:color w:val="000000" w:themeColor="text1"/>
                <w:sz w:val="24"/>
                <w:szCs w:val="21"/>
                <w:highlight w:val="none"/>
                <w:lang w:bidi="ar"/>
                <w14:textFill>
                  <w14:solidFill>
                    <w14:schemeClr w14:val="tx1"/>
                  </w14:solidFill>
                </w14:textFill>
              </w:rPr>
              <w:t>按照《防渗技术规范》要求</w:t>
            </w:r>
            <w:r>
              <w:rPr>
                <w:rFonts w:hint="eastAsia" w:cs="Times New Roman"/>
                <w:color w:val="000000" w:themeColor="text1"/>
                <w:sz w:val="24"/>
                <w:szCs w:val="21"/>
                <w:highlight w:val="none"/>
                <w:lang w:eastAsia="zh-CN" w:bidi="ar"/>
                <w14:textFill>
                  <w14:solidFill>
                    <w14:schemeClr w14:val="tx1"/>
                  </w14:solidFill>
                </w14:textFill>
              </w:rPr>
              <w:t>对本次新建的预处理车间进行防渗处理。</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防渗措施为采用等效黏土防渗层Mb≥1.5m，K≤1×10</w:t>
            </w:r>
            <w:r>
              <w:rPr>
                <w:rFonts w:hint="default" w:ascii="Times New Roman" w:hAnsi="Times New Roman" w:eastAsia="宋体" w:cs="Times New Roman"/>
                <w:snapToGrid w:val="0"/>
                <w:color w:val="000000" w:themeColor="text1"/>
                <w:kern w:val="0"/>
                <w:sz w:val="24"/>
                <w:szCs w:val="24"/>
                <w:highlight w:val="none"/>
                <w:vertAlign w:val="superscript"/>
                <w14:textFill>
                  <w14:solidFill>
                    <w14:schemeClr w14:val="tx1"/>
                  </w14:solidFill>
                </w14:textFill>
              </w:rPr>
              <w:t>-7</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cm/s，或参考GB</w:t>
            </w:r>
            <w:r>
              <w:rPr>
                <w:rFonts w:hint="eastAsia" w:cs="Times New Roman"/>
                <w:color w:val="000000" w:themeColor="text1"/>
                <w:sz w:val="24"/>
                <w:szCs w:val="22"/>
                <w:highlight w:val="none"/>
                <w:lang w:eastAsia="zh-CN" w:bidi="ar"/>
                <w14:textFill>
                  <w14:solidFill>
                    <w14:schemeClr w14:val="tx1"/>
                  </w14:solidFill>
                </w14:textFill>
              </w:rPr>
              <w:t>16889</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执行。</w:t>
            </w:r>
          </w:p>
          <w:p w14:paraId="0BAADCA5">
            <w:pPr>
              <w:keepNext w:val="0"/>
              <w:keepLines w:val="0"/>
              <w:pageBreakBefore w:val="0"/>
              <w:widowControl w:val="0"/>
              <w:shd w:val="clear"/>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项目对可能产生土壤</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地下水</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影响的各项途径进行有效预防，在做好各项防渗措施，加强维护和厂区环境管理的基础上，可有效控制厂区内的污染物渗漏至土壤</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地下水</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中的现象，避免土壤</w:t>
            </w:r>
            <w:r>
              <w:rPr>
                <w:rFonts w:hint="eastAsia" w:ascii="Times New Roman" w:hAnsi="Times New Roman" w:eastAsia="宋体" w:cs="Times New Roman"/>
                <w:color w:val="000000" w:themeColor="text1"/>
                <w:sz w:val="24"/>
                <w:szCs w:val="22"/>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2"/>
                <w:highlight w:val="none"/>
                <w:lang w:val="en-US" w:eastAsia="zh-CN" w:bidi="ar"/>
                <w14:textFill>
                  <w14:solidFill>
                    <w14:schemeClr w14:val="tx1"/>
                  </w14:solidFill>
                </w14:textFill>
              </w:rPr>
              <w:t>地下水</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的污染。综上所述，项目</w:t>
            </w:r>
            <w:r>
              <w:rPr>
                <w:rFonts w:hint="default" w:ascii="Times New Roman" w:hAnsi="Times New Roman" w:eastAsia="宋体" w:cs="Times New Roman"/>
                <w:color w:val="000000" w:themeColor="text1"/>
                <w:sz w:val="24"/>
                <w:szCs w:val="22"/>
                <w:highlight w:val="none"/>
                <w:lang w:val="en-US" w:eastAsia="zh-CN" w:bidi="ar"/>
                <w14:textFill>
                  <w14:solidFill>
                    <w14:schemeClr w14:val="tx1"/>
                  </w14:solidFill>
                </w14:textFill>
              </w:rPr>
              <w:t>运营</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后对土壤</w:t>
            </w:r>
            <w:r>
              <w:rPr>
                <w:rFonts w:hint="eastAsia" w:ascii="Times New Roman" w:hAnsi="Times New Roman" w:eastAsia="宋体" w:cs="Times New Roman"/>
                <w:color w:val="000000" w:themeColor="text1"/>
                <w:sz w:val="24"/>
                <w:szCs w:val="22"/>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2"/>
                <w:highlight w:val="none"/>
                <w:lang w:val="en-US" w:eastAsia="zh-CN" w:bidi="ar"/>
                <w14:textFill>
                  <w14:solidFill>
                    <w14:schemeClr w14:val="tx1"/>
                  </w14:solidFill>
                </w14:textFill>
              </w:rPr>
              <w:t>地下水</w:t>
            </w:r>
            <w:r>
              <w:rPr>
                <w:rFonts w:hint="default" w:ascii="Times New Roman" w:hAnsi="Times New Roman" w:eastAsia="宋体" w:cs="Times New Roman"/>
                <w:color w:val="000000" w:themeColor="text1"/>
                <w:sz w:val="24"/>
                <w:szCs w:val="22"/>
                <w:highlight w:val="none"/>
                <w:lang w:bidi="ar"/>
                <w14:textFill>
                  <w14:solidFill>
                    <w14:schemeClr w14:val="tx1"/>
                  </w14:solidFill>
                </w14:textFill>
              </w:rPr>
              <w:t>环境影响较小</w:t>
            </w:r>
            <w:r>
              <w:rPr>
                <w:rFonts w:hint="eastAsia" w:ascii="Times New Roman" w:hAnsi="Times New Roman" w:eastAsia="宋体" w:cs="Times New Roman"/>
                <w:color w:val="000000" w:themeColor="text1"/>
                <w:sz w:val="24"/>
                <w:szCs w:val="22"/>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2"/>
                <w:highlight w:val="none"/>
                <w:lang w:val="en-US" w:eastAsia="zh-CN" w:bidi="ar"/>
                <w14:textFill>
                  <w14:solidFill>
                    <w14:schemeClr w14:val="tx1"/>
                  </w14:solidFill>
                </w14:textFill>
              </w:rPr>
              <w:t>措施可行。</w:t>
            </w:r>
          </w:p>
        </w:tc>
      </w:tr>
      <w:tr w14:paraId="4ECA2E74">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385" w:hRule="atLeast"/>
          <w:jc w:val="center"/>
        </w:trPr>
        <w:tc>
          <w:tcPr>
            <w:tcW w:w="1258" w:type="dxa"/>
            <w:tcBorders>
              <w:tl2br w:val="nil"/>
              <w:tr2bl w:val="nil"/>
            </w:tcBorders>
            <w:noWrap w:val="0"/>
            <w:vAlign w:val="center"/>
          </w:tcPr>
          <w:p w14:paraId="1220F634">
            <w:pPr>
              <w:pStyle w:val="43"/>
              <w:shd w:val="clear"/>
              <w:bidi w:val="0"/>
              <w:ind w:firstLine="0" w:firstLineChars="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生态保护措施</w:t>
            </w:r>
          </w:p>
        </w:tc>
        <w:tc>
          <w:tcPr>
            <w:tcW w:w="8490" w:type="dxa"/>
            <w:gridSpan w:val="6"/>
            <w:tcBorders>
              <w:tl2br w:val="nil"/>
              <w:tr2bl w:val="nil"/>
            </w:tcBorders>
            <w:noWrap w:val="0"/>
            <w:vAlign w:val="center"/>
          </w:tcPr>
          <w:p w14:paraId="5E26E395">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本项目位于河北省唐山市滦州市雷庄镇耀隆宝峰矿业有限公司院内，依托原有厂区进行建设，不新增占地，项目用地范围内无生态环境保护目标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r>
      <w:tr w14:paraId="027D76ED">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0" w:hRule="atLeast"/>
          <w:jc w:val="center"/>
        </w:trPr>
        <w:tc>
          <w:tcPr>
            <w:tcW w:w="1258" w:type="dxa"/>
            <w:tcBorders>
              <w:tl2br w:val="nil"/>
              <w:tr2bl w:val="nil"/>
            </w:tcBorders>
            <w:noWrap w:val="0"/>
            <w:vAlign w:val="center"/>
          </w:tcPr>
          <w:p w14:paraId="12D8BBC0">
            <w:pPr>
              <w:pStyle w:val="43"/>
              <w:shd w:val="clear"/>
              <w:bidi w:val="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环境风险防范措施</w:t>
            </w:r>
          </w:p>
        </w:tc>
        <w:tc>
          <w:tcPr>
            <w:tcW w:w="8490" w:type="dxa"/>
            <w:gridSpan w:val="6"/>
            <w:tcBorders>
              <w:tl2br w:val="nil"/>
              <w:tr2bl w:val="nil"/>
            </w:tcBorders>
            <w:noWrap w:val="0"/>
            <w:vAlign w:val="center"/>
          </w:tcPr>
          <w:p w14:paraId="162ADD5F">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eastAsia"/>
                <w:color w:val="000000" w:themeColor="text1"/>
                <w:highlight w:val="none"/>
                <w:lang w:bidi="ar"/>
                <w14:textFill>
                  <w14:solidFill>
                    <w14:schemeClr w14:val="tx1"/>
                  </w14:solidFill>
                </w14:textFill>
              </w:rPr>
            </w:pPr>
            <w:r>
              <w:rPr>
                <w:rFonts w:hint="eastAsia"/>
                <w:color w:val="000000" w:themeColor="text1"/>
                <w:highlight w:val="none"/>
                <w:lang w:bidi="ar"/>
                <w14:textFill>
                  <w14:solidFill>
                    <w14:schemeClr w14:val="tx1"/>
                  </w14:solidFill>
                </w14:textFill>
              </w:rPr>
              <w:t>⑴危险废物暂存间</w:t>
            </w:r>
            <w:r>
              <w:rPr>
                <w:rFonts w:hint="eastAsia"/>
                <w:color w:val="000000" w:themeColor="text1"/>
                <w:highlight w:val="none"/>
                <w:lang w:val="en-US" w:eastAsia="zh-CN" w:bidi="ar"/>
                <w14:textFill>
                  <w14:solidFill>
                    <w14:schemeClr w14:val="tx1"/>
                  </w14:solidFill>
                </w14:textFill>
              </w:rPr>
              <w:t>、预处理车间</w:t>
            </w:r>
            <w:r>
              <w:rPr>
                <w:rFonts w:hint="eastAsia"/>
                <w:color w:val="000000" w:themeColor="text1"/>
                <w:highlight w:val="none"/>
                <w:lang w:bidi="ar"/>
                <w14:textFill>
                  <w14:solidFill>
                    <w14:schemeClr w14:val="tx1"/>
                  </w14:solidFill>
                </w14:textFill>
              </w:rPr>
              <w:t>均采取防腐防渗措施，可有效防止风险物质泄漏污染土壤及地下水。</w:t>
            </w:r>
          </w:p>
          <w:p w14:paraId="4BB2AC56">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000000" w:themeColor="text1"/>
                <w:highlight w:val="none"/>
                <w:lang w:bidi="ar"/>
                <w14:textFill>
                  <w14:solidFill>
                    <w14:schemeClr w14:val="tx1"/>
                  </w14:solidFill>
                </w14:textFill>
              </w:rPr>
            </w:pPr>
            <w:r>
              <w:rPr>
                <w:rFonts w:hint="eastAsia"/>
                <w:color w:val="000000" w:themeColor="text1"/>
                <w:highlight w:val="none"/>
                <w:lang w:bidi="ar"/>
                <w14:textFill>
                  <w14:solidFill>
                    <w14:schemeClr w14:val="tx1"/>
                  </w14:solidFill>
                </w14:textFill>
              </w:rPr>
              <w:t>⑵危险废物暂存间、</w:t>
            </w:r>
            <w:r>
              <w:rPr>
                <w:rFonts w:hint="eastAsia"/>
                <w:color w:val="000000" w:themeColor="text1"/>
                <w:highlight w:val="none"/>
                <w:lang w:val="en-US" w:eastAsia="zh-CN" w:bidi="ar"/>
                <w14:textFill>
                  <w14:solidFill>
                    <w14:schemeClr w14:val="tx1"/>
                  </w14:solidFill>
                </w14:textFill>
              </w:rPr>
              <w:t>预处理车间</w:t>
            </w:r>
            <w:r>
              <w:rPr>
                <w:rFonts w:hint="eastAsia"/>
                <w:color w:val="000000" w:themeColor="text1"/>
                <w:highlight w:val="none"/>
                <w:lang w:bidi="ar"/>
                <w14:textFill>
                  <w14:solidFill>
                    <w14:schemeClr w14:val="tx1"/>
                  </w14:solidFill>
                </w14:textFill>
              </w:rPr>
              <w:t>、厂区内均</w:t>
            </w:r>
            <w:r>
              <w:rPr>
                <w:color w:val="000000" w:themeColor="text1"/>
                <w:highlight w:val="none"/>
                <w:lang w:bidi="ar"/>
                <w14:textFill>
                  <w14:solidFill>
                    <w14:schemeClr w14:val="tx1"/>
                  </w14:solidFill>
                </w14:textFill>
              </w:rPr>
              <w:t>安装监控，并对储存容器、生产设备进行定期检查，按要求规范的进行生产操作，发现潜在危险立即处理。监控中心值班人员认真履行监控职责，坚守岗位，落实各项监控措施，确保监控系统24小时不间断正常运行。</w:t>
            </w:r>
          </w:p>
          <w:p w14:paraId="5FF37198">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color w:val="000000" w:themeColor="text1"/>
                <w:highlight w:val="none"/>
                <w:lang w:bidi="ar"/>
                <w14:textFill>
                  <w14:solidFill>
                    <w14:schemeClr w14:val="tx1"/>
                  </w14:solidFill>
                </w14:textFill>
              </w:rPr>
            </w:pPr>
            <w:r>
              <w:rPr>
                <w:rFonts w:hint="eastAsia"/>
                <w:color w:val="000000" w:themeColor="text1"/>
                <w:highlight w:val="none"/>
                <w:lang w:bidi="ar"/>
                <w14:textFill>
                  <w14:solidFill>
                    <w14:schemeClr w14:val="tx1"/>
                  </w14:solidFill>
                </w14:textFill>
              </w:rPr>
              <w:t>⑶</w:t>
            </w:r>
            <w:r>
              <w:rPr>
                <w:color w:val="000000" w:themeColor="text1"/>
                <w:highlight w:val="none"/>
                <w:lang w:bidi="ar"/>
                <w14:textFill>
                  <w14:solidFill>
                    <w14:schemeClr w14:val="tx1"/>
                  </w14:solidFill>
                </w14:textFill>
              </w:rPr>
              <w:t>制定班组、车间级、厂级严格巡检制度，设专人巡检</w:t>
            </w:r>
            <w:r>
              <w:rPr>
                <w:rFonts w:hint="eastAsia"/>
                <w:color w:val="000000" w:themeColor="text1"/>
                <w:highlight w:val="none"/>
                <w:lang w:bidi="ar"/>
                <w14:textFill>
                  <w14:solidFill>
                    <w14:schemeClr w14:val="tx1"/>
                  </w14:solidFill>
                </w14:textFill>
              </w:rPr>
              <w:t>，</w:t>
            </w:r>
            <w:r>
              <w:rPr>
                <w:color w:val="000000" w:themeColor="text1"/>
                <w:highlight w:val="none"/>
                <w:lang w:bidi="ar"/>
                <w14:textFill>
                  <w14:solidFill>
                    <w14:schemeClr w14:val="tx1"/>
                  </w14:solidFill>
                </w14:textFill>
              </w:rPr>
              <w:t>检查储存设施或容器是否有渗漏或破损，如发现及时采取措施清理更换。</w:t>
            </w:r>
          </w:p>
          <w:p w14:paraId="2E1E86EE">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eastAsia"/>
                <w:color w:val="000000" w:themeColor="text1"/>
                <w:highlight w:val="none"/>
                <w:lang w:bidi="ar"/>
                <w14:textFill>
                  <w14:solidFill>
                    <w14:schemeClr w14:val="tx1"/>
                  </w14:solidFill>
                </w14:textFill>
              </w:rPr>
            </w:pPr>
            <w:r>
              <w:rPr>
                <w:rFonts w:hint="eastAsia"/>
                <w:color w:val="000000" w:themeColor="text1"/>
                <w:highlight w:val="none"/>
                <w:lang w:bidi="ar"/>
                <w14:textFill>
                  <w14:solidFill>
                    <w14:schemeClr w14:val="tx1"/>
                  </w14:solidFill>
                </w14:textFill>
              </w:rPr>
              <w:t>⑷</w:t>
            </w:r>
            <w:r>
              <w:rPr>
                <w:color w:val="000000" w:themeColor="text1"/>
                <w:highlight w:val="none"/>
                <w:lang w:bidi="ar"/>
                <w14:textFill>
                  <w14:solidFill>
                    <w14:schemeClr w14:val="tx1"/>
                  </w14:solidFill>
                </w14:textFill>
              </w:rPr>
              <w:t>设置沙包沙袋、沙土</w:t>
            </w:r>
            <w:r>
              <w:rPr>
                <w:rFonts w:hint="eastAsia"/>
                <w:color w:val="000000" w:themeColor="text1"/>
                <w:highlight w:val="none"/>
                <w:lang w:eastAsia="zh-CN" w:bidi="ar"/>
                <w14:textFill>
                  <w14:solidFill>
                    <w14:schemeClr w14:val="tx1"/>
                  </w14:solidFill>
                </w14:textFill>
              </w:rPr>
              <w:t>储存点</w:t>
            </w:r>
            <w:r>
              <w:rPr>
                <w:color w:val="000000" w:themeColor="text1"/>
                <w:highlight w:val="none"/>
                <w:lang w:bidi="ar"/>
                <w14:textFill>
                  <w14:solidFill>
                    <w14:schemeClr w14:val="tx1"/>
                  </w14:solidFill>
                </w14:textFill>
              </w:rPr>
              <w:t>，</w:t>
            </w:r>
            <w:r>
              <w:rPr>
                <w:rFonts w:hint="eastAsia"/>
                <w:color w:val="000000" w:themeColor="text1"/>
                <w:highlight w:val="none"/>
                <w:lang w:bidi="ar"/>
                <w14:textFill>
                  <w14:solidFill>
                    <w14:schemeClr w14:val="tx1"/>
                  </w14:solidFill>
                </w14:textFill>
              </w:rPr>
              <w:t>一旦发生泄漏事故，立即</w:t>
            </w:r>
            <w:r>
              <w:rPr>
                <w:color w:val="000000" w:themeColor="text1"/>
                <w:highlight w:val="none"/>
                <w:lang w:bidi="ar"/>
                <w14:textFill>
                  <w14:solidFill>
                    <w14:schemeClr w14:val="tx1"/>
                  </w14:solidFill>
                </w14:textFill>
              </w:rPr>
              <w:t>围挡泄漏区域，及时控制。</w:t>
            </w:r>
            <w:r>
              <w:rPr>
                <w:rFonts w:hint="eastAsia"/>
                <w:color w:val="000000" w:themeColor="text1"/>
                <w:highlight w:val="none"/>
                <w:lang w:bidi="ar"/>
                <w14:textFill>
                  <w14:solidFill>
                    <w14:schemeClr w14:val="tx1"/>
                  </w14:solidFill>
                </w14:textFill>
              </w:rPr>
              <w:t>收容的泄漏物及沙土转移至专用收集容器内，送</w:t>
            </w:r>
            <w:r>
              <w:rPr>
                <w:rFonts w:hint="eastAsia"/>
                <w:color w:val="000000" w:themeColor="text1"/>
                <w:highlight w:val="none"/>
                <w:lang w:eastAsia="zh-CN" w:bidi="ar"/>
                <w14:textFill>
                  <w14:solidFill>
                    <w14:schemeClr w14:val="tx1"/>
                  </w14:solidFill>
                </w14:textFill>
              </w:rPr>
              <w:t>有资质的危险废物处置单位</w:t>
            </w:r>
            <w:r>
              <w:rPr>
                <w:rFonts w:hint="eastAsia"/>
                <w:color w:val="000000" w:themeColor="text1"/>
                <w:highlight w:val="none"/>
                <w:lang w:bidi="ar"/>
                <w14:textFill>
                  <w14:solidFill>
                    <w14:schemeClr w14:val="tx1"/>
                  </w14:solidFill>
                </w14:textFill>
              </w:rPr>
              <w:t>处置。</w:t>
            </w:r>
          </w:p>
          <w:p w14:paraId="02F07A93">
            <w:pPr>
              <w:keepNext w:val="0"/>
              <w:keepLines w:val="0"/>
              <w:pageBreakBefore w:val="0"/>
              <w:shd w:val="clea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lang w:eastAsia="zh-CN" w:bidi="ar"/>
                <w14:textFill>
                  <w14:solidFill>
                    <w14:schemeClr w14:val="tx1"/>
                  </w14:solidFill>
                </w14:textFill>
              </w:rPr>
              <w:t>⑸</w:t>
            </w:r>
            <w:r>
              <w:rPr>
                <w:rFonts w:hint="eastAsia"/>
                <w:color w:val="000000" w:themeColor="text1"/>
                <w:highlight w:val="none"/>
                <w:lang w:bidi="ar"/>
                <w14:textFill>
                  <w14:solidFill>
                    <w14:schemeClr w14:val="tx1"/>
                  </w14:solidFill>
                </w14:textFill>
              </w:rPr>
              <w:t>配备相应品种和数量的消防器材及泄漏应急处理设备。</w:t>
            </w:r>
          </w:p>
        </w:tc>
      </w:tr>
      <w:tr w14:paraId="307ED628">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90" w:hRule="atLeast"/>
          <w:jc w:val="center"/>
        </w:trPr>
        <w:tc>
          <w:tcPr>
            <w:tcW w:w="1258" w:type="dxa"/>
            <w:tcBorders>
              <w:tl2br w:val="nil"/>
              <w:tr2bl w:val="nil"/>
            </w:tcBorders>
            <w:noWrap w:val="0"/>
            <w:vAlign w:val="center"/>
          </w:tcPr>
          <w:p w14:paraId="2AD69DC1">
            <w:pPr>
              <w:pStyle w:val="43"/>
              <w:shd w:val="clear"/>
              <w:bidi w:val="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其他环境管理要求</w:t>
            </w:r>
          </w:p>
        </w:tc>
        <w:tc>
          <w:tcPr>
            <w:tcW w:w="8490" w:type="dxa"/>
            <w:gridSpan w:val="6"/>
            <w:tcBorders>
              <w:tl2br w:val="nil"/>
              <w:tr2bl w:val="nil"/>
            </w:tcBorders>
            <w:noWrap w:val="0"/>
            <w:vAlign w:val="center"/>
          </w:tcPr>
          <w:p w14:paraId="23070DAB">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1、环境管理及监测计划</w:t>
            </w:r>
          </w:p>
          <w:p w14:paraId="3B12F38C">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⑴</w:t>
            </w:r>
            <w:r>
              <w:rPr>
                <w:rFonts w:hint="default" w:ascii="Times New Roman" w:hAnsi="Times New Roman" w:cs="Times New Roman"/>
                <w:color w:val="000000" w:themeColor="text1"/>
                <w:sz w:val="24"/>
                <w:szCs w:val="24"/>
                <w:highlight w:val="none"/>
                <w14:textFill>
                  <w14:solidFill>
                    <w14:schemeClr w14:val="tx1"/>
                  </w14:solidFill>
                </w14:textFill>
              </w:rPr>
              <w:t>环境管理措施</w:t>
            </w:r>
          </w:p>
          <w:p w14:paraId="07345502">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本项目实行厂长主管环保工作的领导体制，全面负责环保和安全工作。</w:t>
            </w:r>
          </w:p>
          <w:p w14:paraId="1CE239FA">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①机构组成</w:t>
            </w:r>
          </w:p>
          <w:p w14:paraId="33A11B74">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该厂实行厂长负责主管环保工作的领导体制。</w:t>
            </w:r>
          </w:p>
          <w:p w14:paraId="4BB05B46">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②机构职责</w:t>
            </w:r>
          </w:p>
          <w:p w14:paraId="6129BC00">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color w:val="000000" w:themeColor="text1"/>
                <w:sz w:val="24"/>
                <w:szCs w:val="24"/>
                <w:highlight w:val="none"/>
                <w14:textFill>
                  <w14:solidFill>
                    <w14:schemeClr w14:val="tx1"/>
                  </w14:solidFill>
                </w14:textFill>
              </w:rPr>
              <w:t>贯彻执行环境保护法规及环境保护标准；</w:t>
            </w:r>
          </w:p>
          <w:p w14:paraId="69BB1E71">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b.</w:t>
            </w:r>
            <w:r>
              <w:rPr>
                <w:rFonts w:hint="default" w:ascii="Times New Roman" w:hAnsi="Times New Roman" w:cs="Times New Roman"/>
                <w:color w:val="000000" w:themeColor="text1"/>
                <w:sz w:val="24"/>
                <w:szCs w:val="24"/>
                <w:highlight w:val="none"/>
                <w14:textFill>
                  <w14:solidFill>
                    <w14:schemeClr w14:val="tx1"/>
                  </w14:solidFill>
                </w14:textFill>
              </w:rPr>
              <w:t>建立完善的企业环境保护管理制度，经常监督检查车间执行环保法规情况；</w:t>
            </w:r>
          </w:p>
          <w:p w14:paraId="7F8213C7">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c.</w:t>
            </w:r>
            <w:r>
              <w:rPr>
                <w:rFonts w:hint="default" w:ascii="Times New Roman" w:hAnsi="Times New Roman" w:cs="Times New Roman"/>
                <w:color w:val="000000" w:themeColor="text1"/>
                <w:sz w:val="24"/>
                <w:szCs w:val="24"/>
                <w:highlight w:val="none"/>
                <w14:textFill>
                  <w14:solidFill>
                    <w14:schemeClr w14:val="tx1"/>
                  </w14:solidFill>
                </w14:textFill>
              </w:rPr>
              <w:t>搞好环境保护教育和宣传，提高职工的环境保护意识；</w:t>
            </w:r>
          </w:p>
          <w:p w14:paraId="1C614A13">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组织对基层环保员的培训，提高工作素质；</w:t>
            </w:r>
          </w:p>
          <w:p w14:paraId="510F0833">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e.</w:t>
            </w:r>
            <w:r>
              <w:rPr>
                <w:rFonts w:hint="default" w:ascii="Times New Roman" w:hAnsi="Times New Roman" w:cs="Times New Roman"/>
                <w:color w:val="000000" w:themeColor="text1"/>
                <w:sz w:val="24"/>
                <w:szCs w:val="24"/>
                <w:highlight w:val="none"/>
                <w14:textFill>
                  <w14:solidFill>
                    <w14:schemeClr w14:val="tx1"/>
                  </w14:solidFill>
                </w14:textFill>
              </w:rPr>
              <w:t>定时考核和统计，以保证各项环保设施常年处于良好运行状态，确保全厂污染物排放达到国家排放标准或总量控制指标。</w:t>
            </w:r>
          </w:p>
          <w:p w14:paraId="7B9DF396">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⑵</w:t>
            </w:r>
            <w:r>
              <w:rPr>
                <w:rFonts w:hint="default" w:ascii="Times New Roman" w:hAnsi="Times New Roman" w:cs="Times New Roman"/>
                <w:color w:val="000000" w:themeColor="text1"/>
                <w:sz w:val="24"/>
                <w:szCs w:val="24"/>
                <w:highlight w:val="none"/>
                <w14:textFill>
                  <w14:solidFill>
                    <w14:schemeClr w14:val="tx1"/>
                  </w14:solidFill>
                </w14:textFill>
              </w:rPr>
              <w:t>监测制度</w:t>
            </w:r>
          </w:p>
          <w:p w14:paraId="0236B1A3">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环境监测是环境保护的基础，是进行污染源治理及环保设施运行管理的依据，因而企业应定期对废气、噪声等环保设施运行情况进行监测。</w:t>
            </w:r>
          </w:p>
          <w:p w14:paraId="338077FD">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通过对项目运行中环保设施进行监控，掌握废气、噪声等污染源排放是否符合国家或地方排放标准的要求，做到达标排放，同时对废气、固体废物及噪声防治设施进行监督检查，保证正常运行。</w:t>
            </w:r>
          </w:p>
          <w:p w14:paraId="4659087B">
            <w:pPr>
              <w:pStyle w:val="43"/>
              <w:keepNext w:val="0"/>
              <w:keepLines w:val="0"/>
              <w:pageBreakBefore w:val="0"/>
              <w:widowControl w:val="0"/>
              <w:shd w:val="clear"/>
              <w:kinsoku/>
              <w:wordWrap/>
              <w:overflowPunct/>
              <w:topLinePunct w:val="0"/>
              <w:autoSpaceDE/>
              <w:autoSpaceDN/>
              <w:bidi w:val="0"/>
              <w:adjustRightInd/>
              <w:snapToGrid/>
              <w:spacing w:before="0" w:after="0" w:line="480" w:lineRule="exact"/>
              <w:ind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⑶</w:t>
            </w:r>
            <w:r>
              <w:rPr>
                <w:rFonts w:hint="default" w:ascii="Times New Roman" w:hAnsi="Times New Roman" w:cs="Times New Roman"/>
                <w:color w:val="000000" w:themeColor="text1"/>
                <w:sz w:val="24"/>
                <w:szCs w:val="24"/>
                <w:highlight w:val="none"/>
                <w14:textFill>
                  <w14:solidFill>
                    <w14:schemeClr w14:val="tx1"/>
                  </w14:solidFill>
                </w14:textFill>
              </w:rPr>
              <w:t>环境监测机构及设备配置</w:t>
            </w:r>
          </w:p>
          <w:p w14:paraId="713909A0">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环境监测是环境保护的基础，是进行污染治理和监督管理的依据。根据</w: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fldChar w:fldCharType="begin"/>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instrText xml:space="preserve"> HYPERLINK "http://www.mee.gov.cn/ywgz/fgbz/bz/bzwb/shjbh/xgbzh/201705/W020170511332490849000.pdf" </w:instrTex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fldChar w:fldCharType="separate"/>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t>排污单位自行监测技术指南</w:t>
            </w:r>
            <w:r>
              <w:rPr>
                <w:rFonts w:hint="eastAsia" w:cs="Times New Roman"/>
                <w:b w:val="0"/>
                <w:bCs/>
                <w:i w:val="0"/>
                <w:snapToGrid w:val="0"/>
                <w:color w:val="000000" w:themeColor="text1"/>
                <w:kern w:val="0"/>
                <w:sz w:val="24"/>
                <w:szCs w:val="24"/>
                <w:highlight w:val="none"/>
                <w:lang w:val="en-US" w:eastAsia="zh-CN" w:bidi="ar"/>
                <w14:textFill>
                  <w14:solidFill>
                    <w14:schemeClr w14:val="tx1"/>
                  </w14:solidFill>
                </w14:textFill>
              </w:rPr>
              <w:t xml:space="preserve"> </w: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t>总则</w:t>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fldChar w:fldCharType="end"/>
            </w:r>
            <w:r>
              <w:rPr>
                <w:rFonts w:hint="default" w:ascii="Times New Roman" w:hAnsi="Times New Roman" w:eastAsia="宋体" w:cs="Times New Roman"/>
                <w:b w:val="0"/>
                <w:bCs/>
                <w:i w:val="0"/>
                <w:snapToGrid w:val="0"/>
                <w:color w:val="000000" w:themeColor="text1"/>
                <w:kern w:val="0"/>
                <w:sz w:val="24"/>
                <w:szCs w:val="24"/>
                <w:highlight w:val="none"/>
                <w:lang w:val="en-US" w:eastAsia="zh-CN" w:bidi="ar"/>
                <w14:textFill>
                  <w14:solidFill>
                    <w14:schemeClr w14:val="tx1"/>
                  </w14:solidFill>
                </w14:textFill>
              </w:rPr>
              <w:t>》（HJ819-2017）</w:t>
            </w:r>
            <w:r>
              <w:rPr>
                <w:rFonts w:hint="eastAsia" w:cs="Times New Roman"/>
                <w:b w:val="0"/>
                <w:bCs/>
                <w:i w:val="0"/>
                <w:snapToGrid w:val="0"/>
                <w:color w:val="000000" w:themeColor="text1"/>
                <w:kern w:val="0"/>
                <w:sz w:val="24"/>
                <w:szCs w:val="24"/>
                <w:highlight w:val="none"/>
                <w:lang w:val="en-US" w:eastAsia="zh-CN" w:bidi="ar"/>
                <w14:textFill>
                  <w14:solidFill>
                    <w14:schemeClr w14:val="tx1"/>
                  </w14:solidFill>
                </w14:textFill>
              </w:rPr>
              <w:t>和</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排污许可证申请与核发技术规范 工业噪声</w:t>
            </w:r>
            <w:r>
              <w:rPr>
                <w:rFonts w:hint="eastAsia"/>
                <w:color w:val="000000" w:themeColor="text1"/>
                <w:highlight w:val="none"/>
                <w:lang w:eastAsia="zh-CN"/>
                <w14:textFill>
                  <w14:solidFill>
                    <w14:schemeClr w14:val="tx1"/>
                  </w14:solidFill>
                </w14:textFill>
              </w:rPr>
              <w:t>》等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要求，本评价建议企业环境监测工作可委托当地有资质的环境监测机构承担。</w:t>
            </w:r>
          </w:p>
          <w:p w14:paraId="19DC38D7">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⑷</w:t>
            </w:r>
            <w:r>
              <w:rPr>
                <w:rFonts w:hint="default" w:ascii="Times New Roman" w:hAnsi="Times New Roman" w:cs="Times New Roman"/>
                <w:color w:val="000000" w:themeColor="text1"/>
                <w:sz w:val="24"/>
                <w:szCs w:val="24"/>
                <w:highlight w:val="none"/>
                <w14:textFill>
                  <w14:solidFill>
                    <w14:schemeClr w14:val="tx1"/>
                  </w14:solidFill>
                </w14:textFill>
              </w:rPr>
              <w:t>监测计划</w:t>
            </w:r>
          </w:p>
          <w:p w14:paraId="06E6B8D0">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按</w:t>
            </w:r>
            <w:r>
              <w:rPr>
                <w:rFonts w:hint="default" w:ascii="Times New Roman" w:hAnsi="Times New Roman" w:cs="Times New Roman"/>
                <w:color w:val="000000" w:themeColor="text1"/>
                <w:sz w:val="24"/>
                <w:szCs w:val="24"/>
                <w:highlight w:val="none"/>
                <w14:textFill>
                  <w14:solidFill>
                    <w14:schemeClr w14:val="tx1"/>
                  </w14:solidFill>
                </w14:textFill>
              </w:rPr>
              <w:t>监测计划</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进行检测</w:t>
            </w:r>
            <w:r>
              <w:rPr>
                <w:rFonts w:hint="default" w:ascii="Times New Roman" w:hAnsi="Times New Roman" w:cs="Times New Roman"/>
                <w:color w:val="000000" w:themeColor="text1"/>
                <w:sz w:val="24"/>
                <w:szCs w:val="24"/>
                <w:highlight w:val="none"/>
                <w14:textFill>
                  <w14:solidFill>
                    <w14:schemeClr w14:val="tx1"/>
                  </w14:solidFill>
                </w14:textFill>
              </w:rPr>
              <w:t>。</w:t>
            </w:r>
          </w:p>
          <w:p w14:paraId="4D977458">
            <w:pPr>
              <w:pStyle w:val="31"/>
              <w:keepNext w:val="0"/>
              <w:keepLines w:val="0"/>
              <w:pageBreakBefore w:val="0"/>
              <w:widowControl w:val="0"/>
              <w:shd w:val="clear"/>
              <w:kinsoku/>
              <w:wordWrap/>
              <w:overflowPunct/>
              <w:topLinePunct w:val="0"/>
              <w:autoSpaceDE/>
              <w:autoSpaceDN/>
              <w:bidi w:val="0"/>
              <w:adjustRightInd/>
              <w:snapToGrid/>
              <w:spacing w:before="0" w:after="0" w:line="480" w:lineRule="exact"/>
              <w:ind w:left="0" w:leftChars="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2、企业环境信息公开要求</w:t>
            </w:r>
          </w:p>
          <w:p w14:paraId="71322C31">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依据《</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企业环境信息依法披露管理办法</w:t>
            </w:r>
            <w:r>
              <w:rPr>
                <w:rFonts w:hint="default" w:ascii="Times New Roman" w:hAnsi="Times New Roman" w:cs="Times New Roman"/>
                <w:color w:val="000000" w:themeColor="text1"/>
                <w:sz w:val="24"/>
                <w:szCs w:val="24"/>
                <w:highlight w:val="none"/>
                <w14:textFill>
                  <w14:solidFill>
                    <w14:schemeClr w14:val="tx1"/>
                  </w14:solidFill>
                </w14:textFill>
              </w:rPr>
              <w:t>》的相关要求，企业应当及时、准确地公开企业环境信息，本项目环境信息公开的内容</w:t>
            </w:r>
            <w:r>
              <w:rPr>
                <w:rFonts w:hint="eastAsia" w:cs="Times New Roman"/>
                <w:color w:val="000000" w:themeColor="text1"/>
                <w:sz w:val="24"/>
                <w:szCs w:val="24"/>
                <w:highlight w:val="none"/>
                <w:lang w:val="en-US" w:eastAsia="zh-CN"/>
                <w14:textFill>
                  <w14:solidFill>
                    <w14:schemeClr w14:val="tx1"/>
                  </w14:solidFill>
                </w14:textFill>
              </w:rPr>
              <w:t>如下：</w:t>
            </w:r>
          </w:p>
          <w:p w14:paraId="36312E37">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⑴</w:t>
            </w:r>
            <w:r>
              <w:rPr>
                <w:rFonts w:hint="eastAsia" w:ascii="Times New Roman" w:hAnsi="Times New Roman" w:cs="Times New Roman"/>
                <w:color w:val="000000" w:themeColor="text1"/>
                <w:sz w:val="24"/>
                <w:szCs w:val="24"/>
                <w:highlight w:val="none"/>
                <w14:textFill>
                  <w14:solidFill>
                    <w14:schemeClr w14:val="tx1"/>
                  </w14:solidFill>
                </w14:textFill>
              </w:rPr>
              <w:t>企业基本信息，包括企业生产和生态环境保护等方面的基础信息；</w:t>
            </w:r>
          </w:p>
          <w:p w14:paraId="4019623C">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⑵</w:t>
            </w:r>
            <w:r>
              <w:rPr>
                <w:rFonts w:hint="eastAsia" w:ascii="Times New Roman" w:hAnsi="Times New Roman" w:cs="Times New Roman"/>
                <w:color w:val="000000" w:themeColor="text1"/>
                <w:sz w:val="24"/>
                <w:szCs w:val="24"/>
                <w:highlight w:val="none"/>
                <w14:textFill>
                  <w14:solidFill>
                    <w14:schemeClr w14:val="tx1"/>
                  </w14:solidFill>
                </w14:textFill>
              </w:rPr>
              <w:t>企业环境管理信息，包括生态环境行政许可、环境保护税、环境污染责任保险、环保信用评价等方面的信息；</w:t>
            </w:r>
          </w:p>
          <w:p w14:paraId="404CBF6B">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⑶</w:t>
            </w:r>
            <w:r>
              <w:rPr>
                <w:rFonts w:hint="eastAsia" w:ascii="Times New Roman" w:hAnsi="Times New Roman" w:cs="Times New Roman"/>
                <w:color w:val="000000" w:themeColor="text1"/>
                <w:sz w:val="24"/>
                <w:szCs w:val="24"/>
                <w:highlight w:val="none"/>
                <w14:textFill>
                  <w14:solidFill>
                    <w14:schemeClr w14:val="tx1"/>
                  </w14:solidFill>
                </w14:textFill>
              </w:rPr>
              <w:t>污染物产生、治理与排放信息，包括污染防治设施，污染物排放，有毒有害物质排放，工业固体废物和危险废物产生、贮存、流向、利用、处置，自行监测等方面的信息；</w:t>
            </w:r>
          </w:p>
          <w:p w14:paraId="0589658C">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⑷</w:t>
            </w:r>
            <w:r>
              <w:rPr>
                <w:rFonts w:hint="eastAsia" w:ascii="Times New Roman" w:hAnsi="Times New Roman" w:cs="Times New Roman"/>
                <w:color w:val="000000" w:themeColor="text1"/>
                <w:sz w:val="24"/>
                <w:szCs w:val="24"/>
                <w:highlight w:val="none"/>
                <w14:textFill>
                  <w14:solidFill>
                    <w14:schemeClr w14:val="tx1"/>
                  </w14:solidFill>
                </w14:textFill>
              </w:rPr>
              <w:t>碳排放信息，包括排放量、排放设施等方面的信息；</w:t>
            </w:r>
          </w:p>
          <w:p w14:paraId="73280BC9">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⑸</w:t>
            </w:r>
            <w:r>
              <w:rPr>
                <w:rFonts w:hint="eastAsia" w:ascii="Times New Roman" w:hAnsi="Times New Roman" w:cs="Times New Roman"/>
                <w:color w:val="000000" w:themeColor="text1"/>
                <w:sz w:val="24"/>
                <w:szCs w:val="24"/>
                <w:highlight w:val="none"/>
                <w14:textFill>
                  <w14:solidFill>
                    <w14:schemeClr w14:val="tx1"/>
                  </w14:solidFill>
                </w14:textFill>
              </w:rPr>
              <w:t>生态环境应急信息，包括突发环境事件应急预案、重污染天气应急响应等方面的信息；</w:t>
            </w:r>
          </w:p>
          <w:p w14:paraId="3B514158">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⑹</w:t>
            </w:r>
            <w:r>
              <w:rPr>
                <w:rFonts w:hint="eastAsia" w:ascii="Times New Roman" w:hAnsi="Times New Roman" w:cs="Times New Roman"/>
                <w:color w:val="000000" w:themeColor="text1"/>
                <w:sz w:val="24"/>
                <w:szCs w:val="24"/>
                <w:highlight w:val="none"/>
                <w14:textFill>
                  <w14:solidFill>
                    <w14:schemeClr w14:val="tx1"/>
                  </w14:solidFill>
                </w14:textFill>
              </w:rPr>
              <w:t>生态环境违法信息；</w:t>
            </w:r>
          </w:p>
          <w:p w14:paraId="30C002B8">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⑺</w:t>
            </w:r>
            <w:r>
              <w:rPr>
                <w:rFonts w:hint="eastAsia" w:ascii="Times New Roman" w:hAnsi="Times New Roman" w:cs="Times New Roman"/>
                <w:color w:val="000000" w:themeColor="text1"/>
                <w:sz w:val="24"/>
                <w:szCs w:val="24"/>
                <w:highlight w:val="none"/>
                <w14:textFill>
                  <w14:solidFill>
                    <w14:schemeClr w14:val="tx1"/>
                  </w14:solidFill>
                </w14:textFill>
              </w:rPr>
              <w:t>本年度临时环境信息依法披露情况；</w:t>
            </w:r>
          </w:p>
          <w:p w14:paraId="47EC9818">
            <w:pPr>
              <w:keepNext w:val="0"/>
              <w:keepLines w:val="0"/>
              <w:pageBreakBefore w:val="0"/>
              <w:widowControl w:val="0"/>
              <w:shd w:val="clear"/>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eastAsia"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⑻</w:t>
            </w:r>
            <w:r>
              <w:rPr>
                <w:rFonts w:hint="eastAsia" w:ascii="Times New Roman" w:hAnsi="Times New Roman" w:cs="Times New Roman"/>
                <w:color w:val="000000" w:themeColor="text1"/>
                <w:sz w:val="24"/>
                <w:szCs w:val="24"/>
                <w:highlight w:val="none"/>
                <w14:textFill>
                  <w14:solidFill>
                    <w14:schemeClr w14:val="tx1"/>
                  </w14:solidFill>
                </w14:textFill>
              </w:rPr>
              <w:t>法律法规规定的其他环境信息。</w:t>
            </w:r>
          </w:p>
          <w:p w14:paraId="029641E2">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3、排污许可规范化管理要求</w:t>
            </w:r>
          </w:p>
          <w:p w14:paraId="3BD86CB8">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14:paraId="44C90C79">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国务院办公厅关于印发控制污染物排放许可制实施方案的通知》（国办发[2016]81号）、《关于做好环境影响评价制度与排污许可制衔接相关工作的通知》（环办环评［2017］84号）和《固定污染源排污许可分类管理名录（2019 年版）》等相关文件要求，企业事业单位和其他生产经营者应该按照名录的规定，在实施时限内申请排污许可证。</w:t>
            </w:r>
          </w:p>
          <w:p w14:paraId="6ED5FA4B">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本项目经对照《固定污染源排污许可分类管理名录（2019 年版）》已纳入名录管理的行业，应及时办理排污许可申请。</w:t>
            </w:r>
          </w:p>
          <w:p w14:paraId="49578053">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行业类别为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其他非金属矿物制品制造</w:t>
            </w:r>
            <w:r>
              <w:rPr>
                <w:rFonts w:hint="eastAsia"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C3</w:t>
            </w:r>
            <w:r>
              <w:rPr>
                <w:rFonts w:hint="eastAsia" w:cs="Times New Roman"/>
                <w:color w:val="000000" w:themeColor="text1"/>
                <w:sz w:val="24"/>
                <w:szCs w:val="24"/>
                <w:highlight w:val="none"/>
                <w:lang w:val="en-US" w:eastAsia="zh-CN"/>
                <w14:textFill>
                  <w14:solidFill>
                    <w14:schemeClr w14:val="tx1"/>
                  </w14:solidFill>
                </w14:textFill>
              </w:rPr>
              <w:t>099）</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属于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《固定污染源排污许可分类管理名录（2019 年版）》中“</w:t>
            </w:r>
            <w:r>
              <w:rPr>
                <w:rFonts w:hint="default" w:ascii="Times New Roman" w:hAnsi="Times New Roman" w:eastAsia="宋体" w:cs="Times New Roman"/>
                <w:b w:val="0"/>
                <w:bCs w:val="0"/>
                <w:i w:val="0"/>
                <w:iCs w:val="0"/>
                <w:color w:val="000000" w:themeColor="text1"/>
                <w:kern w:val="0"/>
                <w:sz w:val="24"/>
                <w:szCs w:val="24"/>
                <w:highlight w:val="none"/>
                <w:lang w:val="en-US" w:eastAsia="zh-CN" w:bidi="ar"/>
                <w14:textFill>
                  <w14:solidFill>
                    <w14:schemeClr w14:val="tx1"/>
                  </w14:solidFill>
                </w14:textFill>
              </w:rPr>
              <w:t>二十五、非金属矿物制品业30——</w:t>
            </w:r>
            <w:r>
              <w:rPr>
                <w:rFonts w:hint="eastAsia" w:cs="Times New Roman"/>
                <w:b w:val="0"/>
                <w:bCs w:val="0"/>
                <w:i w:val="0"/>
                <w:iCs w:val="0"/>
                <w:color w:val="000000" w:themeColor="text1"/>
                <w:kern w:val="0"/>
                <w:sz w:val="24"/>
                <w:szCs w:val="24"/>
                <w:highlight w:val="none"/>
                <w:lang w:val="en-US" w:eastAsia="zh-CN" w:bidi="ar"/>
                <w14:textFill>
                  <w14:solidFill>
                    <w14:schemeClr w14:val="tx1"/>
                  </w14:solidFill>
                </w14:textFill>
              </w:rPr>
              <w:t xml:space="preserve">70 </w:t>
            </w:r>
            <w:r>
              <w:rPr>
                <w:rFonts w:hint="default" w:ascii="Times New Roman" w:hAnsi="Times New Roman" w:eastAsia="宋体" w:cs="Times New Roman"/>
                <w:b w:val="0"/>
                <w:bCs w:val="0"/>
                <w:i w:val="0"/>
                <w:iCs w:val="0"/>
                <w:color w:val="000000" w:themeColor="text1"/>
                <w:kern w:val="0"/>
                <w:sz w:val="24"/>
                <w:szCs w:val="24"/>
                <w:highlight w:val="none"/>
                <w:lang w:val="en-US" w:eastAsia="zh-CN" w:bidi="ar"/>
                <w14:textFill>
                  <w14:solidFill>
                    <w14:schemeClr w14:val="tx1"/>
                  </w14:solidFill>
                </w14:textFill>
              </w:rPr>
              <w:t>石墨及其他非金属矿物制品制造309——其他非金属矿物制品制造3099</w:t>
            </w:r>
            <w:r>
              <w:rPr>
                <w:rFonts w:hint="eastAsia" w:cs="Times New Roman"/>
                <w:b w:val="0"/>
                <w:bCs w:val="0"/>
                <w:i w:val="0"/>
                <w:iCs w:val="0"/>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val="0"/>
                <w:bCs w:val="0"/>
                <w:i w:val="0"/>
                <w:iCs w:val="0"/>
                <w:color w:val="000000" w:themeColor="text1"/>
                <w:kern w:val="0"/>
                <w:sz w:val="24"/>
                <w:szCs w:val="24"/>
                <w:highlight w:val="none"/>
                <w:lang w:val="en-US" w:eastAsia="zh-CN" w:bidi="ar"/>
                <w14:textFill>
                  <w14:solidFill>
                    <w14:schemeClr w14:val="tx1"/>
                  </w14:solidFill>
                </w14:textFill>
              </w:rPr>
              <w:t>除重点管理、简化管理以外的</w:t>
            </w:r>
            <w:r>
              <w:rPr>
                <w:rFonts w:hint="eastAsia" w:cs="Times New Roman"/>
                <w:b w:val="0"/>
                <w:bCs w:val="0"/>
                <w:i w:val="0"/>
                <w:iCs w:val="0"/>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企业应进行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登记管理。</w:t>
            </w:r>
          </w:p>
          <w:p w14:paraId="7391CC03">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现有工程已按要求填报排污登记表。本项目为技术改造项目，应在生产设施投运或发生实际排污行为前，完成排污登记表变更备案，取得固定污染源排污登记回执</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w:t>
            </w:r>
          </w:p>
          <w:p w14:paraId="4AD5AF4A">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4、环保竣工验收管理</w:t>
            </w:r>
          </w:p>
          <w:p w14:paraId="159943E0">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建设单位是建设项目竣工环境保护验收的责任主体，应当按照《建设项目竣工环境保护验收暂行办法》（国环规环评〔2017〕4号）、《建设项目竣工环境保护验收技术指南污染影响类》（生态环境部办公厅2018 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14:paraId="7F113ED2">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cs="Times New Roman"/>
                <w:color w:val="000000" w:themeColor="text1"/>
                <w:sz w:val="24"/>
                <w:szCs w:val="24"/>
                <w:highlight w:val="none"/>
                <w:lang w:val="en-US"/>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szCs w:val="24"/>
                <w:highlight w:val="none"/>
                <w:lang w:val="en-US"/>
                <w14:textFill>
                  <w14:solidFill>
                    <w14:schemeClr w14:val="tx1"/>
                  </w14:solidFill>
                </w14:textFill>
              </w:rPr>
              <w:t>排污口规范化</w:t>
            </w:r>
          </w:p>
          <w:p w14:paraId="589D235C">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排污口是企业污染物进入受纳环境的通道，做好排污口管理是实施污染物总量控制和达标排放的基础工作之—，必须实行规范化管理。</w:t>
            </w:r>
          </w:p>
          <w:p w14:paraId="448ADB3A">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⑴废气排污口规范化：《环境保护图形标志－排污口(源)》（GBl5562.1-1995）设置统一制作的环境保护图形标志牌，污染物排放口设置提示性环境保护图形标志牌。</w:t>
            </w:r>
          </w:p>
          <w:p w14:paraId="0E2E31A8">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⑵噪声排污口规范化：须按《</w:t>
            </w:r>
            <w:r>
              <w:rPr>
                <w:rFonts w:hint="eastAsia" w:cs="Times New Roman"/>
                <w:color w:val="000000" w:themeColor="text1"/>
                <w:sz w:val="24"/>
                <w:szCs w:val="24"/>
                <w:highlight w:val="none"/>
                <w:lang w:val="en-US" w:eastAsia="zh-CN"/>
                <w14:textFill>
                  <w14:solidFill>
                    <w14:schemeClr w14:val="tx1"/>
                  </w14:solidFill>
                </w14:textFill>
              </w:rPr>
              <w:t>工业企业厂界环境噪声排放标准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》（GB</w:t>
            </w:r>
            <w:r>
              <w:rPr>
                <w:rFonts w:hint="eastAsia" w:cs="Times New Roman"/>
                <w:color w:val="000000" w:themeColor="text1"/>
                <w:sz w:val="24"/>
                <w:szCs w:val="24"/>
                <w:highlight w:val="none"/>
                <w:lang w:val="en-US" w:eastAsia="zh-CN"/>
                <w14:textFill>
                  <w14:solidFill>
                    <w14:schemeClr w14:val="tx1"/>
                  </w14:solidFill>
                </w14:textFill>
              </w:rPr>
              <w:t>12348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-2008）的规定，设置环境噪声监测点，并在该处附近醒目处设置环境保护图形标志牌。</w:t>
            </w:r>
          </w:p>
          <w:p w14:paraId="1E77AC0E">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⑶固体废物：本项目固体废物堆放场所必须有防火、防扬散、防渗漏等防止污染环境的措施，标志牌达到《环境保护图形标志-固体废物贮存（处置）场》（GB15562.2-1995）的规定。</w:t>
            </w:r>
          </w:p>
          <w:p w14:paraId="102B53A1">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14:paraId="710B5CD6">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⑷</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排放口立标</w:t>
            </w:r>
            <w:r>
              <w:rPr>
                <w:rFonts w:hint="eastAsia" w:cs="Times New Roman"/>
                <w:color w:val="000000" w:themeColor="text1"/>
                <w:sz w:val="24"/>
                <w:szCs w:val="24"/>
                <w:highlight w:val="none"/>
                <w:lang w:val="en-US" w:eastAsia="zh-CN"/>
                <w14:textFill>
                  <w14:solidFill>
                    <w14:schemeClr w14:val="tx1"/>
                  </w14:solidFill>
                </w14:textFill>
              </w:rPr>
              <w:t>管理</w:t>
            </w:r>
          </w:p>
          <w:p w14:paraId="45EAE5D6">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000000" w:themeColor="text1"/>
                <w:kern w:val="44"/>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t>①</w:t>
            </w:r>
            <w:r>
              <w:rPr>
                <w:rFonts w:hint="default" w:ascii="Times New Roman" w:hAnsi="Times New Roman" w:eastAsia="宋体" w:cs="Times New Roman"/>
                <w:b w:val="0"/>
                <w:bCs w:val="0"/>
                <w:color w:val="000000" w:themeColor="text1"/>
                <w:sz w:val="24"/>
                <w:szCs w:val="24"/>
                <w:highlight w:val="none"/>
                <w:vertAlign w:val="baseline"/>
                <w:lang w:val="zh-CN"/>
                <w14:textFill>
                  <w14:solidFill>
                    <w14:schemeClr w14:val="tx1"/>
                  </w14:solidFill>
                </w14:textFill>
              </w:rPr>
              <w:t>污染物排放口应按照</w:t>
            </w:r>
            <w:r>
              <w:rPr>
                <w:rFonts w:hint="default"/>
                <w:color w:val="000000" w:themeColor="text1"/>
                <w:sz w:val="24"/>
                <w:szCs w:val="24"/>
                <w:highlight w:val="none"/>
                <w:lang w:val="en-US"/>
                <w14:textFill>
                  <w14:solidFill>
                    <w14:schemeClr w14:val="tx1"/>
                  </w14:solidFill>
                </w14:textFill>
              </w:rPr>
              <w:t>《环境保护图形标志-</w:t>
            </w:r>
            <w:r>
              <w:rPr>
                <w:rFonts w:hint="eastAsia"/>
                <w:color w:val="000000" w:themeColor="text1"/>
                <w:sz w:val="24"/>
                <w:szCs w:val="24"/>
                <w:highlight w:val="none"/>
                <w:lang w:val="en-US" w:eastAsia="zh-CN"/>
                <w14:textFill>
                  <w14:solidFill>
                    <w14:schemeClr w14:val="tx1"/>
                  </w14:solidFill>
                </w14:textFill>
              </w:rPr>
              <w:t>排放口（源）</w:t>
            </w:r>
            <w:r>
              <w:rPr>
                <w:rFonts w:hint="default"/>
                <w:color w:val="000000" w:themeColor="text1"/>
                <w:sz w:val="24"/>
                <w:szCs w:val="24"/>
                <w:highlight w:val="none"/>
                <w:lang w:val="en-US"/>
                <w14:textFill>
                  <w14:solidFill>
                    <w14:schemeClr w14:val="tx1"/>
                  </w14:solidFill>
                </w14:textFill>
              </w:rPr>
              <w:t>》（GB15562.</w:t>
            </w:r>
            <w:r>
              <w:rPr>
                <w:rFonts w:hint="eastAsia"/>
                <w:color w:val="000000" w:themeColor="text1"/>
                <w:sz w:val="24"/>
                <w:szCs w:val="24"/>
                <w:highlight w:val="none"/>
                <w:lang w:val="en-US" w:eastAsia="zh-CN"/>
                <w14:textFill>
                  <w14:solidFill>
                    <w14:schemeClr w14:val="tx1"/>
                  </w14:solidFill>
                </w14:textFill>
              </w:rPr>
              <w:t>1</w:t>
            </w:r>
            <w:r>
              <w:rPr>
                <w:rFonts w:hint="default"/>
                <w:color w:val="000000" w:themeColor="text1"/>
                <w:sz w:val="24"/>
                <w:szCs w:val="24"/>
                <w:highlight w:val="none"/>
                <w:lang w:val="en-US"/>
                <w14:textFill>
                  <w14:solidFill>
                    <w14:schemeClr w14:val="tx1"/>
                  </w14:solidFill>
                </w14:textFill>
              </w:rPr>
              <w:t>-1995）</w:t>
            </w:r>
            <w:r>
              <w:rPr>
                <w:rFonts w:hint="eastAsia"/>
                <w:color w:val="000000" w:themeColor="text1"/>
                <w:sz w:val="24"/>
                <w:szCs w:val="24"/>
                <w:highlight w:val="none"/>
                <w:lang w:val="en-US" w:eastAsia="zh-CN"/>
                <w14:textFill>
                  <w14:solidFill>
                    <w14:schemeClr w14:val="tx1"/>
                  </w14:solidFill>
                </w14:textFill>
              </w:rPr>
              <w:t>、</w:t>
            </w:r>
            <w:r>
              <w:rPr>
                <w:rFonts w:hint="default"/>
                <w:color w:val="000000" w:themeColor="text1"/>
                <w:sz w:val="24"/>
                <w:szCs w:val="24"/>
                <w:highlight w:val="none"/>
                <w:lang w:val="en-US"/>
                <w14:textFill>
                  <w14:solidFill>
                    <w14:schemeClr w14:val="tx1"/>
                  </w14:solidFill>
                </w14:textFill>
              </w:rPr>
              <w:t>《环境保护图形标志-固体废物贮存（处置）场》（GB15562.2-1995）</w:t>
            </w:r>
            <w:r>
              <w:rPr>
                <w:rFonts w:hint="eastAsia"/>
                <w:color w:val="000000" w:themeColor="text1"/>
                <w:sz w:val="24"/>
                <w:szCs w:val="24"/>
                <w:highlight w:val="none"/>
                <w:lang w:val="en-US" w:eastAsia="zh-CN"/>
                <w14:textFill>
                  <w14:solidFill>
                    <w14:schemeClr w14:val="tx1"/>
                  </w14:solidFill>
                </w14:textFill>
              </w:rPr>
              <w:t>及修改单的</w:t>
            </w:r>
            <w:r>
              <w:rPr>
                <w:rFonts w:hint="default"/>
                <w:color w:val="000000" w:themeColor="text1"/>
                <w:sz w:val="24"/>
                <w:szCs w:val="24"/>
                <w:highlight w:val="none"/>
                <w:lang w:val="en-US"/>
                <w14:textFill>
                  <w14:solidFill>
                    <w14:schemeClr w14:val="tx1"/>
                  </w14:solidFill>
                </w14:textFill>
              </w:rPr>
              <w:t>规定</w:t>
            </w:r>
            <w:r>
              <w:rPr>
                <w:rFonts w:hint="eastAsia"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vertAlign w:val="baseline"/>
                <w:lang w:val="zh-CN"/>
                <w14:textFill>
                  <w14:solidFill>
                    <w14:schemeClr w14:val="tx1"/>
                  </w14:solidFill>
                </w14:textFill>
              </w:rPr>
              <w:t>设置原国家环保总局统一制作的环境保护标志牌</w:t>
            </w:r>
            <w:r>
              <w:rPr>
                <w:rFonts w:hint="eastAsia" w:cs="Times New Roman"/>
                <w:color w:val="000000" w:themeColor="text1"/>
                <w:kern w:val="44"/>
                <w:sz w:val="24"/>
                <w:szCs w:val="24"/>
                <w:highlight w:val="none"/>
                <w:lang w:val="zh-CN"/>
                <w14:textFill>
                  <w14:solidFill>
                    <w14:schemeClr w14:val="tx1"/>
                  </w14:solidFill>
                </w14:textFill>
              </w:rPr>
              <w:t>。</w:t>
            </w:r>
          </w:p>
          <w:p w14:paraId="70E3CEB1">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cs="Times New Roman"/>
                <w:color w:val="000000" w:themeColor="text1"/>
                <w:kern w:val="44"/>
                <w:sz w:val="24"/>
                <w:szCs w:val="24"/>
                <w:highlight w:val="none"/>
                <w:lang w:val="zh-CN"/>
                <w14:textFill>
                  <w14:solidFill>
                    <w14:schemeClr w14:val="tx1"/>
                  </w14:solidFill>
                </w14:textFill>
              </w:rPr>
            </w:pPr>
          </w:p>
          <w:p w14:paraId="368FE5E8">
            <w:pPr>
              <w:keepNext w:val="0"/>
              <w:keepLines w:val="0"/>
              <w:pageBreakBefore w:val="0"/>
              <w:widowControl w:val="0"/>
              <w:numPr>
                <w:ilvl w:val="0"/>
                <w:numId w:val="3"/>
              </w:numPr>
              <w:shd w:val="clea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b/>
                <w:bCs/>
                <w:color w:val="000000" w:themeColor="text1"/>
                <w:spacing w:val="0"/>
                <w:sz w:val="21"/>
                <w:szCs w:val="21"/>
                <w:highlight w:val="none"/>
                <w:lang w:val="zh-CN" w:eastAsia="zh-CN"/>
                <w14:textFill>
                  <w14:solidFill>
                    <w14:schemeClr w14:val="tx1"/>
                  </w14:solidFill>
                </w14:textFill>
              </w:rPr>
            </w:pPr>
            <w:r>
              <w:rPr>
                <w:rFonts w:hint="default" w:ascii="Times New Roman" w:hAnsi="Times New Roman" w:eastAsia="宋体" w:cs="Times New Roman"/>
                <w:b/>
                <w:bCs/>
                <w:color w:val="000000" w:themeColor="text1"/>
                <w:spacing w:val="0"/>
                <w:sz w:val="21"/>
                <w:szCs w:val="21"/>
                <w:highlight w:val="none"/>
                <w:lang w:val="en-US" w:eastAsia="zh-CN"/>
                <w14:textFill>
                  <w14:solidFill>
                    <w14:schemeClr w14:val="tx1"/>
                  </w14:solidFill>
                </w14:textFill>
              </w:rPr>
              <w:t>排污口标志牌设置一览表</w:t>
            </w:r>
          </w:p>
          <w:tbl>
            <w:tblPr>
              <w:tblStyle w:val="33"/>
              <w:tblW w:w="0" w:type="auto"/>
              <w:jc w:val="center"/>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Layout w:type="fixed"/>
              <w:tblCellMar>
                <w:top w:w="0" w:type="dxa"/>
                <w:left w:w="108" w:type="dxa"/>
                <w:bottom w:w="0" w:type="dxa"/>
                <w:right w:w="108" w:type="dxa"/>
              </w:tblCellMar>
            </w:tblPr>
            <w:tblGrid>
              <w:gridCol w:w="828"/>
              <w:gridCol w:w="2059"/>
              <w:gridCol w:w="1837"/>
              <w:gridCol w:w="1250"/>
              <w:gridCol w:w="1924"/>
            </w:tblGrid>
            <w:tr w14:paraId="12C68CBA">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481" w:hRule="atLeast"/>
                <w:jc w:val="center"/>
              </w:trPr>
              <w:tc>
                <w:tcPr>
                  <w:tcW w:w="828" w:type="dxa"/>
                  <w:tcBorders>
                    <w:tl2br w:val="nil"/>
                    <w:tr2bl w:val="nil"/>
                  </w:tcBorders>
                  <w:noWrap w:val="0"/>
                  <w:vAlign w:val="center"/>
                </w:tcPr>
                <w:p w14:paraId="74AFC4DA">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lang w:val="zh-CN"/>
                      <w14:textFill>
                        <w14:solidFill>
                          <w14:schemeClr w14:val="tx1"/>
                        </w14:solidFill>
                      </w14:textFill>
                    </w:rPr>
                    <w:t>序号</w:t>
                  </w:r>
                </w:p>
              </w:tc>
              <w:tc>
                <w:tcPr>
                  <w:tcW w:w="2059" w:type="dxa"/>
                  <w:tcBorders>
                    <w:tl2br w:val="nil"/>
                    <w:tr2bl w:val="nil"/>
                  </w:tcBorders>
                  <w:noWrap w:val="0"/>
                  <w:vAlign w:val="center"/>
                </w:tcPr>
                <w:p w14:paraId="319D009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lang w:val="zh-CN"/>
                      <w14:textFill>
                        <w14:solidFill>
                          <w14:schemeClr w14:val="tx1"/>
                        </w14:solidFill>
                      </w14:textFill>
                    </w:rPr>
                    <w:t>提示图形符号</w:t>
                  </w:r>
                </w:p>
              </w:tc>
              <w:tc>
                <w:tcPr>
                  <w:tcW w:w="1837" w:type="dxa"/>
                  <w:tcBorders>
                    <w:tl2br w:val="nil"/>
                    <w:tr2bl w:val="nil"/>
                  </w:tcBorders>
                  <w:noWrap w:val="0"/>
                  <w:vAlign w:val="center"/>
                </w:tcPr>
                <w:p w14:paraId="65FAFB5F">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lang w:val="zh-CN"/>
                      <w14:textFill>
                        <w14:solidFill>
                          <w14:schemeClr w14:val="tx1"/>
                        </w14:solidFill>
                      </w14:textFill>
                    </w:rPr>
                    <w:t>警告图形标志</w:t>
                  </w:r>
                </w:p>
              </w:tc>
              <w:tc>
                <w:tcPr>
                  <w:tcW w:w="1250" w:type="dxa"/>
                  <w:tcBorders>
                    <w:tl2br w:val="nil"/>
                    <w:tr2bl w:val="nil"/>
                  </w:tcBorders>
                  <w:noWrap w:val="0"/>
                  <w:vAlign w:val="center"/>
                </w:tcPr>
                <w:p w14:paraId="4F6056A6">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名称</w:t>
                  </w:r>
                </w:p>
              </w:tc>
              <w:tc>
                <w:tcPr>
                  <w:tcW w:w="1924" w:type="dxa"/>
                  <w:tcBorders>
                    <w:tl2br w:val="nil"/>
                    <w:tr2bl w:val="nil"/>
                  </w:tcBorders>
                  <w:noWrap w:val="0"/>
                  <w:vAlign w:val="center"/>
                </w:tcPr>
                <w:p w14:paraId="1CA9F715">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功能</w:t>
                  </w:r>
                </w:p>
              </w:tc>
            </w:tr>
            <w:tr w14:paraId="4B2605C0">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25" w:hRule="atLeast"/>
                <w:jc w:val="center"/>
              </w:trPr>
              <w:tc>
                <w:tcPr>
                  <w:tcW w:w="828" w:type="dxa"/>
                  <w:tcBorders>
                    <w:tl2br w:val="nil"/>
                    <w:tr2bl w:val="nil"/>
                  </w:tcBorders>
                  <w:noWrap w:val="0"/>
                  <w:vAlign w:val="center"/>
                </w:tcPr>
                <w:p w14:paraId="418858B9">
                  <w:pPr>
                    <w:pStyle w:val="43"/>
                    <w:keepNext w:val="0"/>
                    <w:keepLines w:val="0"/>
                    <w:pageBreakBefore w:val="0"/>
                    <w:widowControl w:val="0"/>
                    <w:numPr>
                      <w:ilvl w:val="0"/>
                      <w:numId w:val="22"/>
                    </w:numPr>
                    <w:shd w:val="clear"/>
                    <w:kinsoku/>
                    <w:wordWrap/>
                    <w:overflowPunct/>
                    <w:topLinePunct w:val="0"/>
                    <w:autoSpaceDE/>
                    <w:autoSpaceDN/>
                    <w:bidi w:val="0"/>
                    <w:adjustRightInd/>
                    <w:snapToGrid/>
                    <w:spacing w:before="0" w:after="0"/>
                    <w:ind w:left="0" w:leftChars="0" w:firstLine="0" w:firstLineChars="0"/>
                    <w:textAlignment w:val="auto"/>
                    <w:rPr>
                      <w:rFonts w:hint="default"/>
                      <w:color w:val="000000" w:themeColor="text1"/>
                      <w:sz w:val="21"/>
                      <w:szCs w:val="21"/>
                      <w:highlight w:val="none"/>
                      <w:lang w:val="en-US" w:eastAsia="zh-CN"/>
                      <w14:textFill>
                        <w14:solidFill>
                          <w14:schemeClr w14:val="tx1"/>
                        </w14:solidFill>
                      </w14:textFill>
                    </w:rPr>
                  </w:pPr>
                </w:p>
              </w:tc>
              <w:tc>
                <w:tcPr>
                  <w:tcW w:w="2059" w:type="dxa"/>
                  <w:tcBorders>
                    <w:tl2br w:val="nil"/>
                    <w:tr2bl w:val="nil"/>
                  </w:tcBorders>
                  <w:noWrap w:val="0"/>
                  <w:vAlign w:val="center"/>
                </w:tcPr>
                <w:p w14:paraId="44597092">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drawing>
                      <wp:anchor distT="0" distB="0" distL="0" distR="0" simplePos="0" relativeHeight="251659264" behindDoc="1" locked="0" layoutInCell="1" allowOverlap="1">
                        <wp:simplePos x="0" y="0"/>
                        <wp:positionH relativeFrom="column">
                          <wp:posOffset>171450</wp:posOffset>
                        </wp:positionH>
                        <wp:positionV relativeFrom="paragraph">
                          <wp:posOffset>88900</wp:posOffset>
                        </wp:positionV>
                        <wp:extent cx="913130" cy="873760"/>
                        <wp:effectExtent l="0" t="0" r="1270" b="2540"/>
                        <wp:wrapTight wrapText="bothSides">
                          <wp:wrapPolygon>
                            <wp:start x="0" y="0"/>
                            <wp:lineTo x="0" y="21192"/>
                            <wp:lineTo x="21179" y="21192"/>
                            <wp:lineTo x="21179" y="0"/>
                            <wp:lineTo x="0" y="0"/>
                          </wp:wrapPolygon>
                        </wp:wrapTight>
                        <wp:docPr id="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4"/>
                                <pic:cNvPicPr>
                                  <a:picLocks noChangeAspect="1"/>
                                </pic:cNvPicPr>
                              </pic:nvPicPr>
                              <pic:blipFill>
                                <a:blip r:embed="rId44"/>
                                <a:srcRect b="51181"/>
                                <a:stretch>
                                  <a:fillRect/>
                                </a:stretch>
                              </pic:blipFill>
                              <pic:spPr>
                                <a:xfrm>
                                  <a:off x="0" y="0"/>
                                  <a:ext cx="913130" cy="873760"/>
                                </a:xfrm>
                                <a:prstGeom prst="rect">
                                  <a:avLst/>
                                </a:prstGeom>
                                <a:noFill/>
                                <a:ln>
                                  <a:noFill/>
                                </a:ln>
                              </pic:spPr>
                            </pic:pic>
                          </a:graphicData>
                        </a:graphic>
                      </wp:anchor>
                    </w:drawing>
                  </w:r>
                </w:p>
              </w:tc>
              <w:tc>
                <w:tcPr>
                  <w:tcW w:w="1837" w:type="dxa"/>
                  <w:tcBorders>
                    <w:tl2br w:val="nil"/>
                    <w:tr2bl w:val="nil"/>
                  </w:tcBorders>
                  <w:noWrap w:val="0"/>
                  <w:vAlign w:val="center"/>
                </w:tcPr>
                <w:p w14:paraId="1E2A3326">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drawing>
                      <wp:anchor distT="0" distB="0" distL="114300" distR="114300" simplePos="0" relativeHeight="251661312" behindDoc="0" locked="0" layoutInCell="1" allowOverlap="1">
                        <wp:simplePos x="0" y="0"/>
                        <wp:positionH relativeFrom="column">
                          <wp:posOffset>85725</wp:posOffset>
                        </wp:positionH>
                        <wp:positionV relativeFrom="paragraph">
                          <wp:posOffset>88900</wp:posOffset>
                        </wp:positionV>
                        <wp:extent cx="944880" cy="824865"/>
                        <wp:effectExtent l="0" t="0" r="7620" b="13335"/>
                        <wp:wrapNone/>
                        <wp:docPr id="7" name="图片 25" descr="说明: 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5" descr="说明: 点击看大图及详细资料"/>
                                <pic:cNvPicPr>
                                  <a:picLocks noChangeAspect="1"/>
                                </pic:cNvPicPr>
                              </pic:nvPicPr>
                              <pic:blipFill>
                                <a:blip r:embed="rId45"/>
                                <a:stretch>
                                  <a:fillRect/>
                                </a:stretch>
                              </pic:blipFill>
                              <pic:spPr>
                                <a:xfrm>
                                  <a:off x="0" y="0"/>
                                  <a:ext cx="944880" cy="824865"/>
                                </a:xfrm>
                                <a:prstGeom prst="rect">
                                  <a:avLst/>
                                </a:prstGeom>
                                <a:noFill/>
                                <a:ln>
                                  <a:noFill/>
                                </a:ln>
                              </pic:spPr>
                            </pic:pic>
                          </a:graphicData>
                        </a:graphic>
                      </wp:anchor>
                    </w:drawing>
                  </w:r>
                </w:p>
              </w:tc>
              <w:tc>
                <w:tcPr>
                  <w:tcW w:w="1250" w:type="dxa"/>
                  <w:tcBorders>
                    <w:tl2br w:val="nil"/>
                    <w:tr2bl w:val="nil"/>
                  </w:tcBorders>
                  <w:noWrap w:val="0"/>
                  <w:vAlign w:val="center"/>
                </w:tcPr>
                <w:p w14:paraId="1D4FB59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废气排放口</w:t>
                  </w:r>
                </w:p>
              </w:tc>
              <w:tc>
                <w:tcPr>
                  <w:tcW w:w="1924" w:type="dxa"/>
                  <w:tcBorders>
                    <w:tl2br w:val="nil"/>
                    <w:tr2bl w:val="nil"/>
                  </w:tcBorders>
                  <w:noWrap w:val="0"/>
                  <w:vAlign w:val="center"/>
                </w:tcPr>
                <w:p w14:paraId="7E842A6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表示废气向大气环境排放</w:t>
                  </w:r>
                </w:p>
              </w:tc>
            </w:tr>
            <w:tr w14:paraId="334B60DE">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516" w:hRule="atLeast"/>
                <w:jc w:val="center"/>
              </w:trPr>
              <w:tc>
                <w:tcPr>
                  <w:tcW w:w="828" w:type="dxa"/>
                  <w:tcBorders>
                    <w:tl2br w:val="nil"/>
                    <w:tr2bl w:val="nil"/>
                  </w:tcBorders>
                  <w:noWrap w:val="0"/>
                  <w:vAlign w:val="center"/>
                </w:tcPr>
                <w:p w14:paraId="45C85A92">
                  <w:pPr>
                    <w:pStyle w:val="43"/>
                    <w:keepNext w:val="0"/>
                    <w:keepLines w:val="0"/>
                    <w:pageBreakBefore w:val="0"/>
                    <w:widowControl w:val="0"/>
                    <w:numPr>
                      <w:ilvl w:val="0"/>
                      <w:numId w:val="22"/>
                    </w:numPr>
                    <w:shd w:val="clear"/>
                    <w:kinsoku/>
                    <w:wordWrap/>
                    <w:overflowPunct/>
                    <w:topLinePunct w:val="0"/>
                    <w:autoSpaceDE/>
                    <w:autoSpaceDN/>
                    <w:bidi w:val="0"/>
                    <w:adjustRightInd/>
                    <w:snapToGrid/>
                    <w:spacing w:before="0" w:after="0"/>
                    <w:ind w:left="0" w:leftChars="0" w:firstLine="0" w:firstLineChars="0"/>
                    <w:textAlignment w:val="auto"/>
                    <w:rPr>
                      <w:rFonts w:hint="default"/>
                      <w:color w:val="000000" w:themeColor="text1"/>
                      <w:sz w:val="21"/>
                      <w:szCs w:val="21"/>
                      <w:highlight w:val="none"/>
                      <w:lang w:val="en-US" w:eastAsia="zh-CN"/>
                      <w14:textFill>
                        <w14:solidFill>
                          <w14:schemeClr w14:val="tx1"/>
                        </w14:solidFill>
                      </w14:textFill>
                    </w:rPr>
                  </w:pPr>
                </w:p>
              </w:tc>
              <w:tc>
                <w:tcPr>
                  <w:tcW w:w="2059" w:type="dxa"/>
                  <w:tcBorders>
                    <w:tl2br w:val="nil"/>
                    <w:tr2bl w:val="nil"/>
                  </w:tcBorders>
                  <w:noWrap w:val="0"/>
                  <w:vAlign w:val="center"/>
                </w:tcPr>
                <w:p w14:paraId="42B65A8F">
                  <w:pPr>
                    <w:pStyle w:val="43"/>
                    <w:keepNext w:val="0"/>
                    <w:keepLines w:val="0"/>
                    <w:pageBreakBefore w:val="0"/>
                    <w:widowControl w:val="0"/>
                    <w:shd w:val="clear"/>
                    <w:kinsoku/>
                    <w:wordWrap/>
                    <w:overflowPunct/>
                    <w:topLinePunct w:val="0"/>
                    <w:autoSpaceDE/>
                    <w:autoSpaceDN/>
                    <w:bidi w:val="0"/>
                    <w:adjustRightInd/>
                    <w:snapToGrid/>
                    <w:spacing w:before="0" w:after="0"/>
                    <w:jc w:val="both"/>
                    <w:textAlignment w:val="auto"/>
                    <w:rPr>
                      <w:rFonts w:hint="default"/>
                      <w:color w:val="000000" w:themeColor="text1"/>
                      <w:sz w:val="21"/>
                      <w:szCs w:val="21"/>
                      <w:highlight w:val="none"/>
                      <w:lang w:val="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drawing>
                      <wp:anchor distT="0" distB="0" distL="0" distR="0" simplePos="0" relativeHeight="251663360" behindDoc="1" locked="0" layoutInCell="1" allowOverlap="1">
                        <wp:simplePos x="0" y="0"/>
                        <wp:positionH relativeFrom="column">
                          <wp:posOffset>148590</wp:posOffset>
                        </wp:positionH>
                        <wp:positionV relativeFrom="paragraph">
                          <wp:posOffset>113665</wp:posOffset>
                        </wp:positionV>
                        <wp:extent cx="932180" cy="906145"/>
                        <wp:effectExtent l="0" t="0" r="1270" b="8255"/>
                        <wp:wrapTight wrapText="bothSides">
                          <wp:wrapPolygon>
                            <wp:start x="0" y="0"/>
                            <wp:lineTo x="0" y="21343"/>
                            <wp:lineTo x="21188" y="21343"/>
                            <wp:lineTo x="21188" y="0"/>
                            <wp:lineTo x="0" y="0"/>
                          </wp:wrapPolygon>
                        </wp:wrapTight>
                        <wp:docPr id="1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6"/>
                                <pic:cNvPicPr>
                                  <a:picLocks noChangeAspect="1"/>
                                </pic:cNvPicPr>
                              </pic:nvPicPr>
                              <pic:blipFill>
                                <a:blip r:embed="rId44"/>
                                <a:srcRect t="49606" b="786"/>
                                <a:stretch>
                                  <a:fillRect/>
                                </a:stretch>
                              </pic:blipFill>
                              <pic:spPr>
                                <a:xfrm>
                                  <a:off x="0" y="0"/>
                                  <a:ext cx="932180" cy="906145"/>
                                </a:xfrm>
                                <a:prstGeom prst="rect">
                                  <a:avLst/>
                                </a:prstGeom>
                                <a:noFill/>
                                <a:ln>
                                  <a:noFill/>
                                </a:ln>
                              </pic:spPr>
                            </pic:pic>
                          </a:graphicData>
                        </a:graphic>
                      </wp:anchor>
                    </w:drawing>
                  </w:r>
                </w:p>
              </w:tc>
              <w:tc>
                <w:tcPr>
                  <w:tcW w:w="1837" w:type="dxa"/>
                  <w:tcBorders>
                    <w:tl2br w:val="nil"/>
                    <w:tr2bl w:val="nil"/>
                  </w:tcBorders>
                  <w:noWrap w:val="0"/>
                  <w:vAlign w:val="center"/>
                </w:tcPr>
                <w:p w14:paraId="1B539214">
                  <w:pPr>
                    <w:pStyle w:val="43"/>
                    <w:keepNext w:val="0"/>
                    <w:keepLines w:val="0"/>
                    <w:pageBreakBefore w:val="0"/>
                    <w:widowControl w:val="0"/>
                    <w:shd w:val="clear"/>
                    <w:kinsoku/>
                    <w:wordWrap/>
                    <w:overflowPunct/>
                    <w:topLinePunct w:val="0"/>
                    <w:autoSpaceDE/>
                    <w:autoSpaceDN/>
                    <w:bidi w:val="0"/>
                    <w:adjustRightInd/>
                    <w:snapToGrid/>
                    <w:spacing w:before="0" w:after="0"/>
                    <w:jc w:val="both"/>
                    <w:textAlignment w:val="auto"/>
                    <w:rPr>
                      <w:rFonts w:hint="default"/>
                      <w:color w:val="000000" w:themeColor="text1"/>
                      <w:sz w:val="21"/>
                      <w:szCs w:val="21"/>
                      <w:highlight w:val="none"/>
                      <w:lang w:val="zh-CN"/>
                      <w14:textFill>
                        <w14:solidFill>
                          <w14:schemeClr w14:val="tx1"/>
                        </w14:solidFill>
                      </w14:textFill>
                    </w:rPr>
                  </w:pPr>
                  <w:r>
                    <w:rPr>
                      <w:color w:val="000000" w:themeColor="text1"/>
                      <w:sz w:val="21"/>
                      <w:szCs w:val="21"/>
                      <w:highlight w:val="none"/>
                      <w14:textFill>
                        <w14:solidFill>
                          <w14:schemeClr w14:val="tx1"/>
                        </w14:solidFill>
                      </w14:textFill>
                    </w:rPr>
                    <w:drawing>
                      <wp:inline distT="0" distB="0" distL="114300" distR="114300">
                        <wp:extent cx="1009650" cy="904875"/>
                        <wp:effectExtent l="0" t="0" r="0" b="9525"/>
                        <wp:docPr id="8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69"/>
                                <pic:cNvPicPr>
                                  <a:picLocks noChangeAspect="1"/>
                                </pic:cNvPicPr>
                              </pic:nvPicPr>
                              <pic:blipFill>
                                <a:blip r:embed="rId46"/>
                                <a:stretch>
                                  <a:fillRect/>
                                </a:stretch>
                              </pic:blipFill>
                              <pic:spPr>
                                <a:xfrm>
                                  <a:off x="0" y="0"/>
                                  <a:ext cx="1009650" cy="904875"/>
                                </a:xfrm>
                                <a:prstGeom prst="rect">
                                  <a:avLst/>
                                </a:prstGeom>
                                <a:noFill/>
                                <a:ln>
                                  <a:noFill/>
                                </a:ln>
                              </pic:spPr>
                            </pic:pic>
                          </a:graphicData>
                        </a:graphic>
                      </wp:inline>
                    </w:drawing>
                  </w:r>
                </w:p>
              </w:tc>
              <w:tc>
                <w:tcPr>
                  <w:tcW w:w="1250" w:type="dxa"/>
                  <w:tcBorders>
                    <w:tl2br w:val="nil"/>
                    <w:tr2bl w:val="nil"/>
                  </w:tcBorders>
                  <w:noWrap w:val="0"/>
                  <w:vAlign w:val="center"/>
                </w:tcPr>
                <w:p w14:paraId="55A152EA">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噪声排放源</w:t>
                  </w:r>
                </w:p>
              </w:tc>
              <w:tc>
                <w:tcPr>
                  <w:tcW w:w="1924" w:type="dxa"/>
                  <w:tcBorders>
                    <w:tl2br w:val="nil"/>
                    <w:tr2bl w:val="nil"/>
                  </w:tcBorders>
                  <w:noWrap w:val="0"/>
                  <w:vAlign w:val="center"/>
                </w:tcPr>
                <w:p w14:paraId="47911FAA">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表示噪声向外环境排放</w:t>
                  </w:r>
                </w:p>
              </w:tc>
            </w:tr>
            <w:tr w14:paraId="631991B3">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507" w:hRule="atLeast"/>
                <w:jc w:val="center"/>
              </w:trPr>
              <w:tc>
                <w:tcPr>
                  <w:tcW w:w="828" w:type="dxa"/>
                  <w:tcBorders>
                    <w:tl2br w:val="nil"/>
                    <w:tr2bl w:val="nil"/>
                  </w:tcBorders>
                  <w:noWrap w:val="0"/>
                  <w:vAlign w:val="center"/>
                </w:tcPr>
                <w:p w14:paraId="4EA27FBA">
                  <w:pPr>
                    <w:pStyle w:val="43"/>
                    <w:keepNext w:val="0"/>
                    <w:keepLines w:val="0"/>
                    <w:pageBreakBefore w:val="0"/>
                    <w:widowControl w:val="0"/>
                    <w:numPr>
                      <w:ilvl w:val="0"/>
                      <w:numId w:val="22"/>
                    </w:numPr>
                    <w:shd w:val="clear"/>
                    <w:kinsoku/>
                    <w:wordWrap/>
                    <w:overflowPunct/>
                    <w:topLinePunct w:val="0"/>
                    <w:autoSpaceDE/>
                    <w:autoSpaceDN/>
                    <w:bidi w:val="0"/>
                    <w:adjustRightInd/>
                    <w:snapToGrid/>
                    <w:spacing w:before="0" w:after="0"/>
                    <w:ind w:left="0" w:leftChars="0" w:firstLine="0" w:firstLineChars="0"/>
                    <w:textAlignment w:val="auto"/>
                    <w:rPr>
                      <w:rFonts w:hint="default"/>
                      <w:color w:val="000000" w:themeColor="text1"/>
                      <w:sz w:val="21"/>
                      <w:szCs w:val="21"/>
                      <w:highlight w:val="none"/>
                      <w:lang w:val="en-US" w:eastAsia="zh-CN"/>
                      <w14:textFill>
                        <w14:solidFill>
                          <w14:schemeClr w14:val="tx1"/>
                        </w14:solidFill>
                      </w14:textFill>
                    </w:rPr>
                  </w:pPr>
                </w:p>
              </w:tc>
              <w:tc>
                <w:tcPr>
                  <w:tcW w:w="2059" w:type="dxa"/>
                  <w:tcBorders>
                    <w:tl2br w:val="nil"/>
                    <w:tr2bl w:val="nil"/>
                  </w:tcBorders>
                  <w:noWrap w:val="0"/>
                  <w:vAlign w:val="center"/>
                </w:tcPr>
                <w:p w14:paraId="31748857">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drawing>
                      <wp:anchor distT="0" distB="0" distL="0" distR="0" simplePos="0" relativeHeight="251662336" behindDoc="1" locked="0" layoutInCell="1" allowOverlap="1">
                        <wp:simplePos x="0" y="0"/>
                        <wp:positionH relativeFrom="column">
                          <wp:posOffset>123825</wp:posOffset>
                        </wp:positionH>
                        <wp:positionV relativeFrom="paragraph">
                          <wp:posOffset>78740</wp:posOffset>
                        </wp:positionV>
                        <wp:extent cx="934085" cy="934085"/>
                        <wp:effectExtent l="0" t="0" r="18415" b="18415"/>
                        <wp:wrapTight wrapText="bothSides">
                          <wp:wrapPolygon>
                            <wp:start x="0" y="0"/>
                            <wp:lineTo x="0" y="21145"/>
                            <wp:lineTo x="21145" y="21145"/>
                            <wp:lineTo x="21145" y="0"/>
                            <wp:lineTo x="0" y="0"/>
                          </wp:wrapPolygon>
                        </wp:wrapTight>
                        <wp:docPr id="1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8"/>
                                <pic:cNvPicPr>
                                  <a:picLocks noChangeAspect="1"/>
                                </pic:cNvPicPr>
                              </pic:nvPicPr>
                              <pic:blipFill>
                                <a:blip r:embed="rId47"/>
                                <a:stretch>
                                  <a:fillRect/>
                                </a:stretch>
                              </pic:blipFill>
                              <pic:spPr>
                                <a:xfrm>
                                  <a:off x="0" y="0"/>
                                  <a:ext cx="934085" cy="934085"/>
                                </a:xfrm>
                                <a:prstGeom prst="rect">
                                  <a:avLst/>
                                </a:prstGeom>
                                <a:noFill/>
                                <a:ln>
                                  <a:noFill/>
                                </a:ln>
                              </pic:spPr>
                            </pic:pic>
                          </a:graphicData>
                        </a:graphic>
                      </wp:anchor>
                    </w:drawing>
                  </w:r>
                </w:p>
              </w:tc>
              <w:tc>
                <w:tcPr>
                  <w:tcW w:w="1837" w:type="dxa"/>
                  <w:tcBorders>
                    <w:tl2br w:val="nil"/>
                    <w:tr2bl w:val="nil"/>
                  </w:tcBorders>
                  <w:noWrap w:val="0"/>
                  <w:vAlign w:val="center"/>
                </w:tcPr>
                <w:p w14:paraId="29F9056D">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83820</wp:posOffset>
                        </wp:positionH>
                        <wp:positionV relativeFrom="paragraph">
                          <wp:posOffset>127000</wp:posOffset>
                        </wp:positionV>
                        <wp:extent cx="935990" cy="831850"/>
                        <wp:effectExtent l="0" t="0" r="16510" b="6350"/>
                        <wp:wrapNone/>
                        <wp:docPr id="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9"/>
                                <pic:cNvPicPr>
                                  <a:picLocks noChangeAspect="1"/>
                                </pic:cNvPicPr>
                              </pic:nvPicPr>
                              <pic:blipFill>
                                <a:blip r:embed="rId48"/>
                                <a:stretch>
                                  <a:fillRect/>
                                </a:stretch>
                              </pic:blipFill>
                              <pic:spPr>
                                <a:xfrm>
                                  <a:off x="0" y="0"/>
                                  <a:ext cx="935990" cy="831850"/>
                                </a:xfrm>
                                <a:prstGeom prst="rect">
                                  <a:avLst/>
                                </a:prstGeom>
                                <a:noFill/>
                                <a:ln>
                                  <a:noFill/>
                                </a:ln>
                              </pic:spPr>
                            </pic:pic>
                          </a:graphicData>
                        </a:graphic>
                      </wp:anchor>
                    </w:drawing>
                  </w:r>
                </w:p>
              </w:tc>
              <w:tc>
                <w:tcPr>
                  <w:tcW w:w="1250" w:type="dxa"/>
                  <w:tcBorders>
                    <w:tl2br w:val="nil"/>
                    <w:tr2bl w:val="nil"/>
                  </w:tcBorders>
                  <w:noWrap w:val="0"/>
                  <w:vAlign w:val="center"/>
                </w:tcPr>
                <w:p w14:paraId="3B542361">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一般固体废物</w:t>
                  </w:r>
                </w:p>
              </w:tc>
              <w:tc>
                <w:tcPr>
                  <w:tcW w:w="1924" w:type="dxa"/>
                  <w:tcBorders>
                    <w:tl2br w:val="nil"/>
                    <w:tr2bl w:val="nil"/>
                  </w:tcBorders>
                  <w:noWrap w:val="0"/>
                  <w:vAlign w:val="center"/>
                </w:tcPr>
                <w:p w14:paraId="26FA923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表示一般固体废物贮存、处置场</w:t>
                  </w:r>
                </w:p>
              </w:tc>
            </w:tr>
            <w:tr w14:paraId="32BE0A39">
              <w:tblPrEx>
                <w:tblBorders>
                  <w:top w:val="single" w:color="auto" w:sz="12" w:space="0"/>
                  <w:left w:val="single" w:color="auto" w:sz="12" w:space="0"/>
                  <w:bottom w:val="single" w:color="auto" w:sz="12" w:space="0"/>
                  <w:right w:val="single" w:color="auto" w:sz="12" w:space="0"/>
                  <w:insideH w:val="dotted" w:color="auto" w:sz="4" w:space="0"/>
                  <w:insideV w:val="dotted" w:color="auto" w:sz="4" w:space="0"/>
                </w:tblBorders>
                <w:tblCellMar>
                  <w:top w:w="0" w:type="dxa"/>
                  <w:left w:w="108" w:type="dxa"/>
                  <w:bottom w:w="0" w:type="dxa"/>
                  <w:right w:w="108" w:type="dxa"/>
                </w:tblCellMar>
              </w:tblPrEx>
              <w:trPr>
                <w:trHeight w:val="1470" w:hRule="atLeast"/>
                <w:jc w:val="center"/>
              </w:trPr>
              <w:tc>
                <w:tcPr>
                  <w:tcW w:w="828" w:type="dxa"/>
                  <w:tcBorders>
                    <w:tl2br w:val="nil"/>
                    <w:tr2bl w:val="nil"/>
                  </w:tcBorders>
                  <w:noWrap w:val="0"/>
                  <w:vAlign w:val="center"/>
                </w:tcPr>
                <w:p w14:paraId="675690A0">
                  <w:pPr>
                    <w:pStyle w:val="43"/>
                    <w:keepNext w:val="0"/>
                    <w:keepLines w:val="0"/>
                    <w:pageBreakBefore w:val="0"/>
                    <w:widowControl w:val="0"/>
                    <w:numPr>
                      <w:ilvl w:val="0"/>
                      <w:numId w:val="22"/>
                    </w:numPr>
                    <w:shd w:val="clear"/>
                    <w:kinsoku/>
                    <w:wordWrap/>
                    <w:overflowPunct/>
                    <w:topLinePunct w:val="0"/>
                    <w:autoSpaceDE/>
                    <w:autoSpaceDN/>
                    <w:bidi w:val="0"/>
                    <w:adjustRightInd/>
                    <w:snapToGrid/>
                    <w:spacing w:before="0" w:after="0"/>
                    <w:ind w:left="0" w:leftChars="0" w:firstLine="0" w:firstLineChars="0"/>
                    <w:textAlignment w:val="auto"/>
                    <w:rPr>
                      <w:rFonts w:hint="default"/>
                      <w:color w:val="000000" w:themeColor="text1"/>
                      <w:sz w:val="21"/>
                      <w:szCs w:val="21"/>
                      <w:highlight w:val="none"/>
                      <w:lang w:val="en-US" w:eastAsia="zh-CN"/>
                      <w14:textFill>
                        <w14:solidFill>
                          <w14:schemeClr w14:val="tx1"/>
                        </w14:solidFill>
                      </w14:textFill>
                    </w:rPr>
                  </w:pPr>
                </w:p>
              </w:tc>
              <w:tc>
                <w:tcPr>
                  <w:tcW w:w="2059" w:type="dxa"/>
                  <w:tcBorders>
                    <w:tl2br w:val="nil"/>
                    <w:tr2bl w:val="nil"/>
                  </w:tcBorders>
                  <w:noWrap w:val="0"/>
                  <w:vAlign w:val="center"/>
                </w:tcPr>
                <w:p w14:paraId="101A459E">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p>
              </w:tc>
              <w:tc>
                <w:tcPr>
                  <w:tcW w:w="1837" w:type="dxa"/>
                  <w:tcBorders>
                    <w:tl2br w:val="nil"/>
                    <w:tr2bl w:val="nil"/>
                  </w:tcBorders>
                  <w:noWrap w:val="0"/>
                  <w:vAlign w:val="center"/>
                </w:tcPr>
                <w:p w14:paraId="19C9FCA8">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color w:val="000000" w:themeColor="text1"/>
                      <w:sz w:val="21"/>
                      <w:szCs w:val="21"/>
                      <w:highlight w:val="none"/>
                      <w14:textFill>
                        <w14:solidFill>
                          <w14:schemeClr w14:val="tx1"/>
                        </w14:solidFill>
                      </w14:textFill>
                    </w:rPr>
                    <w:drawing>
                      <wp:inline distT="0" distB="0" distL="114300" distR="114300">
                        <wp:extent cx="1059180" cy="935990"/>
                        <wp:effectExtent l="0" t="0" r="7620" b="16510"/>
                        <wp:docPr id="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3"/>
                                <pic:cNvPicPr>
                                  <a:picLocks noChangeAspect="1"/>
                                </pic:cNvPicPr>
                              </pic:nvPicPr>
                              <pic:blipFill>
                                <a:blip r:embed="rId49"/>
                                <a:stretch>
                                  <a:fillRect/>
                                </a:stretch>
                              </pic:blipFill>
                              <pic:spPr>
                                <a:xfrm>
                                  <a:off x="0" y="0"/>
                                  <a:ext cx="1059180" cy="935990"/>
                                </a:xfrm>
                                <a:prstGeom prst="rect">
                                  <a:avLst/>
                                </a:prstGeom>
                                <a:noFill/>
                                <a:ln>
                                  <a:noFill/>
                                </a:ln>
                              </pic:spPr>
                            </pic:pic>
                          </a:graphicData>
                        </a:graphic>
                      </wp:inline>
                    </w:drawing>
                  </w:r>
                </w:p>
              </w:tc>
              <w:tc>
                <w:tcPr>
                  <w:tcW w:w="1250" w:type="dxa"/>
                  <w:tcBorders>
                    <w:tl2br w:val="nil"/>
                    <w:tr2bl w:val="nil"/>
                  </w:tcBorders>
                  <w:noWrap w:val="0"/>
                  <w:vAlign w:val="center"/>
                </w:tcPr>
                <w:p w14:paraId="53E47F32">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危险废物储存</w:t>
                  </w:r>
                </w:p>
              </w:tc>
              <w:tc>
                <w:tcPr>
                  <w:tcW w:w="1924" w:type="dxa"/>
                  <w:tcBorders>
                    <w:tl2br w:val="nil"/>
                    <w:tr2bl w:val="nil"/>
                  </w:tcBorders>
                  <w:noWrap w:val="0"/>
                  <w:vAlign w:val="center"/>
                </w:tcPr>
                <w:p w14:paraId="2FDD2643">
                  <w:pPr>
                    <w:pStyle w:val="43"/>
                    <w:keepNext w:val="0"/>
                    <w:keepLines w:val="0"/>
                    <w:pageBreakBefore w:val="0"/>
                    <w:widowControl w:val="0"/>
                    <w:shd w:val="clear"/>
                    <w:kinsoku/>
                    <w:wordWrap/>
                    <w:overflowPunct/>
                    <w:topLinePunct w:val="0"/>
                    <w:autoSpaceDE/>
                    <w:autoSpaceDN/>
                    <w:bidi w:val="0"/>
                    <w:adjustRightInd/>
                    <w:snapToGrid/>
                    <w:spacing w:before="0" w:after="0"/>
                    <w:textAlignment w:val="auto"/>
                    <w:rPr>
                      <w:rFonts w:hint="default"/>
                      <w:color w:val="000000" w:themeColor="text1"/>
                      <w:sz w:val="21"/>
                      <w:szCs w:val="21"/>
                      <w:highlight w:val="none"/>
                      <w:lang w:val="zh-CN"/>
                      <w14:textFill>
                        <w14:solidFill>
                          <w14:schemeClr w14:val="tx1"/>
                        </w14:solidFill>
                      </w14:textFill>
                    </w:rPr>
                  </w:pPr>
                  <w:r>
                    <w:rPr>
                      <w:rFonts w:hint="default"/>
                      <w:color w:val="000000" w:themeColor="text1"/>
                      <w:sz w:val="21"/>
                      <w:szCs w:val="21"/>
                      <w:highlight w:val="none"/>
                      <w14:textFill>
                        <w14:solidFill>
                          <w14:schemeClr w14:val="tx1"/>
                        </w14:solidFill>
                      </w14:textFill>
                    </w:rPr>
                    <w:t>表示危险废物储存处置场所</w:t>
                  </w:r>
                </w:p>
              </w:tc>
            </w:tr>
          </w:tbl>
          <w:p w14:paraId="2FA12574">
            <w:pPr>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t>②排放口的环境保护标志牌应设置在靠近采样点的醒目处，标志牌设置高度为其上缘距地面约2m。</w:t>
            </w:r>
          </w:p>
          <w:p w14:paraId="1B6E4E9D">
            <w:pPr>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t>③图形颜色及装置颜色提示标志：底和立柱为绿色，图案、边框、支架和文字为白色；警告标志：底和立柱为黄色，图案、边框、支架和文字为黑色。</w:t>
            </w:r>
          </w:p>
          <w:p w14:paraId="59A7432E">
            <w:pPr>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pPr>
            <w:r>
              <w:rPr>
                <w:rFonts w:hint="eastAsia" w:cs="Times New Roman"/>
                <w:color w:val="000000" w:themeColor="text1"/>
                <w:kern w:val="44"/>
                <w:sz w:val="24"/>
                <w:szCs w:val="24"/>
                <w:highlight w:val="none"/>
                <w:lang w:val="zh-CN"/>
                <w14:textFill>
                  <w14:solidFill>
                    <w14:schemeClr w14:val="tx1"/>
                  </w14:solidFill>
                </w14:textFill>
              </w:rPr>
              <w:t>⑸</w:t>
            </w:r>
            <w: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t>排污口建档管理</w:t>
            </w:r>
          </w:p>
          <w:p w14:paraId="23DC6EEE">
            <w:pPr>
              <w:pageBreakBefore w:val="0"/>
              <w:widowControl w:val="0"/>
              <w:shd w:val="clear"/>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t>①要求使用原国家环保总局统一印制的《中华人民共和国规范化排污口标志登记证》，并按照相关要求填写有关内容；</w:t>
            </w:r>
          </w:p>
          <w:p w14:paraId="65542D0B">
            <w:pPr>
              <w:shd w:val="clea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t>②根据排污口管理档案内容要求，项目建成投产后，应将主要污染物种类、数量、浓度、排放去向、达标情况及设施运行情况记录于档案。</w:t>
            </w:r>
          </w:p>
          <w:p w14:paraId="32ABD99D">
            <w:pPr>
              <w:shd w:val="clea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pPr>
          </w:p>
          <w:p w14:paraId="006DFCE9">
            <w:pPr>
              <w:shd w:val="clear"/>
              <w:rPr>
                <w:rFonts w:hint="default" w:ascii="Times New Roman" w:hAnsi="Times New Roman" w:eastAsia="宋体" w:cs="Times New Roman"/>
                <w:color w:val="000000" w:themeColor="text1"/>
                <w:kern w:val="44"/>
                <w:sz w:val="24"/>
                <w:szCs w:val="24"/>
                <w:highlight w:val="none"/>
                <w:lang w:val="zh-CN"/>
                <w14:textFill>
                  <w14:solidFill>
                    <w14:schemeClr w14:val="tx1"/>
                  </w14:solidFill>
                </w14:textFill>
              </w:rPr>
            </w:pPr>
          </w:p>
          <w:p w14:paraId="21C7CEF2">
            <w:pPr>
              <w:shd w:val="clear"/>
              <w:rPr>
                <w:rFonts w:hint="default" w:ascii="Times New Roman" w:hAnsi="Times New Roman" w:eastAsia="宋体" w:cs="Times New Roman"/>
                <w:color w:val="000000" w:themeColor="text1"/>
                <w:kern w:val="44"/>
                <w:sz w:val="24"/>
                <w:szCs w:val="24"/>
                <w:highlight w:val="none"/>
                <w:lang w:val="en-US" w:eastAsia="zh-CN"/>
                <w14:textFill>
                  <w14:solidFill>
                    <w14:schemeClr w14:val="tx1"/>
                  </w14:solidFill>
                </w14:textFill>
              </w:rPr>
            </w:pPr>
          </w:p>
          <w:p w14:paraId="509E479F">
            <w:pPr>
              <w:shd w:val="clear"/>
              <w:rPr>
                <w:rFonts w:hint="default"/>
                <w:color w:val="000000" w:themeColor="text1"/>
                <w:highlight w:val="none"/>
                <w:lang w:val="en-US" w:eastAsia="zh-CN"/>
                <w14:textFill>
                  <w14:solidFill>
                    <w14:schemeClr w14:val="tx1"/>
                  </w14:solidFill>
                </w14:textFill>
              </w:rPr>
            </w:pPr>
          </w:p>
        </w:tc>
      </w:tr>
    </w:tbl>
    <w:p w14:paraId="014429DF">
      <w:pPr>
        <w:shd w:val="clea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br w:type="page"/>
      </w:r>
    </w:p>
    <w:p w14:paraId="22CD365D">
      <w:pPr>
        <w:keepNext w:val="0"/>
        <w:keepLines w:val="0"/>
        <w:pageBreakBefore w:val="0"/>
        <w:widowControl w:val="0"/>
        <w:shd w:val="clear"/>
        <w:kinsoku/>
        <w:wordWrap/>
        <w:overflowPunct/>
        <w:topLinePunct w:val="0"/>
        <w:autoSpaceDE/>
        <w:autoSpaceDN/>
        <w:bidi w:val="0"/>
        <w:adjustRightInd/>
        <w:snapToGrid/>
        <w:spacing w:beforeAutospacing="0" w:afterAutospacing="0"/>
        <w:ind w:firstLine="0" w:firstLineChars="0"/>
        <w:jc w:val="center"/>
        <w:textAlignment w:val="auto"/>
        <w:rPr>
          <w:rFonts w:hint="default" w:ascii="Times New Roman" w:hAnsi="Times New Roman" w:eastAsia="黑体" w:cs="Times New Roman"/>
          <w:snapToGrid w:val="0"/>
          <w:color w:val="000000" w:themeColor="text1"/>
          <w:kern w:val="0"/>
          <w:sz w:val="30"/>
          <w:szCs w:val="30"/>
          <w:highlight w:val="none"/>
          <w:lang w:val="en-US" w:eastAsia="zh-CN" w:bidi="ar-SA"/>
          <w14:textFill>
            <w14:solidFill>
              <w14:schemeClr w14:val="tx1"/>
            </w14:solidFill>
          </w14:textFill>
        </w:rPr>
      </w:pPr>
      <w:r>
        <w:rPr>
          <w:rFonts w:hint="default" w:ascii="Times New Roman" w:hAnsi="Times New Roman" w:eastAsia="黑体" w:cs="Times New Roman"/>
          <w:snapToGrid w:val="0"/>
          <w:color w:val="000000" w:themeColor="text1"/>
          <w:kern w:val="0"/>
          <w:sz w:val="30"/>
          <w:szCs w:val="30"/>
          <w:highlight w:val="none"/>
          <w:lang w:val="en-US" w:eastAsia="zh-CN" w:bidi="ar-SA"/>
          <w14:textFill>
            <w14:solidFill>
              <w14:schemeClr w14:val="tx1"/>
            </w14:solidFill>
          </w14:textFill>
        </w:rPr>
        <w:t>六、结论</w:t>
      </w:r>
    </w:p>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14F09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400" w:type="dxa"/>
            <w:tcBorders>
              <w:tl2br w:val="nil"/>
              <w:tr2bl w:val="nil"/>
            </w:tcBorders>
            <w:noWrap w:val="0"/>
            <w:vAlign w:val="top"/>
          </w:tcPr>
          <w:p w14:paraId="05D505A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cs="Times New Roman"/>
                <w:color w:val="000000" w:themeColor="text1"/>
                <w:highlight w:val="none"/>
                <w:lang w:val="en-US"/>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滦州市耀隆宝峰矿业有限公司</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在</w:t>
            </w:r>
            <w:r>
              <w:rPr>
                <w:rFonts w:hint="eastAsia" w:cs="Times New Roman"/>
                <w:color w:val="000000" w:themeColor="text1"/>
                <w:sz w:val="24"/>
                <w:szCs w:val="24"/>
                <w:highlight w:val="none"/>
                <w:lang w:val="en-US" w:eastAsia="zh-CN"/>
                <w14:textFill>
                  <w14:solidFill>
                    <w14:schemeClr w14:val="tx1"/>
                  </w14:solidFill>
                </w14:textFill>
              </w:rPr>
              <w:t>河北省唐山市滦州市雷庄镇耀隆宝峰矿业有限公司院内</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投资</w:t>
            </w:r>
            <w:r>
              <w:rPr>
                <w:rFonts w:hint="eastAsia" w:cs="Times New Roman"/>
                <w:color w:val="000000" w:themeColor="text1"/>
                <w:sz w:val="24"/>
                <w:szCs w:val="24"/>
                <w:highlight w:val="none"/>
                <w:lang w:val="en-US" w:eastAsia="zh-CN"/>
                <w14:textFill>
                  <w14:solidFill>
                    <w14:schemeClr w14:val="tx1"/>
                  </w14:solidFill>
                </w14:textFill>
              </w:rPr>
              <w:t>300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万元建设的</w:t>
            </w:r>
            <w:r>
              <w:rPr>
                <w:rFonts w:hint="eastAsia" w:cs="Times New Roman"/>
                <w:color w:val="000000" w:themeColor="text1"/>
                <w:highlight w:val="none"/>
                <w:lang w:val="en-US" w:eastAsia="zh-CN"/>
                <w14:textFill>
                  <w14:solidFill>
                    <w14:schemeClr w14:val="tx1"/>
                  </w14:solidFill>
                </w14:textFill>
              </w:rPr>
              <w:t>滦州市耀隆宝峰矿业有限公司新增破碎筛分设备技术改造项目</w:t>
            </w:r>
            <w:r>
              <w:rPr>
                <w:rFonts w:hint="default" w:ascii="Times New Roman" w:hAnsi="Times New Roman" w:cs="Times New Roman"/>
                <w:color w:val="000000" w:themeColor="text1"/>
                <w:highlight w:val="none"/>
                <w:lang w:val="en-US" w:eastAsia="zh-CN"/>
                <w14:textFill>
                  <w14:solidFill>
                    <w14:schemeClr w14:val="tx1"/>
                  </w14:solidFill>
                </w14:textFill>
              </w:rPr>
              <w:t>，符合国家产业政策，选址合理，采取环评提出的污染防治措施后，污染物可达标排放，不会对周围环境质量造成明显的不利影响，从环保角度而言，该项目建设可行。</w:t>
            </w:r>
          </w:p>
          <w:p w14:paraId="20621183">
            <w:pPr>
              <w:shd w:val="clear"/>
              <w:spacing w:line="360" w:lineRule="auto"/>
              <w:rPr>
                <w:rFonts w:hint="default" w:ascii="Times New Roman" w:hAnsi="Times New Roman" w:cs="Times New Roman"/>
                <w:color w:val="000000" w:themeColor="text1"/>
                <w:highlight w:val="none"/>
                <w14:textFill>
                  <w14:solidFill>
                    <w14:schemeClr w14:val="tx1"/>
                  </w14:solidFill>
                </w14:textFill>
              </w:rPr>
            </w:pPr>
          </w:p>
          <w:p w14:paraId="37D0CF96">
            <w:pPr>
              <w:pStyle w:val="7"/>
              <w:shd w:val="clear"/>
              <w:rPr>
                <w:rFonts w:hint="default" w:ascii="Times New Roman" w:hAnsi="Times New Roman" w:cs="Times New Roman"/>
                <w:color w:val="000000" w:themeColor="text1"/>
                <w:highlight w:val="none"/>
                <w14:textFill>
                  <w14:solidFill>
                    <w14:schemeClr w14:val="tx1"/>
                  </w14:solidFill>
                </w14:textFill>
              </w:rPr>
            </w:pPr>
          </w:p>
          <w:p w14:paraId="1E77C450">
            <w:pPr>
              <w:pStyle w:val="5"/>
              <w:shd w:val="clear"/>
              <w:rPr>
                <w:rFonts w:hint="default" w:ascii="Times New Roman" w:hAnsi="Times New Roman" w:cs="Times New Roman"/>
                <w:color w:val="000000" w:themeColor="text1"/>
                <w:highlight w:val="none"/>
                <w14:textFill>
                  <w14:solidFill>
                    <w14:schemeClr w14:val="tx1"/>
                  </w14:solidFill>
                </w14:textFill>
              </w:rPr>
            </w:pPr>
          </w:p>
          <w:p w14:paraId="60065A94">
            <w:pPr>
              <w:shd w:val="clear"/>
              <w:rPr>
                <w:rFonts w:hint="default" w:ascii="Times New Roman" w:hAnsi="Times New Roman" w:cs="Times New Roman"/>
                <w:color w:val="000000" w:themeColor="text1"/>
                <w:highlight w:val="none"/>
                <w14:textFill>
                  <w14:solidFill>
                    <w14:schemeClr w14:val="tx1"/>
                  </w14:solidFill>
                </w14:textFill>
              </w:rPr>
            </w:pPr>
          </w:p>
          <w:p w14:paraId="0F1E4A06">
            <w:pPr>
              <w:pStyle w:val="7"/>
              <w:shd w:val="clear"/>
              <w:rPr>
                <w:rFonts w:hint="default" w:ascii="Times New Roman" w:hAnsi="Times New Roman" w:cs="Times New Roman"/>
                <w:color w:val="000000" w:themeColor="text1"/>
                <w:highlight w:val="none"/>
                <w14:textFill>
                  <w14:solidFill>
                    <w14:schemeClr w14:val="tx1"/>
                  </w14:solidFill>
                </w14:textFill>
              </w:rPr>
            </w:pPr>
          </w:p>
          <w:p w14:paraId="3FB8288C">
            <w:pPr>
              <w:pStyle w:val="5"/>
              <w:shd w:val="clear"/>
              <w:rPr>
                <w:rFonts w:hint="default" w:ascii="Times New Roman" w:hAnsi="Times New Roman" w:cs="Times New Roman"/>
                <w:color w:val="000000" w:themeColor="text1"/>
                <w:highlight w:val="none"/>
                <w14:textFill>
                  <w14:solidFill>
                    <w14:schemeClr w14:val="tx1"/>
                  </w14:solidFill>
                </w14:textFill>
              </w:rPr>
            </w:pPr>
          </w:p>
          <w:p w14:paraId="7382EA4E">
            <w:pPr>
              <w:shd w:val="clear"/>
              <w:rPr>
                <w:rFonts w:hint="default" w:ascii="Times New Roman" w:hAnsi="Times New Roman" w:cs="Times New Roman"/>
                <w:color w:val="000000" w:themeColor="text1"/>
                <w:highlight w:val="none"/>
                <w14:textFill>
                  <w14:solidFill>
                    <w14:schemeClr w14:val="tx1"/>
                  </w14:solidFill>
                </w14:textFill>
              </w:rPr>
            </w:pPr>
          </w:p>
          <w:p w14:paraId="480346E6">
            <w:pPr>
              <w:pStyle w:val="7"/>
              <w:shd w:val="clear"/>
              <w:rPr>
                <w:rFonts w:hint="default" w:ascii="Times New Roman" w:hAnsi="Times New Roman" w:cs="Times New Roman"/>
                <w:color w:val="000000" w:themeColor="text1"/>
                <w:highlight w:val="none"/>
                <w14:textFill>
                  <w14:solidFill>
                    <w14:schemeClr w14:val="tx1"/>
                  </w14:solidFill>
                </w14:textFill>
              </w:rPr>
            </w:pPr>
          </w:p>
          <w:p w14:paraId="33ED7183">
            <w:pPr>
              <w:pStyle w:val="5"/>
              <w:shd w:val="clear"/>
              <w:rPr>
                <w:rFonts w:hint="default" w:ascii="Times New Roman" w:hAnsi="Times New Roman" w:cs="Times New Roman"/>
                <w:color w:val="000000" w:themeColor="text1"/>
                <w:highlight w:val="none"/>
                <w14:textFill>
                  <w14:solidFill>
                    <w14:schemeClr w14:val="tx1"/>
                  </w14:solidFill>
                </w14:textFill>
              </w:rPr>
            </w:pPr>
          </w:p>
          <w:p w14:paraId="66AE33A7">
            <w:pPr>
              <w:shd w:val="clear"/>
              <w:rPr>
                <w:rFonts w:hint="default" w:ascii="Times New Roman" w:hAnsi="Times New Roman" w:cs="Times New Roman"/>
                <w:color w:val="000000" w:themeColor="text1"/>
                <w:highlight w:val="none"/>
                <w14:textFill>
                  <w14:solidFill>
                    <w14:schemeClr w14:val="tx1"/>
                  </w14:solidFill>
                </w14:textFill>
              </w:rPr>
            </w:pPr>
          </w:p>
          <w:p w14:paraId="3E4C5885">
            <w:pPr>
              <w:pStyle w:val="7"/>
              <w:shd w:val="clear"/>
              <w:rPr>
                <w:rFonts w:hint="default" w:ascii="Times New Roman" w:hAnsi="Times New Roman" w:cs="Times New Roman"/>
                <w:color w:val="000000" w:themeColor="text1"/>
                <w:highlight w:val="none"/>
                <w14:textFill>
                  <w14:solidFill>
                    <w14:schemeClr w14:val="tx1"/>
                  </w14:solidFill>
                </w14:textFill>
              </w:rPr>
            </w:pPr>
          </w:p>
          <w:p w14:paraId="7B34ECF7">
            <w:pPr>
              <w:pStyle w:val="5"/>
              <w:shd w:val="clear"/>
              <w:rPr>
                <w:rFonts w:hint="default" w:ascii="Times New Roman" w:hAnsi="Times New Roman" w:cs="Times New Roman"/>
                <w:color w:val="000000" w:themeColor="text1"/>
                <w:highlight w:val="none"/>
                <w14:textFill>
                  <w14:solidFill>
                    <w14:schemeClr w14:val="tx1"/>
                  </w14:solidFill>
                </w14:textFill>
              </w:rPr>
            </w:pPr>
          </w:p>
          <w:p w14:paraId="5DA58743">
            <w:pPr>
              <w:shd w:val="clear"/>
              <w:rPr>
                <w:rFonts w:hint="default" w:ascii="Times New Roman" w:hAnsi="Times New Roman" w:cs="Times New Roman"/>
                <w:color w:val="000000" w:themeColor="text1"/>
                <w:highlight w:val="none"/>
                <w14:textFill>
                  <w14:solidFill>
                    <w14:schemeClr w14:val="tx1"/>
                  </w14:solidFill>
                </w14:textFill>
              </w:rPr>
            </w:pPr>
          </w:p>
          <w:p w14:paraId="193E2C55">
            <w:pPr>
              <w:pStyle w:val="7"/>
              <w:shd w:val="clear"/>
              <w:rPr>
                <w:rFonts w:hint="default" w:ascii="Times New Roman" w:hAnsi="Times New Roman" w:cs="Times New Roman"/>
                <w:color w:val="000000" w:themeColor="text1"/>
                <w:highlight w:val="none"/>
                <w14:textFill>
                  <w14:solidFill>
                    <w14:schemeClr w14:val="tx1"/>
                  </w14:solidFill>
                </w14:textFill>
              </w:rPr>
            </w:pPr>
          </w:p>
          <w:p w14:paraId="43013260">
            <w:pPr>
              <w:pStyle w:val="5"/>
              <w:shd w:val="clear"/>
              <w:rPr>
                <w:rFonts w:hint="default" w:ascii="Times New Roman" w:hAnsi="Times New Roman" w:cs="Times New Roman"/>
                <w:color w:val="000000" w:themeColor="text1"/>
                <w:highlight w:val="none"/>
                <w14:textFill>
                  <w14:solidFill>
                    <w14:schemeClr w14:val="tx1"/>
                  </w14:solidFill>
                </w14:textFill>
              </w:rPr>
            </w:pPr>
          </w:p>
          <w:p w14:paraId="73CFFFD2">
            <w:pPr>
              <w:shd w:val="clear"/>
              <w:rPr>
                <w:rFonts w:hint="default" w:ascii="Times New Roman" w:hAnsi="Times New Roman" w:cs="Times New Roman"/>
                <w:color w:val="000000" w:themeColor="text1"/>
                <w:highlight w:val="none"/>
                <w14:textFill>
                  <w14:solidFill>
                    <w14:schemeClr w14:val="tx1"/>
                  </w14:solidFill>
                </w14:textFill>
              </w:rPr>
            </w:pPr>
          </w:p>
          <w:p w14:paraId="525F573B">
            <w:pPr>
              <w:pStyle w:val="7"/>
              <w:shd w:val="clear"/>
              <w:rPr>
                <w:rFonts w:hint="default" w:ascii="Times New Roman" w:hAnsi="Times New Roman" w:cs="Times New Roman"/>
                <w:color w:val="000000" w:themeColor="text1"/>
                <w:highlight w:val="none"/>
                <w14:textFill>
                  <w14:solidFill>
                    <w14:schemeClr w14:val="tx1"/>
                  </w14:solidFill>
                </w14:textFill>
              </w:rPr>
            </w:pPr>
          </w:p>
          <w:p w14:paraId="70FCB254">
            <w:pPr>
              <w:pStyle w:val="5"/>
              <w:shd w:val="clear"/>
              <w:rPr>
                <w:rFonts w:hint="default" w:ascii="Times New Roman" w:hAnsi="Times New Roman" w:cs="Times New Roman"/>
                <w:color w:val="000000" w:themeColor="text1"/>
                <w:highlight w:val="none"/>
                <w14:textFill>
                  <w14:solidFill>
                    <w14:schemeClr w14:val="tx1"/>
                  </w14:solidFill>
                </w14:textFill>
              </w:rPr>
            </w:pPr>
          </w:p>
          <w:p w14:paraId="5AE00115">
            <w:pPr>
              <w:shd w:val="clear"/>
              <w:rPr>
                <w:rFonts w:hint="default" w:ascii="Times New Roman" w:hAnsi="Times New Roman" w:cs="Times New Roman"/>
                <w:color w:val="000000" w:themeColor="text1"/>
                <w:highlight w:val="none"/>
                <w14:textFill>
                  <w14:solidFill>
                    <w14:schemeClr w14:val="tx1"/>
                  </w14:solidFill>
                </w14:textFill>
              </w:rPr>
            </w:pPr>
          </w:p>
          <w:p w14:paraId="61B2A2D3">
            <w:pPr>
              <w:pStyle w:val="7"/>
              <w:shd w:val="clear"/>
              <w:rPr>
                <w:rFonts w:hint="default" w:ascii="Times New Roman" w:hAnsi="Times New Roman" w:cs="Times New Roman"/>
                <w:color w:val="000000" w:themeColor="text1"/>
                <w:highlight w:val="none"/>
                <w14:textFill>
                  <w14:solidFill>
                    <w14:schemeClr w14:val="tx1"/>
                  </w14:solidFill>
                </w14:textFill>
              </w:rPr>
            </w:pPr>
          </w:p>
          <w:p w14:paraId="6B209AC0">
            <w:pPr>
              <w:pStyle w:val="5"/>
              <w:shd w:val="clear"/>
              <w:rPr>
                <w:rFonts w:hint="default" w:ascii="Times New Roman" w:hAnsi="Times New Roman" w:cs="Times New Roman"/>
                <w:color w:val="000000" w:themeColor="text1"/>
                <w:highlight w:val="none"/>
                <w14:textFill>
                  <w14:solidFill>
                    <w14:schemeClr w14:val="tx1"/>
                  </w14:solidFill>
                </w14:textFill>
              </w:rPr>
            </w:pPr>
          </w:p>
          <w:p w14:paraId="4B3486B8">
            <w:pPr>
              <w:shd w:val="clear"/>
              <w:rPr>
                <w:rFonts w:hint="default" w:ascii="Times New Roman" w:hAnsi="Times New Roman" w:cs="Times New Roman"/>
                <w:color w:val="000000" w:themeColor="text1"/>
                <w:highlight w:val="none"/>
                <w14:textFill>
                  <w14:solidFill>
                    <w14:schemeClr w14:val="tx1"/>
                  </w14:solidFill>
                </w14:textFill>
              </w:rPr>
            </w:pPr>
          </w:p>
          <w:p w14:paraId="7AFD500B">
            <w:pPr>
              <w:pStyle w:val="7"/>
              <w:shd w:val="clear"/>
              <w:ind w:left="0" w:leftChars="0" w:firstLine="0" w:firstLineChars="0"/>
              <w:rPr>
                <w:rFonts w:hint="default" w:ascii="Times New Roman" w:hAnsi="Times New Roman" w:cs="Times New Roman"/>
                <w:color w:val="000000" w:themeColor="text1"/>
                <w:highlight w:val="none"/>
                <w14:textFill>
                  <w14:solidFill>
                    <w14:schemeClr w14:val="tx1"/>
                  </w14:solidFill>
                </w14:textFill>
              </w:rPr>
            </w:pPr>
          </w:p>
        </w:tc>
      </w:tr>
    </w:tbl>
    <w:p w14:paraId="5EE48497">
      <w:pPr>
        <w:pStyle w:val="31"/>
        <w:shd w:val="clear"/>
        <w:rPr>
          <w:rFonts w:hint="default" w:ascii="Times New Roman" w:hAnsi="Times New Roman" w:cs="Times New Roman"/>
          <w:color w:val="000000" w:themeColor="text1"/>
          <w:highlight w:val="none"/>
          <w14:textFill>
            <w14:solidFill>
              <w14:schemeClr w14:val="tx1"/>
            </w14:solidFill>
          </w14:textFill>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2280143">
      <w:pPr>
        <w:pStyle w:val="29"/>
        <w:keepNext w:val="0"/>
        <w:keepLines w:val="0"/>
        <w:pageBreakBefore w:val="0"/>
        <w:widowControl/>
        <w:shd w:val="clear"/>
        <w:kinsoku/>
        <w:wordWrap/>
        <w:overflowPunct/>
        <w:topLinePunct w:val="0"/>
        <w:autoSpaceDE/>
        <w:autoSpaceDN/>
        <w:bidi w:val="0"/>
        <w:adjustRightInd/>
        <w:snapToGrid/>
        <w:spacing w:before="0" w:beforeAutospacing="0" w:after="0" w:afterAutospacing="0"/>
        <w:ind w:firstLine="0" w:firstLineChars="0"/>
        <w:jc w:val="center"/>
        <w:textAlignment w:val="auto"/>
        <w:outlineLvl w:val="0"/>
        <w:rPr>
          <w:rFonts w:hint="eastAsia" w:ascii="Times New Roman" w:hAnsi="Times New Roman" w:eastAsia="黑体" w:cs="Times New Roman"/>
          <w:snapToGrid w:val="0"/>
          <w:color w:val="000000" w:themeColor="text1"/>
          <w:sz w:val="24"/>
          <w:szCs w:val="24"/>
          <w:highlight w:val="none"/>
          <w:lang w:eastAsia="zh-CN"/>
          <w14:textFill>
            <w14:solidFill>
              <w14:schemeClr w14:val="tx1"/>
            </w14:solidFill>
          </w14:textFill>
        </w:rPr>
      </w:pPr>
      <w:r>
        <w:rPr>
          <w:rFonts w:hint="default" w:ascii="Times New Roman" w:hAnsi="Times New Roman" w:eastAsia="黑体" w:cs="Times New Roman"/>
          <w:snapToGrid w:val="0"/>
          <w:color w:val="000000" w:themeColor="text1"/>
          <w:sz w:val="24"/>
          <w:szCs w:val="24"/>
          <w:highlight w:val="none"/>
          <w14:textFill>
            <w14:solidFill>
              <w14:schemeClr w14:val="tx1"/>
            </w14:solidFill>
          </w14:textFill>
        </w:rPr>
        <w:t>建设项目污染物排放量汇总表</w:t>
      </w:r>
      <w:r>
        <w:rPr>
          <w:rFonts w:hint="eastAsia" w:ascii="Times New Roman" w:hAnsi="Times New Roman" w:eastAsia="黑体" w:cs="Times New Roman"/>
          <w:snapToGrid w:val="0"/>
          <w:color w:val="000000" w:themeColor="text1"/>
          <w:sz w:val="24"/>
          <w:szCs w:val="24"/>
          <w:highlight w:val="none"/>
          <w:lang w:eastAsia="zh-CN"/>
          <w14:textFill>
            <w14:solidFill>
              <w14:schemeClr w14:val="tx1"/>
            </w14:solidFill>
          </w14:textFill>
        </w:rPr>
        <w:t>（单位：</w:t>
      </w:r>
      <w:r>
        <w:rPr>
          <w:rFonts w:hint="eastAsia" w:ascii="Times New Roman" w:hAnsi="Times New Roman" w:eastAsia="黑体" w:cs="Times New Roman"/>
          <w:snapToGrid w:val="0"/>
          <w:color w:val="000000" w:themeColor="text1"/>
          <w:sz w:val="24"/>
          <w:szCs w:val="24"/>
          <w:highlight w:val="none"/>
          <w:lang w:val="en-US" w:eastAsia="zh-CN"/>
          <w14:textFill>
            <w14:solidFill>
              <w14:schemeClr w14:val="tx1"/>
            </w14:solidFill>
          </w14:textFill>
        </w:rPr>
        <w:t>t/a</w:t>
      </w:r>
      <w:r>
        <w:rPr>
          <w:rFonts w:hint="eastAsia" w:ascii="Times New Roman" w:hAnsi="Times New Roman" w:eastAsia="黑体" w:cs="Times New Roman"/>
          <w:snapToGrid w:val="0"/>
          <w:color w:val="000000" w:themeColor="text1"/>
          <w:sz w:val="24"/>
          <w:szCs w:val="24"/>
          <w:highlight w:val="none"/>
          <w:lang w:eastAsia="zh-CN"/>
          <w14:textFill>
            <w14:solidFill>
              <w14:schemeClr w14:val="tx1"/>
            </w14:solidFill>
          </w14:textFill>
        </w:rPr>
        <w:t>）</w:t>
      </w:r>
    </w:p>
    <w:tbl>
      <w:tblPr>
        <w:tblStyle w:val="32"/>
        <w:tblW w:w="13936" w:type="dxa"/>
        <w:jc w:val="center"/>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Layout w:type="fixed"/>
        <w:tblCellMar>
          <w:top w:w="0" w:type="dxa"/>
          <w:left w:w="108" w:type="dxa"/>
          <w:bottom w:w="0" w:type="dxa"/>
          <w:right w:w="108" w:type="dxa"/>
        </w:tblCellMar>
      </w:tblPr>
      <w:tblGrid>
        <w:gridCol w:w="1278"/>
        <w:gridCol w:w="2880"/>
        <w:gridCol w:w="1426"/>
        <w:gridCol w:w="1080"/>
        <w:gridCol w:w="1456"/>
        <w:gridCol w:w="1411"/>
        <w:gridCol w:w="1411"/>
        <w:gridCol w:w="1747"/>
        <w:gridCol w:w="1247"/>
      </w:tblGrid>
      <w:tr w14:paraId="37DE12F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1052" w:hRule="atLeast"/>
          <w:tblHeader/>
          <w:jc w:val="center"/>
        </w:trPr>
        <w:tc>
          <w:tcPr>
            <w:tcW w:w="1278" w:type="dxa"/>
            <w:tcBorders>
              <w:tl2br w:val="nil"/>
              <w:tr2bl w:val="nil"/>
            </w:tcBorders>
            <w:shd w:val="clear" w:color="auto" w:fill="auto"/>
            <w:noWrap/>
            <w:vAlign w:val="center"/>
            <mc:AlternateContent>
              <mc:Choice Requires="wpsCustomData">
                <wpsCustomData:diagonals>
                  <wpsCustomData:diagonal from="10000" to="30000">
                    <wpsCustomData:border w:val="single" w:color="000000" w:sz="12" w:space="0"/>
                  </wpsCustomData:diagonal>
                </wpsCustomData:diagonals>
              </mc:Choice>
            </mc:AlternateContent>
          </w:tcPr>
          <w:p w14:paraId="363AFD37">
            <w:pPr>
              <w:keepNext w:val="0"/>
              <w:keepLines w:val="0"/>
              <w:pageBreakBefore w:val="0"/>
              <w:widowControl/>
              <w:suppressLineNumbers w:val="0"/>
              <w:shd w:val="clear"/>
              <w:kinsoku/>
              <w:wordWrap/>
              <w:overflowPunct/>
              <w:topLinePunct w:val="0"/>
              <w:autoSpaceDE/>
              <w:autoSpaceDN/>
              <w:bidi w:val="0"/>
              <w:adjustRightInd/>
              <w:snapToGrid w:val="0"/>
              <w:spacing w:line="0" w:lineRule="atLeast"/>
              <w:ind w:firstLine="0" w:firstLineChars="0"/>
              <w:jc w:val="left"/>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p w14:paraId="7739CA69">
            <w:pPr>
              <w:keepNext w:val="0"/>
              <w:keepLines w:val="0"/>
              <w:pageBreakBefore w:val="0"/>
              <w:widowControl/>
              <w:suppressLineNumbers w:val="0"/>
              <w:shd w:val="clear"/>
              <w:kinsoku/>
              <w:wordWrap/>
              <w:overflowPunct/>
              <w:topLinePunct w:val="0"/>
              <w:autoSpaceDE/>
              <w:autoSpaceDN/>
              <w:bidi w:val="0"/>
              <w:adjustRightInd/>
              <w:snapToGrid w:val="0"/>
              <w:spacing w:line="0" w:lineRule="atLeast"/>
              <w:ind w:firstLine="0" w:firstLineChars="0"/>
              <w:jc w:val="left"/>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p w14:paraId="4BD0DF8F">
            <w:pPr>
              <w:keepNext w:val="0"/>
              <w:keepLines w:val="0"/>
              <w:pageBreakBefore w:val="0"/>
              <w:widowControl/>
              <w:suppressLineNumbers w:val="0"/>
              <w:shd w:val="clear"/>
              <w:kinsoku/>
              <w:wordWrap/>
              <w:overflowPunct/>
              <w:topLinePunct w:val="0"/>
              <w:autoSpaceDE/>
              <w:autoSpaceDN/>
              <w:bidi w:val="0"/>
              <w:adjustRightInd/>
              <w:snapToGrid w:val="0"/>
              <w:spacing w:line="0" w:lineRule="atLeast"/>
              <w:ind w:firstLine="0" w:firstLineChars="0"/>
              <w:jc w:val="left"/>
              <w:textAlignment w:val="center"/>
              <mc:AlternateContent>
                <mc:Choice Requires="wpsCustomData">
                  <wpsCustomData:diagonalParaType/>
                </mc:Choice>
              </mc:AlternateContent>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分类</w:t>
            </w:r>
          </w:p>
          <w:p w14:paraId="2294C52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210" w:firstLineChars="100"/>
              <w:jc w:val="left"/>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项目</w:t>
            </w:r>
          </w:p>
          <w:p w14:paraId="249A845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left"/>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2880" w:type="dxa"/>
            <w:tcBorders>
              <w:tl2br w:val="nil"/>
              <w:tr2bl w:val="nil"/>
            </w:tcBorders>
            <w:shd w:val="clear" w:color="auto" w:fill="auto"/>
            <w:noWrap/>
            <w:vAlign w:val="center"/>
          </w:tcPr>
          <w:p w14:paraId="5E25FE4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污染物名称</w:t>
            </w:r>
          </w:p>
        </w:tc>
        <w:tc>
          <w:tcPr>
            <w:tcW w:w="1426" w:type="dxa"/>
            <w:tcBorders>
              <w:tl2br w:val="nil"/>
              <w:tr2bl w:val="nil"/>
            </w:tcBorders>
            <w:shd w:val="clear" w:color="auto" w:fill="auto"/>
            <w:vAlign w:val="center"/>
          </w:tcPr>
          <w:p w14:paraId="71530C4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现有工程排放量（固体废物产生量）①</w:t>
            </w:r>
          </w:p>
        </w:tc>
        <w:tc>
          <w:tcPr>
            <w:tcW w:w="1080" w:type="dxa"/>
            <w:tcBorders>
              <w:tl2br w:val="nil"/>
              <w:tr2bl w:val="nil"/>
            </w:tcBorders>
            <w:shd w:val="clear" w:color="auto" w:fill="auto"/>
            <w:vAlign w:val="center"/>
          </w:tcPr>
          <w:p w14:paraId="2437EFC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现有工程许可排放量②</w:t>
            </w:r>
          </w:p>
        </w:tc>
        <w:tc>
          <w:tcPr>
            <w:tcW w:w="1456" w:type="dxa"/>
            <w:tcBorders>
              <w:tl2br w:val="nil"/>
              <w:tr2bl w:val="nil"/>
            </w:tcBorders>
            <w:shd w:val="clear" w:color="auto" w:fill="auto"/>
            <w:vAlign w:val="center"/>
          </w:tcPr>
          <w:p w14:paraId="5D8B8C6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在建工程排放量（固体废物产生量）③</w:t>
            </w:r>
          </w:p>
        </w:tc>
        <w:tc>
          <w:tcPr>
            <w:tcW w:w="1411" w:type="dxa"/>
            <w:tcBorders>
              <w:tl2br w:val="nil"/>
              <w:tr2bl w:val="nil"/>
            </w:tcBorders>
            <w:shd w:val="clear" w:color="auto" w:fill="auto"/>
            <w:vAlign w:val="center"/>
          </w:tcPr>
          <w:p w14:paraId="67C46F1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本项目排放量（固体废物产生量）④</w:t>
            </w:r>
          </w:p>
        </w:tc>
        <w:tc>
          <w:tcPr>
            <w:tcW w:w="1411" w:type="dxa"/>
            <w:tcBorders>
              <w:tl2br w:val="nil"/>
              <w:tr2bl w:val="nil"/>
            </w:tcBorders>
            <w:shd w:val="clear" w:color="auto" w:fill="auto"/>
            <w:vAlign w:val="center"/>
          </w:tcPr>
          <w:p w14:paraId="3EEEB6A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以新带老削减量（新建项目不填）⑤</w:t>
            </w:r>
          </w:p>
        </w:tc>
        <w:tc>
          <w:tcPr>
            <w:tcW w:w="1747" w:type="dxa"/>
            <w:tcBorders>
              <w:tl2br w:val="nil"/>
              <w:tr2bl w:val="nil"/>
            </w:tcBorders>
            <w:shd w:val="clear" w:color="auto" w:fill="auto"/>
            <w:vAlign w:val="center"/>
          </w:tcPr>
          <w:p w14:paraId="3443473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本项目建成后全厂排放量（固体废物产生量）⑥</w:t>
            </w:r>
          </w:p>
        </w:tc>
        <w:tc>
          <w:tcPr>
            <w:tcW w:w="1247" w:type="dxa"/>
            <w:tcBorders>
              <w:tl2br w:val="nil"/>
              <w:tr2bl w:val="nil"/>
            </w:tcBorders>
            <w:shd w:val="clear" w:color="auto" w:fill="auto"/>
            <w:vAlign w:val="center"/>
          </w:tcPr>
          <w:p w14:paraId="4058F53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变化量⑦</w:t>
            </w:r>
          </w:p>
        </w:tc>
      </w:tr>
      <w:tr w14:paraId="3297BC28">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604" w:hRule="atLeast"/>
          <w:jc w:val="center"/>
        </w:trPr>
        <w:tc>
          <w:tcPr>
            <w:tcW w:w="1278" w:type="dxa"/>
            <w:tcBorders>
              <w:tl2br w:val="nil"/>
              <w:tr2bl w:val="nil"/>
            </w:tcBorders>
            <w:shd w:val="clear" w:color="auto" w:fill="auto"/>
            <w:noWrap/>
            <w:vAlign w:val="center"/>
          </w:tcPr>
          <w:p w14:paraId="6CC13A7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废气</w:t>
            </w:r>
          </w:p>
        </w:tc>
        <w:tc>
          <w:tcPr>
            <w:tcW w:w="2880" w:type="dxa"/>
            <w:tcBorders>
              <w:tl2br w:val="nil"/>
              <w:tr2bl w:val="nil"/>
            </w:tcBorders>
            <w:shd w:val="clear" w:color="auto" w:fill="auto"/>
            <w:vAlign w:val="center"/>
          </w:tcPr>
          <w:p w14:paraId="3996414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颗粒物</w:t>
            </w:r>
          </w:p>
        </w:tc>
        <w:tc>
          <w:tcPr>
            <w:tcW w:w="1426" w:type="dxa"/>
            <w:tcBorders>
              <w:tl2br w:val="nil"/>
              <w:tr2bl w:val="nil"/>
            </w:tcBorders>
            <w:shd w:val="clear" w:color="auto" w:fill="auto"/>
            <w:vAlign w:val="center"/>
          </w:tcPr>
          <w:p w14:paraId="6805C73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0.560</w:t>
            </w:r>
          </w:p>
        </w:tc>
        <w:tc>
          <w:tcPr>
            <w:tcW w:w="1080" w:type="dxa"/>
            <w:tcBorders>
              <w:tl2br w:val="nil"/>
              <w:tr2bl w:val="nil"/>
            </w:tcBorders>
            <w:shd w:val="clear" w:color="auto" w:fill="auto"/>
            <w:vAlign w:val="center"/>
          </w:tcPr>
          <w:p w14:paraId="2B8B775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32C4052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3940562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1.721</w:t>
            </w:r>
          </w:p>
        </w:tc>
        <w:tc>
          <w:tcPr>
            <w:tcW w:w="1411" w:type="dxa"/>
            <w:tcBorders>
              <w:tl2br w:val="nil"/>
              <w:tr2bl w:val="nil"/>
            </w:tcBorders>
            <w:shd w:val="clear" w:color="auto" w:fill="auto"/>
            <w:vAlign w:val="center"/>
          </w:tcPr>
          <w:p w14:paraId="394E7DF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0.097</w:t>
            </w:r>
          </w:p>
        </w:tc>
        <w:tc>
          <w:tcPr>
            <w:tcW w:w="1747" w:type="dxa"/>
            <w:tcBorders>
              <w:tl2br w:val="nil"/>
              <w:tr2bl w:val="nil"/>
            </w:tcBorders>
            <w:shd w:val="clear" w:color="auto" w:fill="auto"/>
            <w:vAlign w:val="center"/>
          </w:tcPr>
          <w:p w14:paraId="5363C0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2.184</w:t>
            </w:r>
          </w:p>
        </w:tc>
        <w:tc>
          <w:tcPr>
            <w:tcW w:w="1247" w:type="dxa"/>
            <w:tcBorders>
              <w:tl2br w:val="nil"/>
              <w:tr2bl w:val="nil"/>
            </w:tcBorders>
            <w:shd w:val="clear" w:color="auto" w:fill="auto"/>
            <w:vAlign w:val="center"/>
          </w:tcPr>
          <w:p w14:paraId="6F2CF61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+1.624</w:t>
            </w:r>
          </w:p>
        </w:tc>
      </w:tr>
      <w:tr w14:paraId="3006BE6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29" w:hRule="atLeast"/>
          <w:jc w:val="center"/>
        </w:trPr>
        <w:tc>
          <w:tcPr>
            <w:tcW w:w="1278" w:type="dxa"/>
            <w:vMerge w:val="restart"/>
            <w:tcBorders>
              <w:tl2br w:val="nil"/>
              <w:tr2bl w:val="nil"/>
            </w:tcBorders>
            <w:shd w:val="clear" w:color="auto" w:fill="auto"/>
            <w:vAlign w:val="center"/>
          </w:tcPr>
          <w:p w14:paraId="29FEDFBF">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一般工业</w:t>
            </w:r>
          </w:p>
          <w:p w14:paraId="5627165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固体废物</w:t>
            </w:r>
          </w:p>
        </w:tc>
        <w:tc>
          <w:tcPr>
            <w:tcW w:w="2880" w:type="dxa"/>
            <w:tcBorders>
              <w:tl2br w:val="nil"/>
              <w:tr2bl w:val="nil"/>
            </w:tcBorders>
            <w:shd w:val="clear" w:color="auto" w:fill="auto"/>
            <w:vAlign w:val="center"/>
          </w:tcPr>
          <w:p w14:paraId="1F05EE4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尾矿砂</w:t>
            </w:r>
          </w:p>
        </w:tc>
        <w:tc>
          <w:tcPr>
            <w:tcW w:w="1426" w:type="dxa"/>
            <w:tcBorders>
              <w:tl2br w:val="nil"/>
              <w:tr2bl w:val="nil"/>
            </w:tcBorders>
            <w:shd w:val="clear" w:color="auto" w:fill="auto"/>
            <w:vAlign w:val="center"/>
          </w:tcPr>
          <w:p w14:paraId="0BB5224F">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19802.24</w:t>
            </w:r>
          </w:p>
        </w:tc>
        <w:tc>
          <w:tcPr>
            <w:tcW w:w="1080" w:type="dxa"/>
            <w:tcBorders>
              <w:tl2br w:val="nil"/>
              <w:tr2bl w:val="nil"/>
            </w:tcBorders>
            <w:shd w:val="clear" w:color="auto" w:fill="auto"/>
            <w:vAlign w:val="center"/>
          </w:tcPr>
          <w:p w14:paraId="16C2C6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14A506B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4E22A961">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Times New Roman" w:hAnsi="Times New Roman" w:eastAsia="宋体" w:cs="Times New Roman"/>
                <w:i w:val="0"/>
                <w:iCs w:val="0"/>
                <w:color w:val="000000" w:themeColor="text1"/>
                <w:spacing w:val="20"/>
                <w:sz w:val="21"/>
                <w:szCs w:val="21"/>
                <w:highlight w:val="none"/>
                <w:u w:val="none"/>
                <w:lang w:val="en-US" w:eastAsia="zh-CN"/>
                <w14:textFill>
                  <w14:solidFill>
                    <w14:schemeClr w14:val="tx1"/>
                  </w14:solidFill>
                </w14:textFill>
              </w:rPr>
            </w:pPr>
            <w:r>
              <w:rPr>
                <w:rFonts w:hint="eastAsia" w:cs="Times New Roman"/>
                <w:i w:val="0"/>
                <w:iCs w:val="0"/>
                <w:color w:val="000000" w:themeColor="text1"/>
                <w:spacing w:val="20"/>
                <w:sz w:val="21"/>
                <w:szCs w:val="21"/>
                <w:highlight w:val="none"/>
                <w:u w:val="none"/>
                <w:lang w:val="en-US" w:eastAsia="zh-CN"/>
                <w14:textFill>
                  <w14:solidFill>
                    <w14:schemeClr w14:val="tx1"/>
                  </w14:solidFill>
                </w14:textFill>
              </w:rPr>
              <w:t>0</w:t>
            </w:r>
          </w:p>
        </w:tc>
        <w:tc>
          <w:tcPr>
            <w:tcW w:w="1411" w:type="dxa"/>
            <w:tcBorders>
              <w:tl2br w:val="nil"/>
              <w:tr2bl w:val="nil"/>
            </w:tcBorders>
            <w:shd w:val="clear" w:color="auto" w:fill="auto"/>
            <w:vAlign w:val="center"/>
          </w:tcPr>
          <w:p w14:paraId="2504B5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47" w:type="dxa"/>
            <w:tcBorders>
              <w:tl2br w:val="nil"/>
              <w:tr2bl w:val="nil"/>
            </w:tcBorders>
            <w:shd w:val="clear" w:color="auto" w:fill="auto"/>
            <w:vAlign w:val="center"/>
          </w:tcPr>
          <w:p w14:paraId="40D88836">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19802.24</w:t>
            </w:r>
          </w:p>
        </w:tc>
        <w:tc>
          <w:tcPr>
            <w:tcW w:w="1247" w:type="dxa"/>
            <w:tcBorders>
              <w:tl2br w:val="nil"/>
              <w:tr2bl w:val="nil"/>
            </w:tcBorders>
            <w:shd w:val="clear" w:color="auto" w:fill="auto"/>
            <w:vAlign w:val="center"/>
          </w:tcPr>
          <w:p w14:paraId="5226294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w:t>
            </w:r>
          </w:p>
        </w:tc>
      </w:tr>
      <w:tr w14:paraId="0F5A0B59">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793A361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80" w:type="dxa"/>
            <w:tcBorders>
              <w:tl2br w:val="nil"/>
              <w:tr2bl w:val="nil"/>
            </w:tcBorders>
            <w:shd w:val="clear" w:color="auto" w:fill="auto"/>
            <w:vAlign w:val="center"/>
          </w:tcPr>
          <w:p w14:paraId="56636DC8">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除尘灰</w:t>
            </w:r>
          </w:p>
        </w:tc>
        <w:tc>
          <w:tcPr>
            <w:tcW w:w="1426" w:type="dxa"/>
            <w:tcBorders>
              <w:tl2br w:val="nil"/>
              <w:tr2bl w:val="nil"/>
            </w:tcBorders>
            <w:shd w:val="clear" w:color="auto" w:fill="auto"/>
            <w:vAlign w:val="center"/>
          </w:tcPr>
          <w:p w14:paraId="4005A9B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77.2</w:t>
            </w:r>
          </w:p>
        </w:tc>
        <w:tc>
          <w:tcPr>
            <w:tcW w:w="1080" w:type="dxa"/>
            <w:tcBorders>
              <w:tl2br w:val="nil"/>
              <w:tr2bl w:val="nil"/>
            </w:tcBorders>
            <w:shd w:val="clear" w:color="auto" w:fill="auto"/>
            <w:vAlign w:val="center"/>
          </w:tcPr>
          <w:p w14:paraId="2EBE55D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5F2F7B2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0B0082E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160.787</w:t>
            </w:r>
          </w:p>
        </w:tc>
        <w:tc>
          <w:tcPr>
            <w:tcW w:w="1411" w:type="dxa"/>
            <w:tcBorders>
              <w:tl2br w:val="nil"/>
              <w:tr2bl w:val="nil"/>
            </w:tcBorders>
            <w:shd w:val="clear" w:color="auto" w:fill="auto"/>
            <w:vAlign w:val="center"/>
          </w:tcPr>
          <w:p w14:paraId="105BA38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19.4</w:t>
            </w:r>
          </w:p>
        </w:tc>
        <w:tc>
          <w:tcPr>
            <w:tcW w:w="1747" w:type="dxa"/>
            <w:tcBorders>
              <w:tl2br w:val="nil"/>
              <w:tr2bl w:val="nil"/>
            </w:tcBorders>
            <w:shd w:val="clear" w:color="auto" w:fill="auto"/>
            <w:vAlign w:val="center"/>
          </w:tcPr>
          <w:p w14:paraId="69D7AC04">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218.587</w:t>
            </w:r>
          </w:p>
        </w:tc>
        <w:tc>
          <w:tcPr>
            <w:tcW w:w="1247" w:type="dxa"/>
            <w:tcBorders>
              <w:tl2br w:val="nil"/>
              <w:tr2bl w:val="nil"/>
            </w:tcBorders>
            <w:shd w:val="clear" w:color="auto" w:fill="auto"/>
            <w:vAlign w:val="center"/>
          </w:tcPr>
          <w:p w14:paraId="0F0040E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+141.387</w:t>
            </w:r>
          </w:p>
        </w:tc>
      </w:tr>
      <w:tr w14:paraId="6970812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175EC5D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2880" w:type="dxa"/>
            <w:tcBorders>
              <w:tl2br w:val="nil"/>
              <w:tr2bl w:val="nil"/>
            </w:tcBorders>
            <w:shd w:val="clear" w:color="auto" w:fill="auto"/>
            <w:vAlign w:val="center"/>
          </w:tcPr>
          <w:p w14:paraId="26046A0D">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洗车平台污泥</w:t>
            </w:r>
          </w:p>
        </w:tc>
        <w:tc>
          <w:tcPr>
            <w:tcW w:w="1426" w:type="dxa"/>
            <w:tcBorders>
              <w:tl2br w:val="nil"/>
              <w:tr2bl w:val="nil"/>
            </w:tcBorders>
            <w:shd w:val="clear" w:color="auto" w:fill="auto"/>
            <w:vAlign w:val="center"/>
          </w:tcPr>
          <w:p w14:paraId="1717AF56">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10</w:t>
            </w:r>
          </w:p>
        </w:tc>
        <w:tc>
          <w:tcPr>
            <w:tcW w:w="1080" w:type="dxa"/>
            <w:tcBorders>
              <w:tl2br w:val="nil"/>
              <w:tr2bl w:val="nil"/>
            </w:tcBorders>
            <w:shd w:val="clear" w:color="auto" w:fill="auto"/>
            <w:vAlign w:val="center"/>
          </w:tcPr>
          <w:p w14:paraId="2A63562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0CC7508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3362D4AB">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2.5</w:t>
            </w:r>
          </w:p>
        </w:tc>
        <w:tc>
          <w:tcPr>
            <w:tcW w:w="1411" w:type="dxa"/>
            <w:tcBorders>
              <w:tl2br w:val="nil"/>
              <w:tr2bl w:val="nil"/>
            </w:tcBorders>
            <w:shd w:val="clear" w:color="auto" w:fill="auto"/>
            <w:vAlign w:val="center"/>
          </w:tcPr>
          <w:p w14:paraId="346772B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47" w:type="dxa"/>
            <w:tcBorders>
              <w:tl2br w:val="nil"/>
              <w:tr2bl w:val="nil"/>
            </w:tcBorders>
            <w:shd w:val="clear" w:color="auto" w:fill="auto"/>
            <w:vAlign w:val="center"/>
          </w:tcPr>
          <w:p w14:paraId="70EBA64B">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12.5</w:t>
            </w:r>
          </w:p>
        </w:tc>
        <w:tc>
          <w:tcPr>
            <w:tcW w:w="1247" w:type="dxa"/>
            <w:tcBorders>
              <w:tl2br w:val="nil"/>
              <w:tr2bl w:val="nil"/>
            </w:tcBorders>
            <w:shd w:val="clear" w:color="auto" w:fill="auto"/>
            <w:vAlign w:val="center"/>
          </w:tcPr>
          <w:p w14:paraId="73E6A49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+2.5</w:t>
            </w:r>
          </w:p>
        </w:tc>
      </w:tr>
      <w:tr w14:paraId="559217A8">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1EAC23F6">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2880" w:type="dxa"/>
            <w:tcBorders>
              <w:tl2br w:val="nil"/>
              <w:tr2bl w:val="nil"/>
            </w:tcBorders>
            <w:shd w:val="clear" w:color="auto" w:fill="auto"/>
            <w:vAlign w:val="center"/>
          </w:tcPr>
          <w:p w14:paraId="47B0D92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废布袋</w:t>
            </w:r>
          </w:p>
        </w:tc>
        <w:tc>
          <w:tcPr>
            <w:tcW w:w="1426" w:type="dxa"/>
            <w:tcBorders>
              <w:tl2br w:val="nil"/>
              <w:tr2bl w:val="nil"/>
            </w:tcBorders>
            <w:shd w:val="clear" w:color="auto" w:fill="auto"/>
            <w:vAlign w:val="center"/>
          </w:tcPr>
          <w:p w14:paraId="13DBA5BE">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0.1</w:t>
            </w:r>
          </w:p>
        </w:tc>
        <w:tc>
          <w:tcPr>
            <w:tcW w:w="1080" w:type="dxa"/>
            <w:tcBorders>
              <w:tl2br w:val="nil"/>
              <w:tr2bl w:val="nil"/>
            </w:tcBorders>
            <w:shd w:val="clear" w:color="auto" w:fill="auto"/>
            <w:vAlign w:val="center"/>
          </w:tcPr>
          <w:p w14:paraId="09490CA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4391EAF6">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79FDF203">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spacing w:val="20"/>
                <w:sz w:val="21"/>
                <w:szCs w:val="21"/>
                <w:highlight w:val="none"/>
                <w:u w:val="none"/>
                <w:lang w:val="en-US" w:eastAsia="zh-CN"/>
                <w14:textFill>
                  <w14:solidFill>
                    <w14:schemeClr w14:val="tx1"/>
                  </w14:solidFill>
                </w14:textFill>
              </w:rPr>
            </w:pPr>
            <w:r>
              <w:rPr>
                <w:rFonts w:hint="eastAsia" w:cs="Times New Roman"/>
                <w:i w:val="0"/>
                <w:iCs w:val="0"/>
                <w:color w:val="000000" w:themeColor="text1"/>
                <w:spacing w:val="20"/>
                <w:sz w:val="21"/>
                <w:szCs w:val="21"/>
                <w:highlight w:val="none"/>
                <w:u w:val="none"/>
                <w:lang w:val="en-US" w:eastAsia="zh-CN"/>
                <w14:textFill>
                  <w14:solidFill>
                    <w14:schemeClr w14:val="tx1"/>
                  </w14:solidFill>
                </w14:textFill>
              </w:rPr>
              <w:t>0.1</w:t>
            </w:r>
          </w:p>
        </w:tc>
        <w:tc>
          <w:tcPr>
            <w:tcW w:w="1411" w:type="dxa"/>
            <w:tcBorders>
              <w:tl2br w:val="nil"/>
              <w:tr2bl w:val="nil"/>
            </w:tcBorders>
            <w:shd w:val="clear" w:color="auto" w:fill="auto"/>
            <w:vAlign w:val="center"/>
          </w:tcPr>
          <w:p w14:paraId="4316694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47" w:type="dxa"/>
            <w:tcBorders>
              <w:tl2br w:val="nil"/>
              <w:tr2bl w:val="nil"/>
            </w:tcBorders>
            <w:shd w:val="clear" w:color="auto" w:fill="auto"/>
            <w:vAlign w:val="center"/>
          </w:tcPr>
          <w:p w14:paraId="4FE252BA">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0.2</w:t>
            </w:r>
          </w:p>
        </w:tc>
        <w:tc>
          <w:tcPr>
            <w:tcW w:w="1247" w:type="dxa"/>
            <w:tcBorders>
              <w:tl2br w:val="nil"/>
              <w:tr2bl w:val="nil"/>
            </w:tcBorders>
            <w:shd w:val="clear" w:color="auto" w:fill="auto"/>
            <w:vAlign w:val="center"/>
          </w:tcPr>
          <w:p w14:paraId="21F61665">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+0.1</w:t>
            </w:r>
          </w:p>
        </w:tc>
      </w:tr>
      <w:tr w14:paraId="7D8B2A0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471E51C0">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2880" w:type="dxa"/>
            <w:tcBorders>
              <w:tl2br w:val="nil"/>
              <w:tr2bl w:val="nil"/>
            </w:tcBorders>
            <w:shd w:val="clear" w:color="auto" w:fill="auto"/>
            <w:vAlign w:val="center"/>
          </w:tcPr>
          <w:p w14:paraId="6BD1C7CA">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eastAsia"/>
                <w:b w:val="0"/>
                <w:bCs/>
                <w:color w:val="000000" w:themeColor="text1"/>
                <w:sz w:val="21"/>
                <w:szCs w:val="21"/>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铁精粉</w:t>
            </w:r>
          </w:p>
        </w:tc>
        <w:tc>
          <w:tcPr>
            <w:tcW w:w="1426" w:type="dxa"/>
            <w:tcBorders>
              <w:tl2br w:val="nil"/>
              <w:tr2bl w:val="nil"/>
            </w:tcBorders>
            <w:shd w:val="clear" w:color="auto" w:fill="auto"/>
            <w:vAlign w:val="center"/>
          </w:tcPr>
          <w:p w14:paraId="27014AF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120</w:t>
            </w:r>
          </w:p>
        </w:tc>
        <w:tc>
          <w:tcPr>
            <w:tcW w:w="1080" w:type="dxa"/>
            <w:tcBorders>
              <w:tl2br w:val="nil"/>
              <w:tr2bl w:val="nil"/>
            </w:tcBorders>
            <w:shd w:val="clear" w:color="auto" w:fill="auto"/>
            <w:vAlign w:val="center"/>
          </w:tcPr>
          <w:p w14:paraId="25FBBD92">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441B13E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398F3BDF">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cs="Times New Roman"/>
                <w:color w:val="000000" w:themeColor="text1"/>
                <w:spacing w:val="20"/>
                <w:kern w:val="2"/>
                <w:sz w:val="21"/>
                <w:szCs w:val="21"/>
                <w:highlight w:val="none"/>
                <w:lang w:val="en-US" w:eastAsia="zh-CN" w:bidi="ar-SA"/>
                <w14:textFill>
                  <w14:solidFill>
                    <w14:schemeClr w14:val="tx1"/>
                  </w14:solidFill>
                </w14:textFill>
              </w:rPr>
            </w:pPr>
            <w:r>
              <w:rPr>
                <w:rFonts w:hint="eastAsia" w:cs="Times New Roman"/>
                <w:color w:val="000000" w:themeColor="text1"/>
                <w:spacing w:val="20"/>
                <w:kern w:val="2"/>
                <w:sz w:val="21"/>
                <w:szCs w:val="21"/>
                <w:highlight w:val="none"/>
                <w:lang w:val="en-US" w:eastAsia="zh-CN" w:bidi="ar-SA"/>
                <w14:textFill>
                  <w14:solidFill>
                    <w14:schemeClr w14:val="tx1"/>
                  </w14:solidFill>
                </w14:textFill>
              </w:rPr>
              <w:t>0</w:t>
            </w:r>
          </w:p>
        </w:tc>
        <w:tc>
          <w:tcPr>
            <w:tcW w:w="1411" w:type="dxa"/>
            <w:tcBorders>
              <w:tl2br w:val="nil"/>
              <w:tr2bl w:val="nil"/>
            </w:tcBorders>
            <w:shd w:val="clear" w:color="auto" w:fill="auto"/>
            <w:vAlign w:val="center"/>
          </w:tcPr>
          <w:p w14:paraId="5B12773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47" w:type="dxa"/>
            <w:tcBorders>
              <w:tl2br w:val="nil"/>
              <w:tr2bl w:val="nil"/>
            </w:tcBorders>
            <w:shd w:val="clear" w:color="auto" w:fill="auto"/>
            <w:vAlign w:val="center"/>
          </w:tcPr>
          <w:p w14:paraId="7E6CE310">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eastAsia" w:cs="Times New Roman"/>
                <w:color w:val="000000" w:themeColor="text1"/>
                <w:spacing w:val="20"/>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120</w:t>
            </w:r>
          </w:p>
        </w:tc>
        <w:tc>
          <w:tcPr>
            <w:tcW w:w="1247" w:type="dxa"/>
            <w:tcBorders>
              <w:tl2br w:val="nil"/>
              <w:tr2bl w:val="nil"/>
            </w:tcBorders>
            <w:shd w:val="clear" w:color="auto" w:fill="auto"/>
            <w:vAlign w:val="center"/>
          </w:tcPr>
          <w:p w14:paraId="0D11C33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0</w:t>
            </w:r>
          </w:p>
        </w:tc>
      </w:tr>
      <w:tr w14:paraId="573477C7">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29" w:hRule="atLeast"/>
          <w:jc w:val="center"/>
        </w:trPr>
        <w:tc>
          <w:tcPr>
            <w:tcW w:w="1278" w:type="dxa"/>
            <w:vMerge w:val="continue"/>
            <w:tcBorders>
              <w:tl2br w:val="nil"/>
              <w:tr2bl w:val="nil"/>
            </w:tcBorders>
            <w:shd w:val="clear" w:color="auto" w:fill="auto"/>
            <w:vAlign w:val="center"/>
          </w:tcPr>
          <w:p w14:paraId="5CAF9B91">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2880" w:type="dxa"/>
            <w:tcBorders>
              <w:tl2br w:val="nil"/>
              <w:tr2bl w:val="nil"/>
            </w:tcBorders>
            <w:shd w:val="clear" w:color="auto" w:fill="auto"/>
            <w:vAlign w:val="center"/>
          </w:tcPr>
          <w:p w14:paraId="2EE2F095">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highlight w:val="none"/>
                <w:lang w:val="en-US" w:eastAsia="zh-CN" w:bidi="ar-SA"/>
                <w14:textFill>
                  <w14:solidFill>
                    <w14:schemeClr w14:val="tx1"/>
                  </w14:solidFill>
                </w14:textFill>
              </w:rPr>
              <w:t>土渣</w:t>
            </w:r>
          </w:p>
        </w:tc>
        <w:tc>
          <w:tcPr>
            <w:tcW w:w="1426" w:type="dxa"/>
            <w:tcBorders>
              <w:tl2br w:val="nil"/>
              <w:tr2bl w:val="nil"/>
            </w:tcBorders>
            <w:shd w:val="clear" w:color="auto" w:fill="auto"/>
            <w:vAlign w:val="center"/>
          </w:tcPr>
          <w:p w14:paraId="0DF19A71">
            <w:pPr>
              <w:keepNext w:val="0"/>
              <w:keepLines w:val="0"/>
              <w:pageBreakBefore w:val="0"/>
              <w:widowControl w:val="0"/>
              <w:shd w:val="clear"/>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0</w:t>
            </w:r>
          </w:p>
        </w:tc>
        <w:tc>
          <w:tcPr>
            <w:tcW w:w="1080" w:type="dxa"/>
            <w:tcBorders>
              <w:tl2br w:val="nil"/>
              <w:tr2bl w:val="nil"/>
            </w:tcBorders>
            <w:shd w:val="clear" w:color="auto" w:fill="auto"/>
            <w:vAlign w:val="center"/>
          </w:tcPr>
          <w:p w14:paraId="31BE1B34">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545B73B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05A7FE3D">
            <w:pPr>
              <w:keepNext w:val="0"/>
              <w:keepLines w:val="0"/>
              <w:pageBreakBefore w:val="0"/>
              <w:shd w:val="clear"/>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Times New Roman" w:hAnsi="Times New Roman" w:eastAsia="宋体" w:cs="Times New Roman"/>
                <w:i w:val="0"/>
                <w:iCs w:val="0"/>
                <w:color w:val="000000" w:themeColor="text1"/>
                <w:spacing w:val="20"/>
                <w:sz w:val="21"/>
                <w:szCs w:val="21"/>
                <w:highlight w:val="none"/>
                <w:u w:val="none"/>
                <w:lang w:val="en-US" w:eastAsia="zh-CN"/>
                <w14:textFill>
                  <w14:solidFill>
                    <w14:schemeClr w14:val="tx1"/>
                  </w14:solidFill>
                </w14:textFill>
              </w:rPr>
            </w:pPr>
            <w:r>
              <w:rPr>
                <w:rFonts w:hint="eastAsia" w:cs="Times New Roman"/>
                <w:i w:val="0"/>
                <w:iCs w:val="0"/>
                <w:color w:val="000000" w:themeColor="text1"/>
                <w:spacing w:val="20"/>
                <w:sz w:val="21"/>
                <w:szCs w:val="21"/>
                <w:highlight w:val="none"/>
                <w:u w:val="none"/>
                <w:lang w:val="en-US" w:eastAsia="zh-CN"/>
                <w14:textFill>
                  <w14:solidFill>
                    <w14:schemeClr w14:val="tx1"/>
                  </w14:solidFill>
                </w14:textFill>
              </w:rPr>
              <w:t>29837.555</w:t>
            </w:r>
          </w:p>
        </w:tc>
        <w:tc>
          <w:tcPr>
            <w:tcW w:w="1411" w:type="dxa"/>
            <w:tcBorders>
              <w:tl2br w:val="nil"/>
              <w:tr2bl w:val="nil"/>
            </w:tcBorders>
            <w:shd w:val="clear" w:color="auto" w:fill="auto"/>
            <w:vAlign w:val="center"/>
          </w:tcPr>
          <w:p w14:paraId="25C1B76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47" w:type="dxa"/>
            <w:tcBorders>
              <w:tl2br w:val="nil"/>
              <w:tr2bl w:val="nil"/>
            </w:tcBorders>
            <w:shd w:val="clear" w:color="auto" w:fill="auto"/>
            <w:vAlign w:val="center"/>
          </w:tcPr>
          <w:p w14:paraId="693375C2">
            <w:pPr>
              <w:keepNext w:val="0"/>
              <w:keepLines w:val="0"/>
              <w:pageBreakBefore w:val="0"/>
              <w:shd w:val="clear"/>
              <w:kinsoku/>
              <w:wordWrap/>
              <w:overflowPunct/>
              <w:autoSpaceDE/>
              <w:autoSpaceDN/>
              <w:bidi w:val="0"/>
              <w:spacing w:line="0" w:lineRule="atLeast"/>
              <w:ind w:left="0" w:leftChars="0" w:right="0" w:rightChars="0" w:firstLine="0" w:firstLineChars="0"/>
              <w:jc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29837.555</w:t>
            </w:r>
          </w:p>
        </w:tc>
        <w:tc>
          <w:tcPr>
            <w:tcW w:w="1247" w:type="dxa"/>
            <w:tcBorders>
              <w:tl2br w:val="nil"/>
              <w:tr2bl w:val="nil"/>
            </w:tcBorders>
            <w:shd w:val="clear" w:color="auto" w:fill="auto"/>
            <w:vAlign w:val="center"/>
          </w:tcPr>
          <w:p w14:paraId="2E5FDA59">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eastAsia"/>
                <w:color w:val="000000" w:themeColor="text1"/>
                <w:sz w:val="21"/>
                <w:szCs w:val="21"/>
                <w:highlight w:val="none"/>
                <w:vertAlign w:val="baseline"/>
                <w:lang w:val="en-US" w:eastAsia="zh-CN"/>
                <w14:textFill>
                  <w14:solidFill>
                    <w14:schemeClr w14:val="tx1"/>
                  </w14:solidFill>
                </w14:textFill>
              </w:rPr>
              <w:t>29837.555</w:t>
            </w:r>
          </w:p>
        </w:tc>
      </w:tr>
      <w:tr w14:paraId="566AD4B5">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29" w:hRule="atLeast"/>
          <w:jc w:val="center"/>
        </w:trPr>
        <w:tc>
          <w:tcPr>
            <w:tcW w:w="1278" w:type="dxa"/>
            <w:vMerge w:val="restart"/>
            <w:tcBorders>
              <w:tl2br w:val="nil"/>
              <w:tr2bl w:val="nil"/>
            </w:tcBorders>
            <w:shd w:val="clear" w:color="auto" w:fill="auto"/>
            <w:noWrap/>
            <w:vAlign w:val="center"/>
          </w:tcPr>
          <w:p w14:paraId="46C97EA5">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eastAsia"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pPr>
            <w:r>
              <w:rPr>
                <w:rFonts w:hint="eastAsia" w:cs="Times New Roman"/>
                <w:i w:val="0"/>
                <w:iCs w:val="0"/>
                <w:color w:val="000000" w:themeColor="text1"/>
                <w:sz w:val="21"/>
                <w:szCs w:val="21"/>
                <w:highlight w:val="none"/>
                <w:u w:val="none"/>
                <w:lang w:eastAsia="zh-CN"/>
                <w14:textFill>
                  <w14:solidFill>
                    <w14:schemeClr w14:val="tx1"/>
                  </w14:solidFill>
                </w14:textFill>
              </w:rPr>
              <w:t>危险废物</w:t>
            </w:r>
          </w:p>
        </w:tc>
        <w:tc>
          <w:tcPr>
            <w:tcW w:w="2880" w:type="dxa"/>
            <w:tcBorders>
              <w:tl2br w:val="nil"/>
              <w:tr2bl w:val="nil"/>
            </w:tcBorders>
            <w:shd w:val="clear" w:color="auto" w:fill="auto"/>
            <w:vAlign w:val="center"/>
          </w:tcPr>
          <w:p w14:paraId="38D040F4">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b w:val="0"/>
                <w:bCs w:val="0"/>
                <w:color w:val="000000" w:themeColor="text1"/>
                <w:kern w:val="0"/>
                <w:sz w:val="21"/>
                <w:szCs w:val="21"/>
                <w:highlight w:val="none"/>
                <w14:textFill>
                  <w14:solidFill>
                    <w14:schemeClr w14:val="tx1"/>
                  </w14:solidFill>
                </w14:textFill>
              </w:rPr>
              <w:t>废润滑油</w:t>
            </w:r>
          </w:p>
        </w:tc>
        <w:tc>
          <w:tcPr>
            <w:tcW w:w="1426" w:type="dxa"/>
            <w:tcBorders>
              <w:tl2br w:val="nil"/>
              <w:tr2bl w:val="nil"/>
            </w:tcBorders>
            <w:shd w:val="clear" w:color="auto" w:fill="auto"/>
            <w:vAlign w:val="center"/>
          </w:tcPr>
          <w:p w14:paraId="33E3BAC7">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0.24</w:t>
            </w:r>
          </w:p>
        </w:tc>
        <w:tc>
          <w:tcPr>
            <w:tcW w:w="1080" w:type="dxa"/>
            <w:tcBorders>
              <w:tl2br w:val="nil"/>
              <w:tr2bl w:val="nil"/>
            </w:tcBorders>
            <w:shd w:val="clear" w:color="auto" w:fill="auto"/>
            <w:vAlign w:val="center"/>
          </w:tcPr>
          <w:p w14:paraId="7C617BA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3972D8C1">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3089E06A">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0.04</w:t>
            </w:r>
          </w:p>
        </w:tc>
        <w:tc>
          <w:tcPr>
            <w:tcW w:w="1411" w:type="dxa"/>
            <w:tcBorders>
              <w:tl2br w:val="nil"/>
              <w:tr2bl w:val="nil"/>
            </w:tcBorders>
            <w:shd w:val="clear" w:color="auto" w:fill="auto"/>
            <w:vAlign w:val="center"/>
          </w:tcPr>
          <w:p w14:paraId="2D6DFF4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47" w:type="dxa"/>
            <w:tcBorders>
              <w:tl2br w:val="nil"/>
              <w:tr2bl w:val="nil"/>
            </w:tcBorders>
            <w:shd w:val="clear" w:color="auto" w:fill="auto"/>
            <w:vAlign w:val="center"/>
          </w:tcPr>
          <w:p w14:paraId="140C9DAD">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0.28</w:t>
            </w:r>
          </w:p>
        </w:tc>
        <w:tc>
          <w:tcPr>
            <w:tcW w:w="1247" w:type="dxa"/>
            <w:tcBorders>
              <w:tl2br w:val="nil"/>
              <w:tr2bl w:val="nil"/>
            </w:tcBorders>
            <w:shd w:val="clear" w:color="auto" w:fill="auto"/>
            <w:vAlign w:val="center"/>
          </w:tcPr>
          <w:p w14:paraId="4E0CD423">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t>0.</w:t>
            </w: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04</w:t>
            </w:r>
          </w:p>
        </w:tc>
      </w:tr>
      <w:tr w14:paraId="7ED2BED1">
        <w:tblPrEx>
          <w:tblBorders>
            <w:top w:val="single" w:color="000000" w:sz="12" w:space="0"/>
            <w:left w:val="single" w:color="000000" w:sz="12" w:space="0"/>
            <w:bottom w:val="single" w:color="000000" w:sz="12" w:space="0"/>
            <w:right w:val="single" w:color="000000" w:sz="12" w:space="0"/>
            <w:insideH w:val="dotted" w:color="000000" w:sz="4" w:space="0"/>
            <w:insideV w:val="dotted" w:color="000000" w:sz="4" w:space="0"/>
          </w:tblBorders>
          <w:shd w:val="clear" w:color="auto" w:fill="auto"/>
          <w:tblCellMar>
            <w:top w:w="0" w:type="dxa"/>
            <w:left w:w="108" w:type="dxa"/>
            <w:bottom w:w="0" w:type="dxa"/>
            <w:right w:w="108" w:type="dxa"/>
          </w:tblCellMar>
        </w:tblPrEx>
        <w:trPr>
          <w:trHeight w:val="466" w:hRule="atLeast"/>
          <w:jc w:val="center"/>
        </w:trPr>
        <w:tc>
          <w:tcPr>
            <w:tcW w:w="1278" w:type="dxa"/>
            <w:vMerge w:val="continue"/>
            <w:tcBorders>
              <w:tl2br w:val="nil"/>
              <w:tr2bl w:val="nil"/>
            </w:tcBorders>
            <w:shd w:val="clear" w:color="auto" w:fill="auto"/>
            <w:noWrap/>
            <w:vAlign w:val="center"/>
          </w:tcPr>
          <w:p w14:paraId="3D062577">
            <w:pPr>
              <w:keepNext w:val="0"/>
              <w:keepLines w:val="0"/>
              <w:pageBreakBefore w:val="0"/>
              <w:widowControl/>
              <w:shd w:val="clear"/>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2880" w:type="dxa"/>
            <w:tcBorders>
              <w:tl2br w:val="nil"/>
              <w:tr2bl w:val="nil"/>
            </w:tcBorders>
            <w:shd w:val="clear" w:color="auto" w:fill="auto"/>
            <w:vAlign w:val="center"/>
          </w:tcPr>
          <w:p w14:paraId="6F03825F">
            <w:pPr>
              <w:keepNext w:val="0"/>
              <w:keepLines w:val="0"/>
              <w:pageBreakBefore w:val="0"/>
              <w:shd w:val="clear"/>
              <w:kinsoku/>
              <w:wordWrap/>
              <w:overflowPunct/>
              <w:topLinePunct/>
              <w:autoSpaceDE/>
              <w:autoSpaceDN/>
              <w:bidi w:val="0"/>
              <w:adjustRightInd w:val="0"/>
              <w:snapToGrid/>
              <w:spacing w:line="0" w:lineRule="atLeast"/>
              <w:ind w:firstLine="0" w:firstLineChars="0"/>
              <w:jc w:val="center"/>
              <w:rPr>
                <w:rFonts w:hint="eastAsia"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pPr>
            <w:r>
              <w:rPr>
                <w:rFonts w:hint="eastAsia"/>
                <w:b w:val="0"/>
                <w:bCs w:val="0"/>
                <w:color w:val="000000" w:themeColor="text1"/>
                <w:kern w:val="0"/>
                <w:sz w:val="21"/>
                <w:szCs w:val="21"/>
                <w:highlight w:val="none"/>
                <w:lang w:eastAsia="zh-CN"/>
                <w14:textFill>
                  <w14:solidFill>
                    <w14:schemeClr w14:val="tx1"/>
                  </w14:solidFill>
                </w14:textFill>
              </w:rPr>
              <w:t>废润滑油桶</w:t>
            </w:r>
          </w:p>
        </w:tc>
        <w:tc>
          <w:tcPr>
            <w:tcW w:w="1426" w:type="dxa"/>
            <w:tcBorders>
              <w:tl2br w:val="nil"/>
              <w:tr2bl w:val="nil"/>
            </w:tcBorders>
            <w:shd w:val="clear" w:color="auto" w:fill="auto"/>
            <w:vAlign w:val="center"/>
          </w:tcPr>
          <w:p w14:paraId="4CF68AC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0.02</w:t>
            </w:r>
          </w:p>
        </w:tc>
        <w:tc>
          <w:tcPr>
            <w:tcW w:w="1080" w:type="dxa"/>
            <w:tcBorders>
              <w:tl2br w:val="nil"/>
              <w:tr2bl w:val="nil"/>
            </w:tcBorders>
            <w:shd w:val="clear" w:color="auto" w:fill="auto"/>
            <w:vAlign w:val="center"/>
          </w:tcPr>
          <w:p w14:paraId="2D1A8318">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56" w:type="dxa"/>
            <w:tcBorders>
              <w:tl2br w:val="nil"/>
              <w:tr2bl w:val="nil"/>
            </w:tcBorders>
            <w:shd w:val="clear" w:color="auto" w:fill="auto"/>
            <w:vAlign w:val="center"/>
          </w:tcPr>
          <w:p w14:paraId="7363847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11" w:type="dxa"/>
            <w:tcBorders>
              <w:tl2br w:val="nil"/>
              <w:tr2bl w:val="nil"/>
            </w:tcBorders>
            <w:shd w:val="clear" w:color="auto" w:fill="auto"/>
            <w:vAlign w:val="center"/>
          </w:tcPr>
          <w:p w14:paraId="6EFD50BB">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0.02</w:t>
            </w:r>
          </w:p>
        </w:tc>
        <w:tc>
          <w:tcPr>
            <w:tcW w:w="1411" w:type="dxa"/>
            <w:tcBorders>
              <w:tl2br w:val="nil"/>
              <w:tr2bl w:val="nil"/>
            </w:tcBorders>
            <w:shd w:val="clear" w:color="auto" w:fill="auto"/>
            <w:vAlign w:val="center"/>
          </w:tcPr>
          <w:p w14:paraId="778D3560">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47" w:type="dxa"/>
            <w:tcBorders>
              <w:tl2br w:val="nil"/>
              <w:tr2bl w:val="nil"/>
            </w:tcBorders>
            <w:shd w:val="clear" w:color="auto" w:fill="auto"/>
            <w:vAlign w:val="center"/>
          </w:tcPr>
          <w:p w14:paraId="302F494C">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0.04</w:t>
            </w:r>
          </w:p>
        </w:tc>
        <w:tc>
          <w:tcPr>
            <w:tcW w:w="1247" w:type="dxa"/>
            <w:tcBorders>
              <w:tl2br w:val="nil"/>
              <w:tr2bl w:val="nil"/>
            </w:tcBorders>
            <w:shd w:val="clear" w:color="auto" w:fill="auto"/>
            <w:vAlign w:val="center"/>
          </w:tcPr>
          <w:p w14:paraId="21A970EE">
            <w:pPr>
              <w:keepNext w:val="0"/>
              <w:keepLines w:val="0"/>
              <w:pageBreakBefore w:val="0"/>
              <w:widowControl/>
              <w:suppressLineNumbers w:val="0"/>
              <w:shd w:val="clear"/>
              <w:kinsoku/>
              <w:wordWrap/>
              <w:overflowPunct/>
              <w:topLinePunct w:val="0"/>
              <w:autoSpaceDE/>
              <w:autoSpaceDN/>
              <w:bidi w:val="0"/>
              <w:adjustRightInd/>
              <w:snapToGrid/>
              <w:spacing w:line="0" w:lineRule="atLeast"/>
              <w:ind w:firstLine="0" w:firstLineChars="0"/>
              <w:jc w:val="center"/>
              <w:textAlignment w:val="center"/>
              <w:rPr>
                <w:rFonts w:hint="default" w:cs="Times New Roman"/>
                <w:i w:val="0"/>
                <w:iCs w:val="0"/>
                <w:color w:val="000000" w:themeColor="text1"/>
                <w:spacing w:val="20"/>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spacing w:val="20"/>
                <w:kern w:val="0"/>
                <w:sz w:val="21"/>
                <w:szCs w:val="21"/>
                <w:highlight w:val="none"/>
                <w:u w:val="none"/>
                <w:lang w:val="en-US" w:eastAsia="zh-CN" w:bidi="ar"/>
                <w14:textFill>
                  <w14:solidFill>
                    <w14:schemeClr w14:val="tx1"/>
                  </w14:solidFill>
                </w14:textFill>
              </w:rPr>
              <w:t>0.0</w:t>
            </w:r>
            <w:r>
              <w:rPr>
                <w:rFonts w:hint="eastAsia" w:cs="Times New Roman"/>
                <w:i w:val="0"/>
                <w:iCs w:val="0"/>
                <w:color w:val="000000" w:themeColor="text1"/>
                <w:spacing w:val="20"/>
                <w:kern w:val="0"/>
                <w:sz w:val="21"/>
                <w:szCs w:val="21"/>
                <w:highlight w:val="none"/>
                <w:u w:val="none"/>
                <w:lang w:val="en-US" w:eastAsia="zh-CN" w:bidi="ar"/>
                <w14:textFill>
                  <w14:solidFill>
                    <w14:schemeClr w14:val="tx1"/>
                  </w14:solidFill>
                </w14:textFill>
              </w:rPr>
              <w:t>2</w:t>
            </w:r>
          </w:p>
        </w:tc>
      </w:tr>
    </w:tbl>
    <w:p w14:paraId="6B276DAB">
      <w:pPr>
        <w:keepNext w:val="0"/>
        <w:keepLines w:val="0"/>
        <w:pageBreakBefore w:val="0"/>
        <w:widowControl w:val="0"/>
        <w:shd w:val="clear"/>
        <w:kinsoku/>
        <w:wordWrap/>
        <w:overflowPunct/>
        <w:topLinePunct w:val="0"/>
        <w:autoSpaceDE/>
        <w:autoSpaceDN/>
        <w:bidi w:val="0"/>
        <w:adjustRightInd/>
        <w:snapToGrid/>
        <w:spacing w:line="0" w:lineRule="atLeast"/>
        <w:ind w:left="0" w:leftChars="0" w:firstLine="0" w:firstLineChars="0"/>
        <w:jc w:val="left"/>
        <w:textAlignment w:val="auto"/>
        <w:rPr>
          <w:rFonts w:hint="default" w:ascii="Times New Roman" w:hAnsi="Times New Roman" w:cs="Times New Roman"/>
          <w:snapToGrid w:val="0"/>
          <w:color w:val="000000" w:themeColor="text1"/>
          <w:spacing w:val="-6"/>
          <w:kern w:val="21"/>
          <w:szCs w:val="21"/>
          <w:highlight w:val="none"/>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注：</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⑥</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①</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③</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④</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⑤</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⑦</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⑥</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①</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p>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TimesNewRomanPSMT">
    <w:altName w:val="Times New Roman"/>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24F0F">
    <w:pPr>
      <w:pStyle w:val="2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FD210">
    <w:pPr>
      <w:pStyle w:val="20"/>
      <w:framePr w:wrap="around" w:vAnchor="text" w:hAnchor="margin" w:xAlign="center" w:y="1"/>
      <w:rPr>
        <w:rStyle w:val="36"/>
      </w:rPr>
    </w:pPr>
    <w:r>
      <w:fldChar w:fldCharType="begin"/>
    </w:r>
    <w:r>
      <w:rPr>
        <w:rStyle w:val="36"/>
      </w:rPr>
      <w:instrText xml:space="preserve">PAGE  </w:instrText>
    </w:r>
    <w:r>
      <w:fldChar w:fldCharType="end"/>
    </w:r>
  </w:p>
  <w:p w14:paraId="52A313D9">
    <w:pPr>
      <w:pStyle w:val="2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CC10A">
    <w:pPr>
      <w:pStyle w:val="20"/>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01237">
                          <w:pPr>
                            <w:pStyle w:val="20"/>
                            <w:keepNext w:val="0"/>
                            <w:keepLines w:val="0"/>
                            <w:pageBreakBefore w:val="0"/>
                            <w:widowControl w:val="0"/>
                            <w:kinsoku/>
                            <w:wordWrap/>
                            <w:overflowPunct/>
                            <w:topLinePunct w:val="0"/>
                            <w:autoSpaceDE/>
                            <w:autoSpaceDN/>
                            <w:bidi w:val="0"/>
                            <w:adjustRightInd/>
                            <w:snapToGrid w:val="0"/>
                            <w:ind w:firstLine="0" w:firstLineChars="0"/>
                            <w:jc w:val="center"/>
                            <w:textAlignment w:val="auto"/>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7901237">
                    <w:pPr>
                      <w:pStyle w:val="20"/>
                      <w:keepNext w:val="0"/>
                      <w:keepLines w:val="0"/>
                      <w:pageBreakBefore w:val="0"/>
                      <w:widowControl w:val="0"/>
                      <w:kinsoku/>
                      <w:wordWrap/>
                      <w:overflowPunct/>
                      <w:topLinePunct w:val="0"/>
                      <w:autoSpaceDE/>
                      <w:autoSpaceDN/>
                      <w:bidi w:val="0"/>
                      <w:adjustRightInd/>
                      <w:snapToGrid w:val="0"/>
                      <w:ind w:firstLine="0" w:firstLineChars="0"/>
                      <w:jc w:val="center"/>
                      <w:textAlignment w:val="auto"/>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78D75"/>
    <w:multiLevelType w:val="singleLevel"/>
    <w:tmpl w:val="84E78D75"/>
    <w:lvl w:ilvl="0" w:tentative="0">
      <w:start w:val="6"/>
      <w:numFmt w:val="decimal"/>
      <w:suff w:val="nothing"/>
      <w:lvlText w:val="%1、"/>
      <w:lvlJc w:val="left"/>
    </w:lvl>
  </w:abstractNum>
  <w:abstractNum w:abstractNumId="1">
    <w:nsid w:val="98E53821"/>
    <w:multiLevelType w:val="singleLevel"/>
    <w:tmpl w:val="98E53821"/>
    <w:lvl w:ilvl="0" w:tentative="0">
      <w:start w:val="1"/>
      <w:numFmt w:val="decimal"/>
      <w:suff w:val="nothing"/>
      <w:lvlText w:val="%1"/>
      <w:lvlJc w:val="left"/>
      <w:pPr>
        <w:ind w:left="0" w:firstLine="403"/>
      </w:pPr>
      <w:rPr>
        <w:rFonts w:hint="default"/>
      </w:rPr>
    </w:lvl>
  </w:abstractNum>
  <w:abstractNum w:abstractNumId="2">
    <w:nsid w:val="A66AA164"/>
    <w:multiLevelType w:val="singleLevel"/>
    <w:tmpl w:val="A66AA164"/>
    <w:lvl w:ilvl="0" w:tentative="0">
      <w:start w:val="1"/>
      <w:numFmt w:val="decimal"/>
      <w:suff w:val="nothing"/>
      <w:lvlText w:val="%1"/>
      <w:lvlJc w:val="left"/>
      <w:pPr>
        <w:ind w:left="0" w:firstLine="403"/>
      </w:pPr>
      <w:rPr>
        <w:rFonts w:hint="default"/>
      </w:rPr>
    </w:lvl>
  </w:abstractNum>
  <w:abstractNum w:abstractNumId="3">
    <w:nsid w:val="B2072A1D"/>
    <w:multiLevelType w:val="singleLevel"/>
    <w:tmpl w:val="B2072A1D"/>
    <w:lvl w:ilvl="0" w:tentative="0">
      <w:start w:val="1"/>
      <w:numFmt w:val="decimal"/>
      <w:suff w:val="nothing"/>
      <w:lvlText w:val="%1"/>
      <w:lvlJc w:val="left"/>
      <w:pPr>
        <w:ind w:left="0" w:firstLine="403"/>
      </w:pPr>
      <w:rPr>
        <w:rFonts w:hint="default"/>
      </w:rPr>
    </w:lvl>
  </w:abstractNum>
  <w:abstractNum w:abstractNumId="4">
    <w:nsid w:val="DACF0A51"/>
    <w:multiLevelType w:val="singleLevel"/>
    <w:tmpl w:val="DACF0A51"/>
    <w:lvl w:ilvl="0" w:tentative="0">
      <w:start w:val="1"/>
      <w:numFmt w:val="decimal"/>
      <w:suff w:val="nothing"/>
      <w:lvlText w:val="%1"/>
      <w:lvlJc w:val="left"/>
      <w:pPr>
        <w:ind w:left="0" w:firstLine="403"/>
      </w:pPr>
      <w:rPr>
        <w:rFonts w:hint="default"/>
      </w:rPr>
    </w:lvl>
  </w:abstractNum>
  <w:abstractNum w:abstractNumId="5">
    <w:nsid w:val="DB4111E7"/>
    <w:multiLevelType w:val="singleLevel"/>
    <w:tmpl w:val="DB4111E7"/>
    <w:lvl w:ilvl="0" w:tentative="0">
      <w:start w:val="1"/>
      <w:numFmt w:val="decimal"/>
      <w:suff w:val="nothing"/>
      <w:lvlText w:val="%1"/>
      <w:lvlJc w:val="left"/>
      <w:pPr>
        <w:ind w:left="0" w:firstLine="0"/>
      </w:pPr>
      <w:rPr>
        <w:rFonts w:hint="default"/>
      </w:rPr>
    </w:lvl>
  </w:abstractNum>
  <w:abstractNum w:abstractNumId="6">
    <w:nsid w:val="E4333188"/>
    <w:multiLevelType w:val="singleLevel"/>
    <w:tmpl w:val="E4333188"/>
    <w:lvl w:ilvl="0" w:tentative="0">
      <w:start w:val="1"/>
      <w:numFmt w:val="upperLetter"/>
      <w:suff w:val="nothing"/>
      <w:lvlText w:val="%1、"/>
      <w:lvlJc w:val="left"/>
    </w:lvl>
  </w:abstractNum>
  <w:abstractNum w:abstractNumId="7">
    <w:nsid w:val="E7030B47"/>
    <w:multiLevelType w:val="singleLevel"/>
    <w:tmpl w:val="E7030B47"/>
    <w:lvl w:ilvl="0" w:tentative="0">
      <w:start w:val="8"/>
      <w:numFmt w:val="decimal"/>
      <w:suff w:val="nothing"/>
      <w:lvlText w:val="%1、"/>
      <w:lvlJc w:val="left"/>
    </w:lvl>
  </w:abstractNum>
  <w:abstractNum w:abstractNumId="8">
    <w:nsid w:val="E73BC117"/>
    <w:multiLevelType w:val="singleLevel"/>
    <w:tmpl w:val="E73BC117"/>
    <w:lvl w:ilvl="0" w:tentative="0">
      <w:start w:val="2"/>
      <w:numFmt w:val="chineseCounting"/>
      <w:suff w:val="nothing"/>
      <w:lvlText w:val="%1、"/>
      <w:lvlJc w:val="left"/>
      <w:rPr>
        <w:rFonts w:hint="eastAsia"/>
      </w:rPr>
    </w:lvl>
  </w:abstractNum>
  <w:abstractNum w:abstractNumId="9">
    <w:nsid w:val="E915E56C"/>
    <w:multiLevelType w:val="singleLevel"/>
    <w:tmpl w:val="E915E56C"/>
    <w:lvl w:ilvl="0" w:tentative="0">
      <w:start w:val="1"/>
      <w:numFmt w:val="decimal"/>
      <w:suff w:val="nothing"/>
      <w:lvlText w:val="%1、"/>
      <w:lvlJc w:val="left"/>
      <w:rPr>
        <w:rFonts w:hint="default"/>
        <w:b w:val="0"/>
        <w:bCs w:val="0"/>
      </w:rPr>
    </w:lvl>
  </w:abstractNum>
  <w:abstractNum w:abstractNumId="10">
    <w:nsid w:val="ECAEACE6"/>
    <w:multiLevelType w:val="singleLevel"/>
    <w:tmpl w:val="ECAEACE6"/>
    <w:lvl w:ilvl="0" w:tentative="0">
      <w:start w:val="1"/>
      <w:numFmt w:val="decimal"/>
      <w:suff w:val="nothing"/>
      <w:lvlText w:val="%1"/>
      <w:lvlJc w:val="left"/>
      <w:pPr>
        <w:ind w:left="0" w:firstLine="403"/>
      </w:pPr>
      <w:rPr>
        <w:rFonts w:hint="default"/>
      </w:rPr>
    </w:lvl>
  </w:abstractNum>
  <w:abstractNum w:abstractNumId="11">
    <w:nsid w:val="EFBA7CB8"/>
    <w:multiLevelType w:val="singleLevel"/>
    <w:tmpl w:val="EFBA7CB8"/>
    <w:lvl w:ilvl="0" w:tentative="0">
      <w:start w:val="1"/>
      <w:numFmt w:val="decimal"/>
      <w:suff w:val="nothing"/>
      <w:lvlText w:val="%1"/>
      <w:lvlJc w:val="center"/>
      <w:pPr>
        <w:ind w:left="0" w:firstLine="0"/>
      </w:pPr>
      <w:rPr>
        <w:rFonts w:hint="default"/>
      </w:rPr>
    </w:lvl>
  </w:abstractNum>
  <w:abstractNum w:abstractNumId="12">
    <w:nsid w:val="13A4E7D4"/>
    <w:multiLevelType w:val="singleLevel"/>
    <w:tmpl w:val="13A4E7D4"/>
    <w:lvl w:ilvl="0" w:tentative="0">
      <w:start w:val="12"/>
      <w:numFmt w:val="decimal"/>
      <w:suff w:val="nothing"/>
      <w:lvlText w:val="%1、"/>
      <w:lvlJc w:val="left"/>
    </w:lvl>
  </w:abstractNum>
  <w:abstractNum w:abstractNumId="13">
    <w:nsid w:val="1878671C"/>
    <w:multiLevelType w:val="singleLevel"/>
    <w:tmpl w:val="1878671C"/>
    <w:lvl w:ilvl="0" w:tentative="0">
      <w:start w:val="1"/>
      <w:numFmt w:val="decimal"/>
      <w:suff w:val="nothing"/>
      <w:lvlText w:val="%1、"/>
      <w:lvlJc w:val="left"/>
    </w:lvl>
  </w:abstractNum>
  <w:abstractNum w:abstractNumId="14">
    <w:nsid w:val="1B5C1881"/>
    <w:multiLevelType w:val="singleLevel"/>
    <w:tmpl w:val="1B5C1881"/>
    <w:lvl w:ilvl="0" w:tentative="0">
      <w:start w:val="1"/>
      <w:numFmt w:val="chineseCounting"/>
      <w:suff w:val="nothing"/>
      <w:lvlText w:val="%1、"/>
      <w:lvlJc w:val="left"/>
      <w:rPr>
        <w:rFonts w:hint="eastAsia"/>
      </w:rPr>
    </w:lvl>
  </w:abstractNum>
  <w:abstractNum w:abstractNumId="15">
    <w:nsid w:val="232DFD28"/>
    <w:multiLevelType w:val="singleLevel"/>
    <w:tmpl w:val="232DFD28"/>
    <w:lvl w:ilvl="0" w:tentative="0">
      <w:start w:val="1"/>
      <w:numFmt w:val="decimal"/>
      <w:suff w:val="nothing"/>
      <w:lvlText w:val="图%1  "/>
      <w:lvlJc w:val="left"/>
      <w:pPr>
        <w:ind w:left="0" w:firstLine="403"/>
      </w:pPr>
      <w:rPr>
        <w:rFonts w:hint="default" w:ascii="Times New Roman" w:hAnsi="Times New Roman" w:cs="Times New Roman"/>
        <w:b/>
        <w:bCs/>
        <w:sz w:val="21"/>
        <w:szCs w:val="21"/>
      </w:rPr>
    </w:lvl>
  </w:abstractNum>
  <w:abstractNum w:abstractNumId="16">
    <w:nsid w:val="248A252A"/>
    <w:multiLevelType w:val="singleLevel"/>
    <w:tmpl w:val="248A252A"/>
    <w:lvl w:ilvl="0" w:tentative="0">
      <w:start w:val="1"/>
      <w:numFmt w:val="decimal"/>
      <w:suff w:val="nothing"/>
      <w:lvlText w:val="表%1  "/>
      <w:lvlJc w:val="left"/>
      <w:pPr>
        <w:tabs>
          <w:tab w:val="left" w:pos="0"/>
        </w:tabs>
        <w:ind w:left="0" w:firstLine="403"/>
      </w:pPr>
      <w:rPr>
        <w:rFonts w:hint="default" w:ascii="Times New Roman" w:hAnsi="Times New Roman" w:eastAsia="宋体" w:cs="Times New Roman"/>
      </w:rPr>
    </w:lvl>
  </w:abstractNum>
  <w:abstractNum w:abstractNumId="17">
    <w:nsid w:val="249E0376"/>
    <w:multiLevelType w:val="multilevel"/>
    <w:tmpl w:val="249E0376"/>
    <w:lvl w:ilvl="0" w:tentative="0">
      <w:start w:val="1"/>
      <w:numFmt w:val="decimal"/>
      <w:pStyle w:val="101"/>
      <w:isLgl/>
      <w:suff w:val="space"/>
      <w:lvlText w:val="%1"/>
      <w:lvlJc w:val="left"/>
      <w:pPr>
        <w:ind w:left="0" w:firstLine="0"/>
      </w:pPr>
      <w:rPr>
        <w:rFonts w:hint="default" w:ascii="Times New Roman" w:hAnsi="Times New Roman" w:eastAsia="宋体"/>
        <w:b/>
        <w:i w:val="0"/>
        <w:sz w:val="32"/>
      </w:rPr>
    </w:lvl>
    <w:lvl w:ilvl="1" w:tentative="0">
      <w:start w:val="1"/>
      <w:numFmt w:val="decimal"/>
      <w:isLgl/>
      <w:suff w:val="space"/>
      <w:lvlText w:val="%1.%2"/>
      <w:lvlJc w:val="left"/>
      <w:pPr>
        <w:ind w:left="1985" w:firstLine="0"/>
      </w:pPr>
      <w:rPr>
        <w:rFonts w:hint="default" w:ascii="Times New Roman" w:hAnsi="Times New Roman" w:eastAsia="宋体"/>
        <w:b/>
        <w:i w:val="0"/>
        <w:sz w:val="30"/>
      </w:rPr>
    </w:lvl>
    <w:lvl w:ilvl="2" w:tentative="0">
      <w:start w:val="1"/>
      <w:numFmt w:val="decimal"/>
      <w:isLgl/>
      <w:suff w:val="space"/>
      <w:lvlText w:val="%1.%2.%3"/>
      <w:lvlJc w:val="left"/>
      <w:pPr>
        <w:ind w:left="0" w:firstLine="0"/>
      </w:pPr>
      <w:rPr>
        <w:rFonts w:hint="default" w:ascii="Times New Roman" w:hAnsi="Times New Roman" w:eastAsia="宋体"/>
        <w:b/>
        <w:i w:val="0"/>
        <w:sz w:val="28"/>
      </w:rPr>
    </w:lvl>
    <w:lvl w:ilvl="3" w:tentative="0">
      <w:start w:val="1"/>
      <w:numFmt w:val="decimal"/>
      <w:isLgl/>
      <w:suff w:val="space"/>
      <w:lvlText w:val="%1.%2.%3.%4"/>
      <w:lvlJc w:val="left"/>
      <w:pPr>
        <w:ind w:left="0" w:firstLine="0"/>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lvlRestart w:val="2"/>
      <w:pStyle w:val="110"/>
      <w:isLgl/>
      <w:suff w:val="space"/>
      <w:lvlText w:val="表%1.%2-%5"/>
      <w:lvlJc w:val="left"/>
      <w:pPr>
        <w:ind w:left="0" w:firstLine="0"/>
      </w:pPr>
      <w:rPr>
        <w:rFonts w:hint="default" w:ascii="Times New Roman" w:hAnsi="Times New Roman" w:cs="Times New Roman"/>
        <w:b/>
        <w:bCs w:val="0"/>
        <w:i w:val="0"/>
        <w:iCs w:val="0"/>
        <w:caps w:val="0"/>
        <w:smallCaps w:val="0"/>
        <w:strike w:val="0"/>
        <w:dstrike w:val="0"/>
        <w:vanish w:val="0"/>
        <w:color w:val="000000"/>
        <w:spacing w:val="0"/>
        <w:kern w:val="0"/>
        <w:position w:val="0"/>
        <w:sz w:val="21"/>
        <w:szCs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lvlRestart w:val="2"/>
      <w:isLgl/>
      <w:lvlText w:val="图%1.%2-%6"/>
      <w:lvlJc w:val="left"/>
      <w:pPr>
        <w:ind w:left="0" w:firstLine="0"/>
      </w:pPr>
      <w:rPr>
        <w:rFonts w:hint="default" w:ascii="Times New Roman" w:hAnsi="Times New Roman" w:eastAsia="宋体"/>
        <w:b/>
        <w:i w:val="0"/>
        <w:sz w:val="21"/>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8">
    <w:nsid w:val="27850527"/>
    <w:multiLevelType w:val="singleLevel"/>
    <w:tmpl w:val="27850527"/>
    <w:lvl w:ilvl="0" w:tentative="0">
      <w:start w:val="1"/>
      <w:numFmt w:val="decimal"/>
      <w:suff w:val="nothing"/>
      <w:lvlText w:val="%1"/>
      <w:lvlJc w:val="left"/>
      <w:pPr>
        <w:ind w:left="0" w:firstLine="403"/>
      </w:pPr>
      <w:rPr>
        <w:rFonts w:hint="default"/>
      </w:rPr>
    </w:lvl>
  </w:abstractNum>
  <w:abstractNum w:abstractNumId="19">
    <w:nsid w:val="481B986C"/>
    <w:multiLevelType w:val="singleLevel"/>
    <w:tmpl w:val="481B986C"/>
    <w:lvl w:ilvl="0" w:tentative="0">
      <w:start w:val="1"/>
      <w:numFmt w:val="decimal"/>
      <w:suff w:val="nothing"/>
      <w:lvlText w:val="%1、"/>
      <w:lvlJc w:val="left"/>
      <w:pPr>
        <w:ind w:left="0" w:firstLine="403"/>
      </w:pPr>
      <w:rPr>
        <w:rFonts w:hint="default"/>
      </w:rPr>
    </w:lvl>
  </w:abstractNum>
  <w:abstractNum w:abstractNumId="20">
    <w:nsid w:val="52D75C13"/>
    <w:multiLevelType w:val="singleLevel"/>
    <w:tmpl w:val="52D75C13"/>
    <w:lvl w:ilvl="0" w:tentative="0">
      <w:start w:val="1"/>
      <w:numFmt w:val="decimal"/>
      <w:suff w:val="nothing"/>
      <w:lvlText w:val="%1、"/>
      <w:lvlJc w:val="left"/>
    </w:lvl>
  </w:abstractNum>
  <w:abstractNum w:abstractNumId="21">
    <w:nsid w:val="7AACFD22"/>
    <w:multiLevelType w:val="singleLevel"/>
    <w:tmpl w:val="7AACFD22"/>
    <w:lvl w:ilvl="0" w:tentative="0">
      <w:start w:val="4"/>
      <w:numFmt w:val="upperLetter"/>
      <w:suff w:val="nothing"/>
      <w:lvlText w:val="%1-"/>
      <w:lvlJc w:val="left"/>
    </w:lvl>
  </w:abstractNum>
  <w:num w:numId="1">
    <w:abstractNumId w:val="17"/>
  </w:num>
  <w:num w:numId="2">
    <w:abstractNumId w:val="20"/>
  </w:num>
  <w:num w:numId="3">
    <w:abstractNumId w:val="16"/>
  </w:num>
  <w:num w:numId="4">
    <w:abstractNumId w:val="7"/>
  </w:num>
  <w:num w:numId="5">
    <w:abstractNumId w:val="8"/>
  </w:num>
  <w:num w:numId="6">
    <w:abstractNumId w:val="14"/>
  </w:num>
  <w:num w:numId="7">
    <w:abstractNumId w:val="15"/>
  </w:num>
  <w:num w:numId="8">
    <w:abstractNumId w:val="0"/>
  </w:num>
  <w:num w:numId="9">
    <w:abstractNumId w:val="4"/>
  </w:num>
  <w:num w:numId="10">
    <w:abstractNumId w:val="18"/>
  </w:num>
  <w:num w:numId="11">
    <w:abstractNumId w:val="12"/>
  </w:num>
  <w:num w:numId="12">
    <w:abstractNumId w:val="13"/>
  </w:num>
  <w:num w:numId="13">
    <w:abstractNumId w:val="9"/>
  </w:num>
  <w:num w:numId="14">
    <w:abstractNumId w:val="19"/>
  </w:num>
  <w:num w:numId="15">
    <w:abstractNumId w:val="21"/>
  </w:num>
  <w:num w:numId="16">
    <w:abstractNumId w:val="5"/>
  </w:num>
  <w:num w:numId="17">
    <w:abstractNumId w:val="2"/>
  </w:num>
  <w:num w:numId="18">
    <w:abstractNumId w:val="3"/>
  </w:num>
  <w:num w:numId="19">
    <w:abstractNumId w:val="1"/>
  </w:num>
  <w:num w:numId="20">
    <w:abstractNumId w:val="6"/>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yNWFiODlmNTc4ZmFhY2VkNTE1YTRhN2JhYTlmYzYifQ=="/>
  </w:docVars>
  <w:rsids>
    <w:rsidRoot w:val="00172A27"/>
    <w:rsid w:val="00013654"/>
    <w:rsid w:val="0011760F"/>
    <w:rsid w:val="003B391F"/>
    <w:rsid w:val="00435DD5"/>
    <w:rsid w:val="004A7E60"/>
    <w:rsid w:val="005C7203"/>
    <w:rsid w:val="007721D9"/>
    <w:rsid w:val="008B73C2"/>
    <w:rsid w:val="00D5212B"/>
    <w:rsid w:val="011213BB"/>
    <w:rsid w:val="011473B7"/>
    <w:rsid w:val="0115331A"/>
    <w:rsid w:val="0119236E"/>
    <w:rsid w:val="01297074"/>
    <w:rsid w:val="014402DC"/>
    <w:rsid w:val="01657C13"/>
    <w:rsid w:val="017773C1"/>
    <w:rsid w:val="01AA5582"/>
    <w:rsid w:val="01B65374"/>
    <w:rsid w:val="01BC775B"/>
    <w:rsid w:val="01BC7932"/>
    <w:rsid w:val="01BF4648"/>
    <w:rsid w:val="01C52A3D"/>
    <w:rsid w:val="01CD46E2"/>
    <w:rsid w:val="01F86178"/>
    <w:rsid w:val="02061EF8"/>
    <w:rsid w:val="02103919"/>
    <w:rsid w:val="02186374"/>
    <w:rsid w:val="022467AE"/>
    <w:rsid w:val="023109DD"/>
    <w:rsid w:val="025B50D2"/>
    <w:rsid w:val="026B1259"/>
    <w:rsid w:val="02763227"/>
    <w:rsid w:val="027B2AF2"/>
    <w:rsid w:val="029F005F"/>
    <w:rsid w:val="02A66262"/>
    <w:rsid w:val="02B8349F"/>
    <w:rsid w:val="02BB407A"/>
    <w:rsid w:val="02E1776D"/>
    <w:rsid w:val="02E35FCD"/>
    <w:rsid w:val="036859A7"/>
    <w:rsid w:val="037B7C72"/>
    <w:rsid w:val="03904674"/>
    <w:rsid w:val="03A762C0"/>
    <w:rsid w:val="03AA7B5F"/>
    <w:rsid w:val="03AD2D02"/>
    <w:rsid w:val="03B35DA3"/>
    <w:rsid w:val="03BD6CB7"/>
    <w:rsid w:val="03C36E72"/>
    <w:rsid w:val="04316BDC"/>
    <w:rsid w:val="044960FC"/>
    <w:rsid w:val="046F14D4"/>
    <w:rsid w:val="04715BE5"/>
    <w:rsid w:val="04AC2A16"/>
    <w:rsid w:val="04BF1AB7"/>
    <w:rsid w:val="04C50721"/>
    <w:rsid w:val="04CD247C"/>
    <w:rsid w:val="04D71DB7"/>
    <w:rsid w:val="04DD738A"/>
    <w:rsid w:val="05091758"/>
    <w:rsid w:val="0528099B"/>
    <w:rsid w:val="0535602A"/>
    <w:rsid w:val="055778FF"/>
    <w:rsid w:val="05613BD7"/>
    <w:rsid w:val="059652F0"/>
    <w:rsid w:val="05BC06B5"/>
    <w:rsid w:val="05EB1650"/>
    <w:rsid w:val="062A4F87"/>
    <w:rsid w:val="065D6E3C"/>
    <w:rsid w:val="065E25A9"/>
    <w:rsid w:val="06621B3C"/>
    <w:rsid w:val="066F2B8F"/>
    <w:rsid w:val="06940EC6"/>
    <w:rsid w:val="06CF3724"/>
    <w:rsid w:val="06D04BBC"/>
    <w:rsid w:val="06E34232"/>
    <w:rsid w:val="06F45032"/>
    <w:rsid w:val="06F85085"/>
    <w:rsid w:val="07066A4E"/>
    <w:rsid w:val="07091040"/>
    <w:rsid w:val="073929DD"/>
    <w:rsid w:val="0749768F"/>
    <w:rsid w:val="07592141"/>
    <w:rsid w:val="076B5B27"/>
    <w:rsid w:val="078A67B7"/>
    <w:rsid w:val="07972AF0"/>
    <w:rsid w:val="079923C4"/>
    <w:rsid w:val="079929DA"/>
    <w:rsid w:val="07E21517"/>
    <w:rsid w:val="081309BD"/>
    <w:rsid w:val="081734DD"/>
    <w:rsid w:val="082C09A4"/>
    <w:rsid w:val="082D6515"/>
    <w:rsid w:val="08316AF1"/>
    <w:rsid w:val="08363BB4"/>
    <w:rsid w:val="0844352F"/>
    <w:rsid w:val="087958B3"/>
    <w:rsid w:val="087C5358"/>
    <w:rsid w:val="088F09AA"/>
    <w:rsid w:val="08EC634D"/>
    <w:rsid w:val="08FF2FC2"/>
    <w:rsid w:val="09192D31"/>
    <w:rsid w:val="099646D7"/>
    <w:rsid w:val="09981B16"/>
    <w:rsid w:val="09AD1BE1"/>
    <w:rsid w:val="09B263AD"/>
    <w:rsid w:val="09E13885"/>
    <w:rsid w:val="0A0E2B43"/>
    <w:rsid w:val="0A395A17"/>
    <w:rsid w:val="0A486323"/>
    <w:rsid w:val="0AB07738"/>
    <w:rsid w:val="0AE97ED1"/>
    <w:rsid w:val="0B193D9F"/>
    <w:rsid w:val="0B566063"/>
    <w:rsid w:val="0B730DEC"/>
    <w:rsid w:val="0B7A2FB3"/>
    <w:rsid w:val="0B7B1FE3"/>
    <w:rsid w:val="0B9D61FB"/>
    <w:rsid w:val="0BA770EE"/>
    <w:rsid w:val="0BB02BB1"/>
    <w:rsid w:val="0BC34B39"/>
    <w:rsid w:val="0BFB0B3E"/>
    <w:rsid w:val="0C0D6E54"/>
    <w:rsid w:val="0C1956C2"/>
    <w:rsid w:val="0C2845A9"/>
    <w:rsid w:val="0C3703FE"/>
    <w:rsid w:val="0C5B3E1B"/>
    <w:rsid w:val="0CA64A4B"/>
    <w:rsid w:val="0CAD246E"/>
    <w:rsid w:val="0CB57F27"/>
    <w:rsid w:val="0CD37262"/>
    <w:rsid w:val="0D003653"/>
    <w:rsid w:val="0D3B293F"/>
    <w:rsid w:val="0D42705A"/>
    <w:rsid w:val="0D576E03"/>
    <w:rsid w:val="0D5A0848"/>
    <w:rsid w:val="0DC3401E"/>
    <w:rsid w:val="0DFD674D"/>
    <w:rsid w:val="0E004625"/>
    <w:rsid w:val="0E15476E"/>
    <w:rsid w:val="0E17252A"/>
    <w:rsid w:val="0E346F70"/>
    <w:rsid w:val="0E923550"/>
    <w:rsid w:val="0EB07E3F"/>
    <w:rsid w:val="0EC17D25"/>
    <w:rsid w:val="0EDE2B1E"/>
    <w:rsid w:val="0EEC54CF"/>
    <w:rsid w:val="0EFA2408"/>
    <w:rsid w:val="0F155E79"/>
    <w:rsid w:val="0F2A424A"/>
    <w:rsid w:val="0F5D461F"/>
    <w:rsid w:val="0F997807"/>
    <w:rsid w:val="0FC85F3C"/>
    <w:rsid w:val="1005355C"/>
    <w:rsid w:val="10066A65"/>
    <w:rsid w:val="10250DCB"/>
    <w:rsid w:val="102652F2"/>
    <w:rsid w:val="103241E5"/>
    <w:rsid w:val="104755C7"/>
    <w:rsid w:val="1053332C"/>
    <w:rsid w:val="107675AA"/>
    <w:rsid w:val="10B35258"/>
    <w:rsid w:val="10BF0530"/>
    <w:rsid w:val="10CA1840"/>
    <w:rsid w:val="10DC6EFE"/>
    <w:rsid w:val="10F039A5"/>
    <w:rsid w:val="10FC60E0"/>
    <w:rsid w:val="111172D6"/>
    <w:rsid w:val="111831F6"/>
    <w:rsid w:val="11872970"/>
    <w:rsid w:val="119B2E18"/>
    <w:rsid w:val="119F3A9A"/>
    <w:rsid w:val="11E651BC"/>
    <w:rsid w:val="11F254F3"/>
    <w:rsid w:val="11F823DD"/>
    <w:rsid w:val="120F7A07"/>
    <w:rsid w:val="121D3E94"/>
    <w:rsid w:val="122777BF"/>
    <w:rsid w:val="12413D84"/>
    <w:rsid w:val="125149D8"/>
    <w:rsid w:val="12650314"/>
    <w:rsid w:val="127F665A"/>
    <w:rsid w:val="1288550F"/>
    <w:rsid w:val="129B0EDA"/>
    <w:rsid w:val="12C0765B"/>
    <w:rsid w:val="12CF0E9D"/>
    <w:rsid w:val="12D01940"/>
    <w:rsid w:val="12D66A14"/>
    <w:rsid w:val="12DE3E4D"/>
    <w:rsid w:val="12F17558"/>
    <w:rsid w:val="130D3C66"/>
    <w:rsid w:val="13306483"/>
    <w:rsid w:val="1362352E"/>
    <w:rsid w:val="136E0BA9"/>
    <w:rsid w:val="13760381"/>
    <w:rsid w:val="13941E53"/>
    <w:rsid w:val="13A935F4"/>
    <w:rsid w:val="13B81026"/>
    <w:rsid w:val="13BD5225"/>
    <w:rsid w:val="13BD743A"/>
    <w:rsid w:val="13C33E74"/>
    <w:rsid w:val="13C52CAD"/>
    <w:rsid w:val="1406211E"/>
    <w:rsid w:val="14135DF7"/>
    <w:rsid w:val="14147066"/>
    <w:rsid w:val="144616CB"/>
    <w:rsid w:val="147863C1"/>
    <w:rsid w:val="148557AE"/>
    <w:rsid w:val="14EF5274"/>
    <w:rsid w:val="14F83400"/>
    <w:rsid w:val="152B041F"/>
    <w:rsid w:val="1537372D"/>
    <w:rsid w:val="15384243"/>
    <w:rsid w:val="15510782"/>
    <w:rsid w:val="155644FB"/>
    <w:rsid w:val="156404B5"/>
    <w:rsid w:val="15774B6B"/>
    <w:rsid w:val="157A7036"/>
    <w:rsid w:val="15BB16D6"/>
    <w:rsid w:val="15C42D02"/>
    <w:rsid w:val="15D84761"/>
    <w:rsid w:val="15EE05F4"/>
    <w:rsid w:val="16113A6D"/>
    <w:rsid w:val="1626241E"/>
    <w:rsid w:val="16385FC0"/>
    <w:rsid w:val="163871FF"/>
    <w:rsid w:val="163F682C"/>
    <w:rsid w:val="166F4CC6"/>
    <w:rsid w:val="16706493"/>
    <w:rsid w:val="16887C25"/>
    <w:rsid w:val="169E30ED"/>
    <w:rsid w:val="170021A5"/>
    <w:rsid w:val="1714607C"/>
    <w:rsid w:val="17167795"/>
    <w:rsid w:val="172508E3"/>
    <w:rsid w:val="172D2B29"/>
    <w:rsid w:val="1737031C"/>
    <w:rsid w:val="17486885"/>
    <w:rsid w:val="177937EE"/>
    <w:rsid w:val="17797B1C"/>
    <w:rsid w:val="17941AFD"/>
    <w:rsid w:val="17B77691"/>
    <w:rsid w:val="17DB2954"/>
    <w:rsid w:val="17E1508B"/>
    <w:rsid w:val="18001C70"/>
    <w:rsid w:val="18095344"/>
    <w:rsid w:val="181E041F"/>
    <w:rsid w:val="184022D4"/>
    <w:rsid w:val="18610323"/>
    <w:rsid w:val="187F2395"/>
    <w:rsid w:val="1890511D"/>
    <w:rsid w:val="18C20C80"/>
    <w:rsid w:val="18D25804"/>
    <w:rsid w:val="18E5428A"/>
    <w:rsid w:val="18E94FBB"/>
    <w:rsid w:val="18EB4A4A"/>
    <w:rsid w:val="18F64A17"/>
    <w:rsid w:val="18F87A11"/>
    <w:rsid w:val="19256404"/>
    <w:rsid w:val="19510EAD"/>
    <w:rsid w:val="195770FF"/>
    <w:rsid w:val="19D6546A"/>
    <w:rsid w:val="1A1B310D"/>
    <w:rsid w:val="1A361DC9"/>
    <w:rsid w:val="1A3A1DE2"/>
    <w:rsid w:val="1A3D12D5"/>
    <w:rsid w:val="1AD1049B"/>
    <w:rsid w:val="1B22750D"/>
    <w:rsid w:val="1B3740E4"/>
    <w:rsid w:val="1B39452E"/>
    <w:rsid w:val="1B5B6730"/>
    <w:rsid w:val="1B6B6C59"/>
    <w:rsid w:val="1B7864D6"/>
    <w:rsid w:val="1B7E7287"/>
    <w:rsid w:val="1B825437"/>
    <w:rsid w:val="1B8947E8"/>
    <w:rsid w:val="1B8E093E"/>
    <w:rsid w:val="1B9B5B71"/>
    <w:rsid w:val="1B9E1AE3"/>
    <w:rsid w:val="1BBD7954"/>
    <w:rsid w:val="1C063106"/>
    <w:rsid w:val="1C375971"/>
    <w:rsid w:val="1C406E5A"/>
    <w:rsid w:val="1C6E16B6"/>
    <w:rsid w:val="1C6F5E02"/>
    <w:rsid w:val="1C8B6116"/>
    <w:rsid w:val="1C9571A6"/>
    <w:rsid w:val="1CB346B8"/>
    <w:rsid w:val="1CC63804"/>
    <w:rsid w:val="1CCA60A8"/>
    <w:rsid w:val="1CDB5CFC"/>
    <w:rsid w:val="1CF45482"/>
    <w:rsid w:val="1CFD2F9D"/>
    <w:rsid w:val="1D253C3C"/>
    <w:rsid w:val="1D2957CB"/>
    <w:rsid w:val="1D3140BF"/>
    <w:rsid w:val="1D7F69D0"/>
    <w:rsid w:val="1DA35507"/>
    <w:rsid w:val="1DB775F0"/>
    <w:rsid w:val="1DB820EC"/>
    <w:rsid w:val="1DD00688"/>
    <w:rsid w:val="1DD42A7D"/>
    <w:rsid w:val="1DDE3EDD"/>
    <w:rsid w:val="1DE93CBA"/>
    <w:rsid w:val="1DFE3D28"/>
    <w:rsid w:val="1E252102"/>
    <w:rsid w:val="1E290F93"/>
    <w:rsid w:val="1E3554E8"/>
    <w:rsid w:val="1E4C1408"/>
    <w:rsid w:val="1E6E051A"/>
    <w:rsid w:val="1E876C7E"/>
    <w:rsid w:val="1EA9286B"/>
    <w:rsid w:val="1EB17E9E"/>
    <w:rsid w:val="1EBF49AE"/>
    <w:rsid w:val="1ECF128E"/>
    <w:rsid w:val="1EFA3CD5"/>
    <w:rsid w:val="1F2A7CF2"/>
    <w:rsid w:val="1F331DDE"/>
    <w:rsid w:val="1F675534"/>
    <w:rsid w:val="1F6B0692"/>
    <w:rsid w:val="1F6B6D7D"/>
    <w:rsid w:val="1F7E32B0"/>
    <w:rsid w:val="1F881244"/>
    <w:rsid w:val="1FA52077"/>
    <w:rsid w:val="1FD41D2C"/>
    <w:rsid w:val="1FF30BD1"/>
    <w:rsid w:val="202473A7"/>
    <w:rsid w:val="20580C17"/>
    <w:rsid w:val="207A3EE6"/>
    <w:rsid w:val="20991403"/>
    <w:rsid w:val="20997BE3"/>
    <w:rsid w:val="20AA343C"/>
    <w:rsid w:val="20EB098B"/>
    <w:rsid w:val="2145768F"/>
    <w:rsid w:val="215D225D"/>
    <w:rsid w:val="216B6728"/>
    <w:rsid w:val="2177331E"/>
    <w:rsid w:val="217B030D"/>
    <w:rsid w:val="218241E8"/>
    <w:rsid w:val="21B856E5"/>
    <w:rsid w:val="21D151F3"/>
    <w:rsid w:val="21E13260"/>
    <w:rsid w:val="21E944E1"/>
    <w:rsid w:val="21F02C4B"/>
    <w:rsid w:val="220646A2"/>
    <w:rsid w:val="221631F4"/>
    <w:rsid w:val="22374F98"/>
    <w:rsid w:val="225D0766"/>
    <w:rsid w:val="22632846"/>
    <w:rsid w:val="226911A3"/>
    <w:rsid w:val="22717D6E"/>
    <w:rsid w:val="227E17E0"/>
    <w:rsid w:val="227F7C27"/>
    <w:rsid w:val="22914C32"/>
    <w:rsid w:val="22BE4368"/>
    <w:rsid w:val="22C846D5"/>
    <w:rsid w:val="22E4041E"/>
    <w:rsid w:val="22F75578"/>
    <w:rsid w:val="23114B53"/>
    <w:rsid w:val="2315555B"/>
    <w:rsid w:val="231A0405"/>
    <w:rsid w:val="23250856"/>
    <w:rsid w:val="233F31C1"/>
    <w:rsid w:val="234B6EF7"/>
    <w:rsid w:val="237C0DAC"/>
    <w:rsid w:val="238A5357"/>
    <w:rsid w:val="2397120D"/>
    <w:rsid w:val="239857CE"/>
    <w:rsid w:val="239A7550"/>
    <w:rsid w:val="23AD578A"/>
    <w:rsid w:val="23B63A93"/>
    <w:rsid w:val="23C927AA"/>
    <w:rsid w:val="23DA5DE6"/>
    <w:rsid w:val="23EE3640"/>
    <w:rsid w:val="23FA0A20"/>
    <w:rsid w:val="241074FD"/>
    <w:rsid w:val="2448573A"/>
    <w:rsid w:val="244871F4"/>
    <w:rsid w:val="246011F9"/>
    <w:rsid w:val="24652DDA"/>
    <w:rsid w:val="249A6EF9"/>
    <w:rsid w:val="249E21DB"/>
    <w:rsid w:val="24A53730"/>
    <w:rsid w:val="24CF0698"/>
    <w:rsid w:val="24EB7A48"/>
    <w:rsid w:val="24EE7D9B"/>
    <w:rsid w:val="24F609FE"/>
    <w:rsid w:val="252A578D"/>
    <w:rsid w:val="254D12CD"/>
    <w:rsid w:val="25673BFF"/>
    <w:rsid w:val="25797F62"/>
    <w:rsid w:val="258A3728"/>
    <w:rsid w:val="25A46000"/>
    <w:rsid w:val="25B70DB8"/>
    <w:rsid w:val="25CB4576"/>
    <w:rsid w:val="25CD7AA8"/>
    <w:rsid w:val="25E76D2B"/>
    <w:rsid w:val="25EA5D47"/>
    <w:rsid w:val="25EC1354"/>
    <w:rsid w:val="25F93E63"/>
    <w:rsid w:val="25F97DE8"/>
    <w:rsid w:val="26040EF9"/>
    <w:rsid w:val="261547F5"/>
    <w:rsid w:val="262275D1"/>
    <w:rsid w:val="264F3EC9"/>
    <w:rsid w:val="265B3E9A"/>
    <w:rsid w:val="2670658E"/>
    <w:rsid w:val="26BE19EF"/>
    <w:rsid w:val="26BE1DFC"/>
    <w:rsid w:val="26E256DE"/>
    <w:rsid w:val="271411F1"/>
    <w:rsid w:val="2714427E"/>
    <w:rsid w:val="27670907"/>
    <w:rsid w:val="27814EF7"/>
    <w:rsid w:val="278622E8"/>
    <w:rsid w:val="278E40C4"/>
    <w:rsid w:val="279F4645"/>
    <w:rsid w:val="27A306E7"/>
    <w:rsid w:val="27AA3862"/>
    <w:rsid w:val="27DA00E8"/>
    <w:rsid w:val="27DB7175"/>
    <w:rsid w:val="27E965F8"/>
    <w:rsid w:val="27FA6A57"/>
    <w:rsid w:val="28050A21"/>
    <w:rsid w:val="28204EE9"/>
    <w:rsid w:val="282A7C22"/>
    <w:rsid w:val="28380FB0"/>
    <w:rsid w:val="286D0FD7"/>
    <w:rsid w:val="2889649E"/>
    <w:rsid w:val="28A1664D"/>
    <w:rsid w:val="28A41758"/>
    <w:rsid w:val="28B00582"/>
    <w:rsid w:val="28B94551"/>
    <w:rsid w:val="28BE0B49"/>
    <w:rsid w:val="28C9242C"/>
    <w:rsid w:val="290F7E5D"/>
    <w:rsid w:val="29152CB6"/>
    <w:rsid w:val="291C66DF"/>
    <w:rsid w:val="29641999"/>
    <w:rsid w:val="299724D0"/>
    <w:rsid w:val="2997496C"/>
    <w:rsid w:val="29C85D36"/>
    <w:rsid w:val="29DF1706"/>
    <w:rsid w:val="29F6324E"/>
    <w:rsid w:val="2A131F62"/>
    <w:rsid w:val="2A3D2C2B"/>
    <w:rsid w:val="2A8733C9"/>
    <w:rsid w:val="2A89478F"/>
    <w:rsid w:val="2A9A62D0"/>
    <w:rsid w:val="2A9C2B2F"/>
    <w:rsid w:val="2AD97FE2"/>
    <w:rsid w:val="2B157C6B"/>
    <w:rsid w:val="2B275DB5"/>
    <w:rsid w:val="2B3E30FF"/>
    <w:rsid w:val="2B5C4363"/>
    <w:rsid w:val="2B99684E"/>
    <w:rsid w:val="2BA016C4"/>
    <w:rsid w:val="2BDA5F01"/>
    <w:rsid w:val="2C07082B"/>
    <w:rsid w:val="2C0F7624"/>
    <w:rsid w:val="2C1F6A8C"/>
    <w:rsid w:val="2C241AC1"/>
    <w:rsid w:val="2C2917EA"/>
    <w:rsid w:val="2C351E0C"/>
    <w:rsid w:val="2C464019"/>
    <w:rsid w:val="2C5B0FA2"/>
    <w:rsid w:val="2C8D580B"/>
    <w:rsid w:val="2C9A7E5B"/>
    <w:rsid w:val="2CAD1597"/>
    <w:rsid w:val="2CD82433"/>
    <w:rsid w:val="2D0126F1"/>
    <w:rsid w:val="2D207958"/>
    <w:rsid w:val="2D4F6EFD"/>
    <w:rsid w:val="2D71460F"/>
    <w:rsid w:val="2D7E3C87"/>
    <w:rsid w:val="2D804C3C"/>
    <w:rsid w:val="2D853B6C"/>
    <w:rsid w:val="2D9D410D"/>
    <w:rsid w:val="2DBB51A3"/>
    <w:rsid w:val="2DFF2502"/>
    <w:rsid w:val="2E0E359B"/>
    <w:rsid w:val="2E127C24"/>
    <w:rsid w:val="2E1E448E"/>
    <w:rsid w:val="2E416702"/>
    <w:rsid w:val="2E4D1B2D"/>
    <w:rsid w:val="2E504D51"/>
    <w:rsid w:val="2E7135E8"/>
    <w:rsid w:val="2E731311"/>
    <w:rsid w:val="2E7F77AD"/>
    <w:rsid w:val="2E8637E5"/>
    <w:rsid w:val="2E884DBD"/>
    <w:rsid w:val="2EB35101"/>
    <w:rsid w:val="2EC91221"/>
    <w:rsid w:val="2ED27DE6"/>
    <w:rsid w:val="2EDE1B67"/>
    <w:rsid w:val="2F0B34FA"/>
    <w:rsid w:val="2F0E4B96"/>
    <w:rsid w:val="2F2E6FE6"/>
    <w:rsid w:val="2F3517E6"/>
    <w:rsid w:val="2F367FCF"/>
    <w:rsid w:val="2F484A2C"/>
    <w:rsid w:val="2F4A21D1"/>
    <w:rsid w:val="2F6173BC"/>
    <w:rsid w:val="2F651F16"/>
    <w:rsid w:val="2F7C0100"/>
    <w:rsid w:val="2FED169D"/>
    <w:rsid w:val="30120F5C"/>
    <w:rsid w:val="306C7796"/>
    <w:rsid w:val="30722B1B"/>
    <w:rsid w:val="308600DE"/>
    <w:rsid w:val="30A34A58"/>
    <w:rsid w:val="30A851C7"/>
    <w:rsid w:val="30AB1BA8"/>
    <w:rsid w:val="30B51478"/>
    <w:rsid w:val="30D244E5"/>
    <w:rsid w:val="30DC319E"/>
    <w:rsid w:val="30F56214"/>
    <w:rsid w:val="30FF39B5"/>
    <w:rsid w:val="31061EB7"/>
    <w:rsid w:val="310D6DD8"/>
    <w:rsid w:val="313F3539"/>
    <w:rsid w:val="314219E8"/>
    <w:rsid w:val="31590A22"/>
    <w:rsid w:val="316E7B6E"/>
    <w:rsid w:val="317863A6"/>
    <w:rsid w:val="31B505C7"/>
    <w:rsid w:val="31BE4652"/>
    <w:rsid w:val="31C9792C"/>
    <w:rsid w:val="31CD40BC"/>
    <w:rsid w:val="31DC5791"/>
    <w:rsid w:val="31DD56E6"/>
    <w:rsid w:val="31E83DC4"/>
    <w:rsid w:val="32087FC3"/>
    <w:rsid w:val="32292FA2"/>
    <w:rsid w:val="323112C7"/>
    <w:rsid w:val="3245044D"/>
    <w:rsid w:val="32473A64"/>
    <w:rsid w:val="32554355"/>
    <w:rsid w:val="325A081E"/>
    <w:rsid w:val="325E33D3"/>
    <w:rsid w:val="32813850"/>
    <w:rsid w:val="32D46A11"/>
    <w:rsid w:val="32E736D8"/>
    <w:rsid w:val="331033B9"/>
    <w:rsid w:val="331B3F52"/>
    <w:rsid w:val="334212B2"/>
    <w:rsid w:val="33496EA4"/>
    <w:rsid w:val="3356094E"/>
    <w:rsid w:val="33604B74"/>
    <w:rsid w:val="336E4DB2"/>
    <w:rsid w:val="339345D4"/>
    <w:rsid w:val="339A146B"/>
    <w:rsid w:val="339E15BF"/>
    <w:rsid w:val="33A323F1"/>
    <w:rsid w:val="33AD0700"/>
    <w:rsid w:val="33AF616C"/>
    <w:rsid w:val="33B22A09"/>
    <w:rsid w:val="34117602"/>
    <w:rsid w:val="34195A69"/>
    <w:rsid w:val="343E0F3A"/>
    <w:rsid w:val="344D7F0F"/>
    <w:rsid w:val="34BB24B7"/>
    <w:rsid w:val="34BD6E42"/>
    <w:rsid w:val="34BF0E0C"/>
    <w:rsid w:val="34D94D83"/>
    <w:rsid w:val="34F5705F"/>
    <w:rsid w:val="34FF6EA9"/>
    <w:rsid w:val="355132CD"/>
    <w:rsid w:val="35577A9C"/>
    <w:rsid w:val="35613C72"/>
    <w:rsid w:val="35C66BAB"/>
    <w:rsid w:val="35E5212A"/>
    <w:rsid w:val="35FA5E74"/>
    <w:rsid w:val="360D2F4B"/>
    <w:rsid w:val="361F1E85"/>
    <w:rsid w:val="362B4280"/>
    <w:rsid w:val="362C5B7C"/>
    <w:rsid w:val="363602C3"/>
    <w:rsid w:val="363C78E7"/>
    <w:rsid w:val="365B4B65"/>
    <w:rsid w:val="36955434"/>
    <w:rsid w:val="36B91CA1"/>
    <w:rsid w:val="36DE2727"/>
    <w:rsid w:val="36E40AF7"/>
    <w:rsid w:val="36E62234"/>
    <w:rsid w:val="36E763F9"/>
    <w:rsid w:val="36FF3E2B"/>
    <w:rsid w:val="371F3590"/>
    <w:rsid w:val="3744782D"/>
    <w:rsid w:val="37470A06"/>
    <w:rsid w:val="37557806"/>
    <w:rsid w:val="3787198A"/>
    <w:rsid w:val="378E35FB"/>
    <w:rsid w:val="38290817"/>
    <w:rsid w:val="382B0567"/>
    <w:rsid w:val="383720DE"/>
    <w:rsid w:val="383E473E"/>
    <w:rsid w:val="388C7464"/>
    <w:rsid w:val="38B5651C"/>
    <w:rsid w:val="38CC612A"/>
    <w:rsid w:val="38EF77E6"/>
    <w:rsid w:val="38F90665"/>
    <w:rsid w:val="3943504A"/>
    <w:rsid w:val="39585037"/>
    <w:rsid w:val="395E2F2B"/>
    <w:rsid w:val="39786CDF"/>
    <w:rsid w:val="397C10C3"/>
    <w:rsid w:val="399F3563"/>
    <w:rsid w:val="39AD2005"/>
    <w:rsid w:val="39B36A66"/>
    <w:rsid w:val="39C052F2"/>
    <w:rsid w:val="39C52D51"/>
    <w:rsid w:val="39D35282"/>
    <w:rsid w:val="39DA793B"/>
    <w:rsid w:val="39DC420F"/>
    <w:rsid w:val="39F74BA5"/>
    <w:rsid w:val="39FD5F33"/>
    <w:rsid w:val="3A06128C"/>
    <w:rsid w:val="3A092E15"/>
    <w:rsid w:val="3A14464F"/>
    <w:rsid w:val="3A176FF5"/>
    <w:rsid w:val="3A267238"/>
    <w:rsid w:val="3A2A62F1"/>
    <w:rsid w:val="3A2A7ACA"/>
    <w:rsid w:val="3A5123C7"/>
    <w:rsid w:val="3A731559"/>
    <w:rsid w:val="3A8622D9"/>
    <w:rsid w:val="3A877D1D"/>
    <w:rsid w:val="3A960861"/>
    <w:rsid w:val="3AA25026"/>
    <w:rsid w:val="3AA6415A"/>
    <w:rsid w:val="3AC1392B"/>
    <w:rsid w:val="3B015561"/>
    <w:rsid w:val="3B1A3B84"/>
    <w:rsid w:val="3B273F0F"/>
    <w:rsid w:val="3B2E6AEB"/>
    <w:rsid w:val="3B411C9A"/>
    <w:rsid w:val="3B9B0BD8"/>
    <w:rsid w:val="3BD57D48"/>
    <w:rsid w:val="3C061E38"/>
    <w:rsid w:val="3C0D4BA5"/>
    <w:rsid w:val="3C2123D9"/>
    <w:rsid w:val="3C410359"/>
    <w:rsid w:val="3C485B8B"/>
    <w:rsid w:val="3C65673D"/>
    <w:rsid w:val="3C700C3E"/>
    <w:rsid w:val="3C8A5CEA"/>
    <w:rsid w:val="3CE37794"/>
    <w:rsid w:val="3CEF70D9"/>
    <w:rsid w:val="3CF655E7"/>
    <w:rsid w:val="3D3659E4"/>
    <w:rsid w:val="3D584176"/>
    <w:rsid w:val="3D623C3F"/>
    <w:rsid w:val="3D8204D3"/>
    <w:rsid w:val="3D8D3604"/>
    <w:rsid w:val="3DB37034"/>
    <w:rsid w:val="3DCB26A6"/>
    <w:rsid w:val="3DE23DBE"/>
    <w:rsid w:val="3DE84A23"/>
    <w:rsid w:val="3E272902"/>
    <w:rsid w:val="3E3913D7"/>
    <w:rsid w:val="3E563EED"/>
    <w:rsid w:val="3E6666C7"/>
    <w:rsid w:val="3E927736"/>
    <w:rsid w:val="3EB5502E"/>
    <w:rsid w:val="3F2807D6"/>
    <w:rsid w:val="3F3325D2"/>
    <w:rsid w:val="3F38102B"/>
    <w:rsid w:val="3F452E93"/>
    <w:rsid w:val="3F854124"/>
    <w:rsid w:val="3F9C777A"/>
    <w:rsid w:val="3FB63CE7"/>
    <w:rsid w:val="3FB86B84"/>
    <w:rsid w:val="3FC54954"/>
    <w:rsid w:val="3FF33512"/>
    <w:rsid w:val="402320DA"/>
    <w:rsid w:val="404B3E9C"/>
    <w:rsid w:val="4073752B"/>
    <w:rsid w:val="407A02DD"/>
    <w:rsid w:val="40C75A02"/>
    <w:rsid w:val="40EC7870"/>
    <w:rsid w:val="40EE40D9"/>
    <w:rsid w:val="410B1343"/>
    <w:rsid w:val="41116868"/>
    <w:rsid w:val="413224CB"/>
    <w:rsid w:val="4164249B"/>
    <w:rsid w:val="41A05D7E"/>
    <w:rsid w:val="41B94FD5"/>
    <w:rsid w:val="41C65158"/>
    <w:rsid w:val="41E708CD"/>
    <w:rsid w:val="41EA3A3F"/>
    <w:rsid w:val="41F01AF7"/>
    <w:rsid w:val="41F86062"/>
    <w:rsid w:val="42287BC4"/>
    <w:rsid w:val="42322164"/>
    <w:rsid w:val="42327931"/>
    <w:rsid w:val="423A451A"/>
    <w:rsid w:val="423C7F5C"/>
    <w:rsid w:val="42474FC4"/>
    <w:rsid w:val="42526A80"/>
    <w:rsid w:val="426E2D2D"/>
    <w:rsid w:val="42785968"/>
    <w:rsid w:val="42925DB2"/>
    <w:rsid w:val="429A6A15"/>
    <w:rsid w:val="42AC18D6"/>
    <w:rsid w:val="42BD15FA"/>
    <w:rsid w:val="42C03CBA"/>
    <w:rsid w:val="430350E5"/>
    <w:rsid w:val="43040332"/>
    <w:rsid w:val="430A733B"/>
    <w:rsid w:val="433C187A"/>
    <w:rsid w:val="43425045"/>
    <w:rsid w:val="435D65EB"/>
    <w:rsid w:val="43884ABF"/>
    <w:rsid w:val="438F00E0"/>
    <w:rsid w:val="439610F6"/>
    <w:rsid w:val="43A51A85"/>
    <w:rsid w:val="43B71689"/>
    <w:rsid w:val="43C750D8"/>
    <w:rsid w:val="43CF6B92"/>
    <w:rsid w:val="43D95AC7"/>
    <w:rsid w:val="43FB48C2"/>
    <w:rsid w:val="448434D9"/>
    <w:rsid w:val="44A229E5"/>
    <w:rsid w:val="44F90E7C"/>
    <w:rsid w:val="44FF5255"/>
    <w:rsid w:val="45085EB8"/>
    <w:rsid w:val="451424DA"/>
    <w:rsid w:val="452B4C8F"/>
    <w:rsid w:val="453E18DA"/>
    <w:rsid w:val="454D3BE7"/>
    <w:rsid w:val="45790330"/>
    <w:rsid w:val="45936C80"/>
    <w:rsid w:val="45985408"/>
    <w:rsid w:val="459C68A4"/>
    <w:rsid w:val="45C1250B"/>
    <w:rsid w:val="45E158E2"/>
    <w:rsid w:val="462C02CC"/>
    <w:rsid w:val="467632F5"/>
    <w:rsid w:val="467775A2"/>
    <w:rsid w:val="46DF3D08"/>
    <w:rsid w:val="46E32749"/>
    <w:rsid w:val="46FA143D"/>
    <w:rsid w:val="471274C2"/>
    <w:rsid w:val="474E2BCB"/>
    <w:rsid w:val="47500654"/>
    <w:rsid w:val="475A034C"/>
    <w:rsid w:val="47767025"/>
    <w:rsid w:val="47A0687C"/>
    <w:rsid w:val="47A10662"/>
    <w:rsid w:val="47BB271D"/>
    <w:rsid w:val="47CB14BF"/>
    <w:rsid w:val="47EB2161"/>
    <w:rsid w:val="481E071F"/>
    <w:rsid w:val="48475C0D"/>
    <w:rsid w:val="48766C39"/>
    <w:rsid w:val="48841A04"/>
    <w:rsid w:val="488C1BEB"/>
    <w:rsid w:val="489514EA"/>
    <w:rsid w:val="48AB2595"/>
    <w:rsid w:val="48C34680"/>
    <w:rsid w:val="48CC36A0"/>
    <w:rsid w:val="48EA3D88"/>
    <w:rsid w:val="49261002"/>
    <w:rsid w:val="493C0826"/>
    <w:rsid w:val="494470C7"/>
    <w:rsid w:val="494E6C0E"/>
    <w:rsid w:val="498875C7"/>
    <w:rsid w:val="49975214"/>
    <w:rsid w:val="49985DE8"/>
    <w:rsid w:val="499A5112"/>
    <w:rsid w:val="49A83C6E"/>
    <w:rsid w:val="49C5186C"/>
    <w:rsid w:val="49DC03DA"/>
    <w:rsid w:val="49E371FA"/>
    <w:rsid w:val="49E3742F"/>
    <w:rsid w:val="49EE1185"/>
    <w:rsid w:val="49F642F5"/>
    <w:rsid w:val="49FD0A6D"/>
    <w:rsid w:val="4A0A10E2"/>
    <w:rsid w:val="4A0C0C19"/>
    <w:rsid w:val="4A111CB3"/>
    <w:rsid w:val="4A29427B"/>
    <w:rsid w:val="4A2D344E"/>
    <w:rsid w:val="4A54660D"/>
    <w:rsid w:val="4A6B2A0F"/>
    <w:rsid w:val="4A951CE0"/>
    <w:rsid w:val="4AA441DF"/>
    <w:rsid w:val="4ACA58D5"/>
    <w:rsid w:val="4AD66A58"/>
    <w:rsid w:val="4AE00BA9"/>
    <w:rsid w:val="4AEB2504"/>
    <w:rsid w:val="4B0709C0"/>
    <w:rsid w:val="4B0D68FE"/>
    <w:rsid w:val="4B312A96"/>
    <w:rsid w:val="4B393F1F"/>
    <w:rsid w:val="4B3C29A1"/>
    <w:rsid w:val="4B3F3F22"/>
    <w:rsid w:val="4B425E9C"/>
    <w:rsid w:val="4B835265"/>
    <w:rsid w:val="4B9D0BB9"/>
    <w:rsid w:val="4BD07EF1"/>
    <w:rsid w:val="4BEA6428"/>
    <w:rsid w:val="4BF21670"/>
    <w:rsid w:val="4C2C2DD4"/>
    <w:rsid w:val="4C343A36"/>
    <w:rsid w:val="4C50521D"/>
    <w:rsid w:val="4C5378BB"/>
    <w:rsid w:val="4C706D7C"/>
    <w:rsid w:val="4C777E24"/>
    <w:rsid w:val="4C8B6370"/>
    <w:rsid w:val="4C9534D6"/>
    <w:rsid w:val="4CC04B40"/>
    <w:rsid w:val="4CD10F6A"/>
    <w:rsid w:val="4CEF5BAF"/>
    <w:rsid w:val="4D062C29"/>
    <w:rsid w:val="4D3068D5"/>
    <w:rsid w:val="4D3161C8"/>
    <w:rsid w:val="4D454DE0"/>
    <w:rsid w:val="4D9A5B1B"/>
    <w:rsid w:val="4DC07C2E"/>
    <w:rsid w:val="4DCE3A17"/>
    <w:rsid w:val="4DDA03A6"/>
    <w:rsid w:val="4DF370C2"/>
    <w:rsid w:val="4DF47921"/>
    <w:rsid w:val="4DF80A94"/>
    <w:rsid w:val="4E12548B"/>
    <w:rsid w:val="4E1E5BCB"/>
    <w:rsid w:val="4E5A0DDA"/>
    <w:rsid w:val="4E7520E4"/>
    <w:rsid w:val="4E791BD4"/>
    <w:rsid w:val="4E890664"/>
    <w:rsid w:val="4E9905D5"/>
    <w:rsid w:val="4EB059E7"/>
    <w:rsid w:val="4EC372F3"/>
    <w:rsid w:val="4EE4577B"/>
    <w:rsid w:val="4EEA4880"/>
    <w:rsid w:val="4EEE4370"/>
    <w:rsid w:val="4EFC61C9"/>
    <w:rsid w:val="4F0C2A48"/>
    <w:rsid w:val="4F253B0A"/>
    <w:rsid w:val="4F297A53"/>
    <w:rsid w:val="4F8F1CB9"/>
    <w:rsid w:val="4FA458EB"/>
    <w:rsid w:val="4FB8672C"/>
    <w:rsid w:val="4FDA59E6"/>
    <w:rsid w:val="5000785E"/>
    <w:rsid w:val="500E743C"/>
    <w:rsid w:val="50151480"/>
    <w:rsid w:val="503F268C"/>
    <w:rsid w:val="504C42AC"/>
    <w:rsid w:val="50583834"/>
    <w:rsid w:val="50615016"/>
    <w:rsid w:val="50744D49"/>
    <w:rsid w:val="508769D7"/>
    <w:rsid w:val="50A334EB"/>
    <w:rsid w:val="50B102B3"/>
    <w:rsid w:val="50C44CD9"/>
    <w:rsid w:val="50DD0B60"/>
    <w:rsid w:val="51163A4D"/>
    <w:rsid w:val="518C7E71"/>
    <w:rsid w:val="519B00B4"/>
    <w:rsid w:val="519B7450"/>
    <w:rsid w:val="51A22299"/>
    <w:rsid w:val="51AA1F6E"/>
    <w:rsid w:val="51D11ACB"/>
    <w:rsid w:val="51D6586B"/>
    <w:rsid w:val="51D72D57"/>
    <w:rsid w:val="51DC79F0"/>
    <w:rsid w:val="520E011F"/>
    <w:rsid w:val="52156A01"/>
    <w:rsid w:val="5224454D"/>
    <w:rsid w:val="522E5B7E"/>
    <w:rsid w:val="52894B8D"/>
    <w:rsid w:val="52995543"/>
    <w:rsid w:val="529C5A87"/>
    <w:rsid w:val="52C35B14"/>
    <w:rsid w:val="52C8137C"/>
    <w:rsid w:val="52D36CFA"/>
    <w:rsid w:val="52DC2732"/>
    <w:rsid w:val="5313564C"/>
    <w:rsid w:val="534312E2"/>
    <w:rsid w:val="53590226"/>
    <w:rsid w:val="5368130D"/>
    <w:rsid w:val="536B410A"/>
    <w:rsid w:val="53896D9F"/>
    <w:rsid w:val="538F5B1D"/>
    <w:rsid w:val="5391176E"/>
    <w:rsid w:val="539A5D52"/>
    <w:rsid w:val="53C04185"/>
    <w:rsid w:val="53CF175F"/>
    <w:rsid w:val="53FC1864"/>
    <w:rsid w:val="5472538C"/>
    <w:rsid w:val="54745318"/>
    <w:rsid w:val="547728ED"/>
    <w:rsid w:val="54D65B0F"/>
    <w:rsid w:val="54E3249D"/>
    <w:rsid w:val="550B27BD"/>
    <w:rsid w:val="55180399"/>
    <w:rsid w:val="552842C4"/>
    <w:rsid w:val="553F1C35"/>
    <w:rsid w:val="55751BEB"/>
    <w:rsid w:val="55876705"/>
    <w:rsid w:val="558B26A1"/>
    <w:rsid w:val="55A65CDF"/>
    <w:rsid w:val="55AD4E38"/>
    <w:rsid w:val="55B23C34"/>
    <w:rsid w:val="55B87486"/>
    <w:rsid w:val="55BC7AB6"/>
    <w:rsid w:val="55D655E1"/>
    <w:rsid w:val="55D87B28"/>
    <w:rsid w:val="55F771A7"/>
    <w:rsid w:val="55F935FB"/>
    <w:rsid w:val="55FD758F"/>
    <w:rsid w:val="561672A7"/>
    <w:rsid w:val="56453889"/>
    <w:rsid w:val="56561334"/>
    <w:rsid w:val="56781F19"/>
    <w:rsid w:val="56811F6E"/>
    <w:rsid w:val="568F4DAA"/>
    <w:rsid w:val="56954E86"/>
    <w:rsid w:val="56977921"/>
    <w:rsid w:val="56B61FDB"/>
    <w:rsid w:val="56D17931"/>
    <w:rsid w:val="56DA45E1"/>
    <w:rsid w:val="56E54635"/>
    <w:rsid w:val="57081035"/>
    <w:rsid w:val="571E156B"/>
    <w:rsid w:val="57297DC7"/>
    <w:rsid w:val="574F5F81"/>
    <w:rsid w:val="57625D9B"/>
    <w:rsid w:val="57A2213D"/>
    <w:rsid w:val="57AE6D93"/>
    <w:rsid w:val="57CF3558"/>
    <w:rsid w:val="57EB123B"/>
    <w:rsid w:val="58112577"/>
    <w:rsid w:val="58177C24"/>
    <w:rsid w:val="5823294F"/>
    <w:rsid w:val="5825158A"/>
    <w:rsid w:val="583D1240"/>
    <w:rsid w:val="58445001"/>
    <w:rsid w:val="58446514"/>
    <w:rsid w:val="58580AAD"/>
    <w:rsid w:val="586C0874"/>
    <w:rsid w:val="587032E4"/>
    <w:rsid w:val="587329E5"/>
    <w:rsid w:val="58B475AE"/>
    <w:rsid w:val="58F85DEC"/>
    <w:rsid w:val="592D3CE7"/>
    <w:rsid w:val="594807E3"/>
    <w:rsid w:val="59617E35"/>
    <w:rsid w:val="59B30AF9"/>
    <w:rsid w:val="59C960F9"/>
    <w:rsid w:val="59D0111F"/>
    <w:rsid w:val="59D87D6A"/>
    <w:rsid w:val="59F44E8C"/>
    <w:rsid w:val="59F9263E"/>
    <w:rsid w:val="5A053811"/>
    <w:rsid w:val="5A1C7017"/>
    <w:rsid w:val="5A1D0200"/>
    <w:rsid w:val="5A290284"/>
    <w:rsid w:val="5A2C0AD2"/>
    <w:rsid w:val="5A305E8B"/>
    <w:rsid w:val="5A36150F"/>
    <w:rsid w:val="5A4D3A78"/>
    <w:rsid w:val="5A6C6A91"/>
    <w:rsid w:val="5A8A69AE"/>
    <w:rsid w:val="5ABE44DC"/>
    <w:rsid w:val="5ABF3E2D"/>
    <w:rsid w:val="5AEF47D3"/>
    <w:rsid w:val="5AF1251A"/>
    <w:rsid w:val="5B026DD9"/>
    <w:rsid w:val="5B2F1F99"/>
    <w:rsid w:val="5B615ECA"/>
    <w:rsid w:val="5B7D355E"/>
    <w:rsid w:val="5B843A0B"/>
    <w:rsid w:val="5B8C4D8C"/>
    <w:rsid w:val="5B8D2077"/>
    <w:rsid w:val="5B9954A5"/>
    <w:rsid w:val="5B9E4209"/>
    <w:rsid w:val="5BFC3A81"/>
    <w:rsid w:val="5C17056B"/>
    <w:rsid w:val="5C1B352E"/>
    <w:rsid w:val="5C583771"/>
    <w:rsid w:val="5CA73DB1"/>
    <w:rsid w:val="5CAB38A1"/>
    <w:rsid w:val="5CCE2C05"/>
    <w:rsid w:val="5CCE57E1"/>
    <w:rsid w:val="5CE071B4"/>
    <w:rsid w:val="5CEE378D"/>
    <w:rsid w:val="5CFE38E5"/>
    <w:rsid w:val="5D115319"/>
    <w:rsid w:val="5D1C2F57"/>
    <w:rsid w:val="5D3A78BB"/>
    <w:rsid w:val="5D3E45CF"/>
    <w:rsid w:val="5D521F6E"/>
    <w:rsid w:val="5D557CB0"/>
    <w:rsid w:val="5D5802EB"/>
    <w:rsid w:val="5D5A26BF"/>
    <w:rsid w:val="5D6B35DA"/>
    <w:rsid w:val="5D7B1836"/>
    <w:rsid w:val="5D805F38"/>
    <w:rsid w:val="5DBC6BAA"/>
    <w:rsid w:val="5DC5168B"/>
    <w:rsid w:val="5DCA6460"/>
    <w:rsid w:val="5DE554B0"/>
    <w:rsid w:val="5E08779A"/>
    <w:rsid w:val="5E261517"/>
    <w:rsid w:val="5E657C9B"/>
    <w:rsid w:val="5E7500BE"/>
    <w:rsid w:val="5E8333FC"/>
    <w:rsid w:val="5E865445"/>
    <w:rsid w:val="5ECD69EC"/>
    <w:rsid w:val="5EF05EE3"/>
    <w:rsid w:val="5F0C558A"/>
    <w:rsid w:val="5F2122B0"/>
    <w:rsid w:val="5F390C9A"/>
    <w:rsid w:val="5F427A01"/>
    <w:rsid w:val="5F5556C9"/>
    <w:rsid w:val="5F575108"/>
    <w:rsid w:val="5FC01F90"/>
    <w:rsid w:val="5FD24BD3"/>
    <w:rsid w:val="5FD63269"/>
    <w:rsid w:val="5FE31DEF"/>
    <w:rsid w:val="5FE36744"/>
    <w:rsid w:val="5FE42DA6"/>
    <w:rsid w:val="60022E16"/>
    <w:rsid w:val="60063FB3"/>
    <w:rsid w:val="6022031E"/>
    <w:rsid w:val="60237BF2"/>
    <w:rsid w:val="603242D9"/>
    <w:rsid w:val="603931BA"/>
    <w:rsid w:val="60414FA2"/>
    <w:rsid w:val="604570C3"/>
    <w:rsid w:val="60660A1E"/>
    <w:rsid w:val="607F681A"/>
    <w:rsid w:val="608E4594"/>
    <w:rsid w:val="608F5287"/>
    <w:rsid w:val="609409FD"/>
    <w:rsid w:val="60A47D6E"/>
    <w:rsid w:val="60CA62C0"/>
    <w:rsid w:val="60DB07C3"/>
    <w:rsid w:val="60E53DC6"/>
    <w:rsid w:val="610D73E8"/>
    <w:rsid w:val="617050B9"/>
    <w:rsid w:val="61710B30"/>
    <w:rsid w:val="617526CF"/>
    <w:rsid w:val="61784E41"/>
    <w:rsid w:val="61800C90"/>
    <w:rsid w:val="619046C6"/>
    <w:rsid w:val="619264F3"/>
    <w:rsid w:val="619C4100"/>
    <w:rsid w:val="61A32862"/>
    <w:rsid w:val="61A72BD9"/>
    <w:rsid w:val="61AC3FBC"/>
    <w:rsid w:val="61B054B5"/>
    <w:rsid w:val="61C40B5D"/>
    <w:rsid w:val="62014EFF"/>
    <w:rsid w:val="62100CE1"/>
    <w:rsid w:val="622163B3"/>
    <w:rsid w:val="622757AD"/>
    <w:rsid w:val="629636FB"/>
    <w:rsid w:val="62A64724"/>
    <w:rsid w:val="62F774BE"/>
    <w:rsid w:val="62FC41AF"/>
    <w:rsid w:val="630006BE"/>
    <w:rsid w:val="63082191"/>
    <w:rsid w:val="632058D7"/>
    <w:rsid w:val="633C2821"/>
    <w:rsid w:val="633E1F4E"/>
    <w:rsid w:val="638E5BFC"/>
    <w:rsid w:val="63AE1EC8"/>
    <w:rsid w:val="63BE78D0"/>
    <w:rsid w:val="63CE5878"/>
    <w:rsid w:val="63D32113"/>
    <w:rsid w:val="63FB2A95"/>
    <w:rsid w:val="640970FF"/>
    <w:rsid w:val="645410A4"/>
    <w:rsid w:val="645760BC"/>
    <w:rsid w:val="64594B59"/>
    <w:rsid w:val="64851F3C"/>
    <w:rsid w:val="64852C29"/>
    <w:rsid w:val="6490742C"/>
    <w:rsid w:val="64AD2180"/>
    <w:rsid w:val="64CC2B4B"/>
    <w:rsid w:val="6506160D"/>
    <w:rsid w:val="65226C62"/>
    <w:rsid w:val="652B7DC7"/>
    <w:rsid w:val="65A21CAF"/>
    <w:rsid w:val="65AB2111"/>
    <w:rsid w:val="65BE6DCC"/>
    <w:rsid w:val="65C94D98"/>
    <w:rsid w:val="66000F25"/>
    <w:rsid w:val="660D10C3"/>
    <w:rsid w:val="662F7131"/>
    <w:rsid w:val="6663791B"/>
    <w:rsid w:val="666845B1"/>
    <w:rsid w:val="667824BB"/>
    <w:rsid w:val="66890C0F"/>
    <w:rsid w:val="668B4BF2"/>
    <w:rsid w:val="668D2269"/>
    <w:rsid w:val="669722C4"/>
    <w:rsid w:val="66A13C51"/>
    <w:rsid w:val="66C4206E"/>
    <w:rsid w:val="66C826B4"/>
    <w:rsid w:val="66DB25CF"/>
    <w:rsid w:val="66E03BBD"/>
    <w:rsid w:val="66E358EC"/>
    <w:rsid w:val="66F721E4"/>
    <w:rsid w:val="673842E0"/>
    <w:rsid w:val="673B1CC5"/>
    <w:rsid w:val="674E7D87"/>
    <w:rsid w:val="676236F6"/>
    <w:rsid w:val="677A6B46"/>
    <w:rsid w:val="677F6056"/>
    <w:rsid w:val="67955879"/>
    <w:rsid w:val="679F4002"/>
    <w:rsid w:val="67B01968"/>
    <w:rsid w:val="67C1666E"/>
    <w:rsid w:val="67D30295"/>
    <w:rsid w:val="684743AA"/>
    <w:rsid w:val="686D6B41"/>
    <w:rsid w:val="687218AB"/>
    <w:rsid w:val="6877086E"/>
    <w:rsid w:val="68B53948"/>
    <w:rsid w:val="68C161FA"/>
    <w:rsid w:val="690031C6"/>
    <w:rsid w:val="690C7466"/>
    <w:rsid w:val="69142FF2"/>
    <w:rsid w:val="691F589D"/>
    <w:rsid w:val="69300A63"/>
    <w:rsid w:val="69512620"/>
    <w:rsid w:val="695E7EED"/>
    <w:rsid w:val="69630BE3"/>
    <w:rsid w:val="69AC1A30"/>
    <w:rsid w:val="69B55D5F"/>
    <w:rsid w:val="69BA528C"/>
    <w:rsid w:val="6A195AA7"/>
    <w:rsid w:val="6A416C5D"/>
    <w:rsid w:val="6A7F0327"/>
    <w:rsid w:val="6A8E035E"/>
    <w:rsid w:val="6AAA2146"/>
    <w:rsid w:val="6AB97AD1"/>
    <w:rsid w:val="6ABA2C2A"/>
    <w:rsid w:val="6ABC41C4"/>
    <w:rsid w:val="6AE5418C"/>
    <w:rsid w:val="6AE91947"/>
    <w:rsid w:val="6AF02221"/>
    <w:rsid w:val="6AFE54E3"/>
    <w:rsid w:val="6B5731EB"/>
    <w:rsid w:val="6B8329FE"/>
    <w:rsid w:val="6B8D31ED"/>
    <w:rsid w:val="6BDB6151"/>
    <w:rsid w:val="6BE323E1"/>
    <w:rsid w:val="6C2471CC"/>
    <w:rsid w:val="6C394848"/>
    <w:rsid w:val="6C4634B8"/>
    <w:rsid w:val="6C6F4582"/>
    <w:rsid w:val="6C781D87"/>
    <w:rsid w:val="6C787537"/>
    <w:rsid w:val="6CB561CE"/>
    <w:rsid w:val="6CBC5216"/>
    <w:rsid w:val="6CC45B0C"/>
    <w:rsid w:val="6CD805E7"/>
    <w:rsid w:val="6CF927CF"/>
    <w:rsid w:val="6D064B23"/>
    <w:rsid w:val="6D5E067F"/>
    <w:rsid w:val="6D654E36"/>
    <w:rsid w:val="6DB81120"/>
    <w:rsid w:val="6DD5670F"/>
    <w:rsid w:val="6E2D158F"/>
    <w:rsid w:val="6E7B7F3E"/>
    <w:rsid w:val="6E970B47"/>
    <w:rsid w:val="6EB7319D"/>
    <w:rsid w:val="6EBA5BC5"/>
    <w:rsid w:val="6EBD6D2E"/>
    <w:rsid w:val="6ED52EB7"/>
    <w:rsid w:val="6EE67DB6"/>
    <w:rsid w:val="6EF10A8B"/>
    <w:rsid w:val="6F051E9F"/>
    <w:rsid w:val="6F25601A"/>
    <w:rsid w:val="6F2A317D"/>
    <w:rsid w:val="6F2D1CB5"/>
    <w:rsid w:val="6F37310B"/>
    <w:rsid w:val="6F52523D"/>
    <w:rsid w:val="6F620DE8"/>
    <w:rsid w:val="6F6A1399"/>
    <w:rsid w:val="6FA23F2C"/>
    <w:rsid w:val="6FEB6BCB"/>
    <w:rsid w:val="6FF57D4B"/>
    <w:rsid w:val="6FFE4A92"/>
    <w:rsid w:val="703067E4"/>
    <w:rsid w:val="704B7B93"/>
    <w:rsid w:val="705C55AC"/>
    <w:rsid w:val="70BB5761"/>
    <w:rsid w:val="70CC398E"/>
    <w:rsid w:val="70F7400A"/>
    <w:rsid w:val="710629D6"/>
    <w:rsid w:val="710A36E8"/>
    <w:rsid w:val="7126509C"/>
    <w:rsid w:val="71293A68"/>
    <w:rsid w:val="713314FE"/>
    <w:rsid w:val="71371F39"/>
    <w:rsid w:val="715100D4"/>
    <w:rsid w:val="716465A2"/>
    <w:rsid w:val="71752301"/>
    <w:rsid w:val="717707EA"/>
    <w:rsid w:val="71973F9C"/>
    <w:rsid w:val="71AD6A57"/>
    <w:rsid w:val="71C11CBE"/>
    <w:rsid w:val="71CA4AC4"/>
    <w:rsid w:val="71E511AB"/>
    <w:rsid w:val="720E742F"/>
    <w:rsid w:val="7217661C"/>
    <w:rsid w:val="721C178C"/>
    <w:rsid w:val="722F17E0"/>
    <w:rsid w:val="72552C5C"/>
    <w:rsid w:val="72641379"/>
    <w:rsid w:val="726A59A3"/>
    <w:rsid w:val="727442DD"/>
    <w:rsid w:val="72B47365"/>
    <w:rsid w:val="72C2773E"/>
    <w:rsid w:val="72FF09F8"/>
    <w:rsid w:val="7300624D"/>
    <w:rsid w:val="73255BF7"/>
    <w:rsid w:val="733221CE"/>
    <w:rsid w:val="73342D49"/>
    <w:rsid w:val="73487C44"/>
    <w:rsid w:val="73542805"/>
    <w:rsid w:val="735C09EA"/>
    <w:rsid w:val="7363758C"/>
    <w:rsid w:val="736B5452"/>
    <w:rsid w:val="73950C00"/>
    <w:rsid w:val="73981F83"/>
    <w:rsid w:val="73B8519B"/>
    <w:rsid w:val="73C3265B"/>
    <w:rsid w:val="73CA0A99"/>
    <w:rsid w:val="73F85EC6"/>
    <w:rsid w:val="74166C50"/>
    <w:rsid w:val="746976B7"/>
    <w:rsid w:val="747B1953"/>
    <w:rsid w:val="74A67D11"/>
    <w:rsid w:val="74A75393"/>
    <w:rsid w:val="74B63922"/>
    <w:rsid w:val="74B80DF9"/>
    <w:rsid w:val="74BF7E52"/>
    <w:rsid w:val="74C50E20"/>
    <w:rsid w:val="74DC22AC"/>
    <w:rsid w:val="74DD539B"/>
    <w:rsid w:val="74FD1D2F"/>
    <w:rsid w:val="752B5127"/>
    <w:rsid w:val="75437F6D"/>
    <w:rsid w:val="75582780"/>
    <w:rsid w:val="75621536"/>
    <w:rsid w:val="756F4E41"/>
    <w:rsid w:val="757C06CD"/>
    <w:rsid w:val="757C1E26"/>
    <w:rsid w:val="758111EB"/>
    <w:rsid w:val="758B74BD"/>
    <w:rsid w:val="758C4BAD"/>
    <w:rsid w:val="759F49A6"/>
    <w:rsid w:val="75A25C9D"/>
    <w:rsid w:val="75B2739F"/>
    <w:rsid w:val="75D8680D"/>
    <w:rsid w:val="75E023B5"/>
    <w:rsid w:val="75E6623C"/>
    <w:rsid w:val="76000A80"/>
    <w:rsid w:val="76152364"/>
    <w:rsid w:val="761C30A6"/>
    <w:rsid w:val="762304F4"/>
    <w:rsid w:val="76584E17"/>
    <w:rsid w:val="76595CC4"/>
    <w:rsid w:val="7666391E"/>
    <w:rsid w:val="768236F9"/>
    <w:rsid w:val="76856248"/>
    <w:rsid w:val="76C600E8"/>
    <w:rsid w:val="76CC032F"/>
    <w:rsid w:val="76E658FC"/>
    <w:rsid w:val="774249AA"/>
    <w:rsid w:val="7757620D"/>
    <w:rsid w:val="7764123C"/>
    <w:rsid w:val="776B12A0"/>
    <w:rsid w:val="776C1564"/>
    <w:rsid w:val="77A9147E"/>
    <w:rsid w:val="77C35AEB"/>
    <w:rsid w:val="77CD0717"/>
    <w:rsid w:val="77DA4D66"/>
    <w:rsid w:val="785C70E1"/>
    <w:rsid w:val="7878509B"/>
    <w:rsid w:val="78934A64"/>
    <w:rsid w:val="78A771BA"/>
    <w:rsid w:val="78A82F32"/>
    <w:rsid w:val="78B0018B"/>
    <w:rsid w:val="78B52B9F"/>
    <w:rsid w:val="78CA20C0"/>
    <w:rsid w:val="78DF4BA6"/>
    <w:rsid w:val="78DF689A"/>
    <w:rsid w:val="78E26444"/>
    <w:rsid w:val="78EE1536"/>
    <w:rsid w:val="79345106"/>
    <w:rsid w:val="797A042B"/>
    <w:rsid w:val="79904524"/>
    <w:rsid w:val="79930360"/>
    <w:rsid w:val="79937D05"/>
    <w:rsid w:val="79B578E7"/>
    <w:rsid w:val="79B75C6B"/>
    <w:rsid w:val="79D96EF6"/>
    <w:rsid w:val="79D97BC7"/>
    <w:rsid w:val="79E129F8"/>
    <w:rsid w:val="79F05317"/>
    <w:rsid w:val="79FA5715"/>
    <w:rsid w:val="7A130DEB"/>
    <w:rsid w:val="7A1556FF"/>
    <w:rsid w:val="7A3424D0"/>
    <w:rsid w:val="7A50037D"/>
    <w:rsid w:val="7A5275FA"/>
    <w:rsid w:val="7A5B4A02"/>
    <w:rsid w:val="7A796CAE"/>
    <w:rsid w:val="7A7F55E4"/>
    <w:rsid w:val="7A984B66"/>
    <w:rsid w:val="7A9B4F41"/>
    <w:rsid w:val="7AB70E4A"/>
    <w:rsid w:val="7AD002BA"/>
    <w:rsid w:val="7AD4000F"/>
    <w:rsid w:val="7AE528AE"/>
    <w:rsid w:val="7AF95221"/>
    <w:rsid w:val="7B0B2E14"/>
    <w:rsid w:val="7B0E3521"/>
    <w:rsid w:val="7B162F05"/>
    <w:rsid w:val="7B315EC8"/>
    <w:rsid w:val="7B4045E4"/>
    <w:rsid w:val="7B6A5AFE"/>
    <w:rsid w:val="7B7D42A9"/>
    <w:rsid w:val="7B95779E"/>
    <w:rsid w:val="7BAB3E1A"/>
    <w:rsid w:val="7BAC2A0F"/>
    <w:rsid w:val="7BB237F9"/>
    <w:rsid w:val="7BB97C1E"/>
    <w:rsid w:val="7BBC279A"/>
    <w:rsid w:val="7BDA43CC"/>
    <w:rsid w:val="7BDB2897"/>
    <w:rsid w:val="7BDC6C32"/>
    <w:rsid w:val="7C455243"/>
    <w:rsid w:val="7C574A54"/>
    <w:rsid w:val="7CAA0221"/>
    <w:rsid w:val="7CAF4C69"/>
    <w:rsid w:val="7CE22023"/>
    <w:rsid w:val="7CE2443F"/>
    <w:rsid w:val="7CEB5BDA"/>
    <w:rsid w:val="7D38665C"/>
    <w:rsid w:val="7D6D3FC0"/>
    <w:rsid w:val="7D731FEC"/>
    <w:rsid w:val="7D8C4BD1"/>
    <w:rsid w:val="7DD05067"/>
    <w:rsid w:val="7DD30A52"/>
    <w:rsid w:val="7E0B7481"/>
    <w:rsid w:val="7E165E8B"/>
    <w:rsid w:val="7E1F2B1E"/>
    <w:rsid w:val="7E2836BB"/>
    <w:rsid w:val="7E2C0304"/>
    <w:rsid w:val="7E313619"/>
    <w:rsid w:val="7E6873FD"/>
    <w:rsid w:val="7E6949C0"/>
    <w:rsid w:val="7E6D54B9"/>
    <w:rsid w:val="7E7147C6"/>
    <w:rsid w:val="7E991353"/>
    <w:rsid w:val="7EC637CE"/>
    <w:rsid w:val="7EDA1911"/>
    <w:rsid w:val="7EF01A6D"/>
    <w:rsid w:val="7EFD2FC3"/>
    <w:rsid w:val="7F062761"/>
    <w:rsid w:val="7F385010"/>
    <w:rsid w:val="7F3C1ECA"/>
    <w:rsid w:val="7F4D708F"/>
    <w:rsid w:val="7F680CAB"/>
    <w:rsid w:val="7F68264A"/>
    <w:rsid w:val="7F8A644F"/>
    <w:rsid w:val="7FA60FD1"/>
    <w:rsid w:val="7FB30D07"/>
    <w:rsid w:val="7FC537B7"/>
    <w:rsid w:val="7FD830A1"/>
    <w:rsid w:val="7FDF3229"/>
    <w:rsid w:val="7FED104B"/>
    <w:rsid w:val="7FF71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iPriority="99"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unhideWhenUsed/>
    <w:qFormat/>
    <w:uiPriority w:val="0"/>
    <w:pPr>
      <w:keepNext/>
      <w:keepLines/>
      <w:adjustRightInd w:val="0"/>
      <w:snapToGrid w:val="0"/>
      <w:spacing w:beforeLines="0" w:beforeAutospacing="0" w:afterLines="0" w:afterAutospacing="0" w:line="240" w:lineRule="auto"/>
      <w:outlineLvl w:val="1"/>
    </w:pPr>
    <w:rPr>
      <w:rFonts w:ascii="Times New Roman" w:hAnsi="Times New Roman" w:eastAsia="宋体"/>
      <w:b/>
      <w:sz w:val="28"/>
    </w:rPr>
  </w:style>
  <w:style w:type="paragraph" w:styleId="4">
    <w:name w:val="heading 3"/>
    <w:basedOn w:val="1"/>
    <w:next w:val="1"/>
    <w:qFormat/>
    <w:uiPriority w:val="0"/>
    <w:pPr>
      <w:keepNext/>
      <w:keepLines/>
      <w:adjustRightInd w:val="0"/>
      <w:spacing w:before="120" w:after="60"/>
      <w:textAlignment w:val="baseline"/>
      <w:outlineLvl w:val="2"/>
    </w:pPr>
    <w:rPr>
      <w:b/>
      <w:kern w:val="0"/>
    </w:rPr>
  </w:style>
  <w:style w:type="paragraph" w:styleId="5">
    <w:name w:val="heading 4"/>
    <w:basedOn w:val="1"/>
    <w:next w:val="1"/>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6">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7">
    <w:name w:val="Normal Indent"/>
    <w:basedOn w:val="1"/>
    <w:next w:val="1"/>
    <w:qFormat/>
    <w:uiPriority w:val="0"/>
    <w:pPr>
      <w:ind w:firstLine="420" w:firstLineChars="200"/>
    </w:pPr>
    <w:rPr>
      <w:rFonts w:ascii="Times New Roman" w:hAnsi="Times New Roman"/>
      <w:szCs w:val="24"/>
    </w:rPr>
  </w:style>
  <w:style w:type="paragraph" w:styleId="8">
    <w:name w:val="caption"/>
    <w:basedOn w:val="1"/>
    <w:next w:val="1"/>
    <w:qFormat/>
    <w:uiPriority w:val="0"/>
    <w:pPr>
      <w:spacing w:before="160" w:after="160" w:line="288" w:lineRule="auto"/>
      <w:ind w:firstLine="510"/>
      <w:jc w:val="center"/>
    </w:pPr>
    <w:rPr>
      <w:rFonts w:ascii="Arial" w:hAnsi="Arial" w:eastAsia="黑体"/>
      <w:sz w:val="24"/>
    </w:rPr>
  </w:style>
  <w:style w:type="paragraph" w:styleId="9">
    <w:name w:val="index 5"/>
    <w:basedOn w:val="1"/>
    <w:next w:val="1"/>
    <w:qFormat/>
    <w:uiPriority w:val="0"/>
    <w:pPr>
      <w:ind w:left="800" w:leftChars="800"/>
    </w:pPr>
  </w:style>
  <w:style w:type="paragraph" w:styleId="10">
    <w:name w:val="toa heading"/>
    <w:basedOn w:val="1"/>
    <w:next w:val="1"/>
    <w:semiHidden/>
    <w:qFormat/>
    <w:uiPriority w:val="0"/>
    <w:pPr>
      <w:spacing w:before="120"/>
    </w:pPr>
    <w:rPr>
      <w:rFonts w:ascii="Arial" w:hAnsi="宋体" w:cs="宋体"/>
    </w:rPr>
  </w:style>
  <w:style w:type="paragraph" w:styleId="11">
    <w:name w:val="annotation text"/>
    <w:basedOn w:val="1"/>
    <w:qFormat/>
    <w:uiPriority w:val="0"/>
    <w:pPr>
      <w:jc w:val="left"/>
    </w:pPr>
  </w:style>
  <w:style w:type="paragraph" w:styleId="12">
    <w:name w:val="Body Text"/>
    <w:basedOn w:val="1"/>
    <w:next w:val="13"/>
    <w:qFormat/>
    <w:uiPriority w:val="0"/>
    <w:pPr>
      <w:widowControl/>
      <w:snapToGrid w:val="0"/>
      <w:spacing w:before="60" w:after="160" w:line="259" w:lineRule="auto"/>
      <w:ind w:right="113"/>
    </w:pPr>
    <w:rPr>
      <w:kern w:val="0"/>
      <w:sz w:val="18"/>
      <w:szCs w:val="20"/>
    </w:rPr>
  </w:style>
  <w:style w:type="paragraph" w:customStyle="1" w:styleId="13">
    <w:name w:val="Body Text 21"/>
    <w:basedOn w:val="1"/>
    <w:qFormat/>
    <w:uiPriority w:val="0"/>
    <w:pPr>
      <w:spacing w:line="360" w:lineRule="auto"/>
      <w:ind w:firstLine="480"/>
    </w:pPr>
    <w:rPr>
      <w:rFonts w:ascii="仿宋_GB2312" w:eastAsia="仿宋_GB2312"/>
    </w:rPr>
  </w:style>
  <w:style w:type="paragraph" w:styleId="14">
    <w:name w:val="Body Text Indent"/>
    <w:basedOn w:val="1"/>
    <w:qFormat/>
    <w:uiPriority w:val="0"/>
    <w:pPr>
      <w:spacing w:after="120"/>
      <w:ind w:left="420" w:leftChars="200"/>
    </w:pPr>
    <w:rPr>
      <w:kern w:val="0"/>
      <w:sz w:val="24"/>
      <w:szCs w:val="20"/>
    </w:rPr>
  </w:style>
  <w:style w:type="paragraph" w:styleId="15">
    <w:name w:val="Block Text"/>
    <w:basedOn w:val="1"/>
    <w:next w:val="1"/>
    <w:unhideWhenUsed/>
    <w:qFormat/>
    <w:uiPriority w:val="0"/>
    <w:pPr>
      <w:spacing w:after="120"/>
      <w:ind w:left="1440" w:leftChars="700" w:right="1440" w:rightChars="700"/>
    </w:pPr>
  </w:style>
  <w:style w:type="paragraph" w:styleId="16">
    <w:name w:val="Plain Text"/>
    <w:basedOn w:val="1"/>
    <w:qFormat/>
    <w:uiPriority w:val="0"/>
    <w:rPr>
      <w:rFonts w:ascii="宋体" w:hAnsi="Courier New" w:cs="Courier New"/>
      <w:szCs w:val="21"/>
    </w:rPr>
  </w:style>
  <w:style w:type="paragraph" w:styleId="17">
    <w:name w:val="toc 8"/>
    <w:basedOn w:val="1"/>
    <w:next w:val="1"/>
    <w:qFormat/>
    <w:uiPriority w:val="39"/>
    <w:pPr>
      <w:ind w:left="1470"/>
      <w:jc w:val="left"/>
    </w:pPr>
    <w:rPr>
      <w:rFonts w:ascii="Times New Roman" w:hAnsi="Times New Roman"/>
      <w:kern w:val="0"/>
      <w:sz w:val="18"/>
      <w:szCs w:val="18"/>
    </w:rPr>
  </w:style>
  <w:style w:type="paragraph" w:styleId="18">
    <w:name w:val="Body Text Indent 2"/>
    <w:basedOn w:val="1"/>
    <w:qFormat/>
    <w:uiPriority w:val="0"/>
    <w:pPr>
      <w:spacing w:before="120" w:beforeLines="0"/>
      <w:ind w:right="113" w:firstLine="570"/>
    </w:pPr>
    <w:rPr>
      <w:kern w:val="24"/>
      <w:sz w:val="28"/>
      <w:szCs w:val="20"/>
    </w:rPr>
  </w:style>
  <w:style w:type="paragraph" w:styleId="19">
    <w:name w:val="List Continue 5"/>
    <w:basedOn w:val="1"/>
    <w:unhideWhenUsed/>
    <w:qFormat/>
    <w:uiPriority w:val="99"/>
    <w:pPr>
      <w:spacing w:after="120" w:afterLines="0"/>
      <w:ind w:left="2100" w:leftChars="1000"/>
    </w:pPr>
  </w:style>
  <w:style w:type="paragraph" w:styleId="20">
    <w:name w:val="footer"/>
    <w:basedOn w:val="1"/>
    <w:qFormat/>
    <w:uiPriority w:val="99"/>
    <w:pPr>
      <w:tabs>
        <w:tab w:val="center" w:pos="4153"/>
        <w:tab w:val="right" w:pos="8306"/>
      </w:tabs>
      <w:snapToGrid w:val="0"/>
      <w:jc w:val="left"/>
    </w:pPr>
    <w:rPr>
      <w:kern w:val="0"/>
      <w:sz w:val="18"/>
      <w:szCs w:val="20"/>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toc 1"/>
    <w:basedOn w:val="1"/>
    <w:next w:val="1"/>
    <w:qFormat/>
    <w:uiPriority w:val="39"/>
    <w:pPr>
      <w:spacing w:line="440" w:lineRule="exact"/>
      <w:ind w:firstLine="0" w:firstLineChars="0"/>
      <w:jc w:val="left"/>
    </w:pPr>
    <w:rPr>
      <w:b/>
      <w:bCs/>
      <w:caps/>
    </w:rPr>
  </w:style>
  <w:style w:type="paragraph" w:styleId="23">
    <w:name w:val="Subtitle"/>
    <w:basedOn w:val="1"/>
    <w:next w:val="1"/>
    <w:qFormat/>
    <w:uiPriority w:val="0"/>
    <w:pPr>
      <w:ind w:firstLine="0" w:firstLineChars="0"/>
      <w:jc w:val="center"/>
    </w:pPr>
    <w:rPr>
      <w:b/>
      <w:sz w:val="21"/>
    </w:rPr>
  </w:style>
  <w:style w:type="paragraph" w:styleId="24">
    <w:name w:val="List"/>
    <w:basedOn w:val="1"/>
    <w:qFormat/>
    <w:uiPriority w:val="0"/>
    <w:pPr>
      <w:spacing w:line="320" w:lineRule="exact"/>
      <w:jc w:val="center"/>
    </w:pPr>
    <w:rPr>
      <w:rFonts w:hint="default" w:ascii="Times New Roman" w:hAnsi="Times New Roman"/>
      <w:sz w:val="22"/>
      <w:szCs w:val="24"/>
    </w:rPr>
  </w:style>
  <w:style w:type="paragraph" w:styleId="25">
    <w:name w:val="table of figures"/>
    <w:basedOn w:val="1"/>
    <w:next w:val="1"/>
    <w:qFormat/>
    <w:uiPriority w:val="0"/>
    <w:pPr>
      <w:spacing w:line="440" w:lineRule="exact"/>
      <w:ind w:left="840" w:leftChars="200" w:hanging="420" w:hangingChars="200"/>
    </w:pPr>
    <w:rPr>
      <w:rFonts w:ascii="Arial" w:hAnsi="Tahoma" w:cs="Tahoma"/>
      <w:kern w:val="0"/>
      <w:sz w:val="24"/>
      <w:szCs w:val="24"/>
    </w:rPr>
  </w:style>
  <w:style w:type="paragraph" w:styleId="26">
    <w:name w:val="toc 2"/>
    <w:basedOn w:val="1"/>
    <w:next w:val="1"/>
    <w:unhideWhenUsed/>
    <w:qFormat/>
    <w:uiPriority w:val="99"/>
    <w:pPr>
      <w:widowControl/>
      <w:ind w:left="210"/>
      <w:jc w:val="left"/>
    </w:pPr>
    <w:rPr>
      <w:rFonts w:hint="eastAsia" w:ascii="宋体" w:hAnsi="宋体"/>
      <w:smallCaps/>
      <w:sz w:val="20"/>
    </w:rPr>
  </w:style>
  <w:style w:type="paragraph" w:styleId="27">
    <w:name w:val="Body Text 2"/>
    <w:basedOn w:val="1"/>
    <w:qFormat/>
    <w:uiPriority w:val="0"/>
    <w:pPr>
      <w:spacing w:after="120" w:afterLines="0" w:line="480" w:lineRule="auto"/>
    </w:pPr>
  </w:style>
  <w:style w:type="paragraph" w:styleId="28">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29">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30">
    <w:name w:val="Body Text First Indent"/>
    <w:basedOn w:val="12"/>
    <w:next w:val="31"/>
    <w:qFormat/>
    <w:uiPriority w:val="0"/>
    <w:pPr>
      <w:ind w:firstLine="420" w:firstLineChars="100"/>
    </w:pPr>
    <w:rPr>
      <w:szCs w:val="24"/>
    </w:rPr>
  </w:style>
  <w:style w:type="paragraph" w:styleId="31">
    <w:name w:val="Body Text First Indent 2"/>
    <w:basedOn w:val="14"/>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page number"/>
    <w:basedOn w:val="34"/>
    <w:qFormat/>
    <w:uiPriority w:val="0"/>
  </w:style>
  <w:style w:type="character" w:styleId="37">
    <w:name w:val="Emphasis"/>
    <w:basedOn w:val="34"/>
    <w:qFormat/>
    <w:uiPriority w:val="0"/>
    <w:rPr>
      <w:i/>
    </w:rPr>
  </w:style>
  <w:style w:type="character" w:styleId="38">
    <w:name w:val="Hyperlink"/>
    <w:qFormat/>
    <w:uiPriority w:val="0"/>
    <w:rPr>
      <w:rFonts w:eastAsia="宋体"/>
      <w:color w:val="0000FF"/>
      <w:sz w:val="24"/>
      <w:szCs w:val="24"/>
      <w:u w:val="none"/>
    </w:rPr>
  </w:style>
  <w:style w:type="character" w:styleId="39">
    <w:name w:val="annotation reference"/>
    <w:semiHidden/>
    <w:qFormat/>
    <w:uiPriority w:val="0"/>
    <w:rPr>
      <w:sz w:val="21"/>
    </w:rPr>
  </w:style>
  <w:style w:type="paragraph" w:customStyle="1" w:styleId="40">
    <w:name w:val="！正文ctrl-4"/>
    <w:basedOn w:val="1"/>
    <w:qFormat/>
    <w:uiPriority w:val="0"/>
    <w:pPr>
      <w:spacing w:beforeLines="50"/>
      <w:ind w:firstLine="480"/>
    </w:pPr>
    <w:rPr>
      <w:rFonts w:cs="Times New Roman"/>
      <w:sz w:val="21"/>
    </w:rPr>
  </w:style>
  <w:style w:type="paragraph" w:customStyle="1" w:styleId="41">
    <w:name w:val="_Style 2"/>
    <w:basedOn w:val="1"/>
    <w:next w:val="1"/>
    <w:qFormat/>
    <w:uiPriority w:val="1"/>
    <w:pPr>
      <w:spacing w:line="440" w:lineRule="exact"/>
      <w:ind w:firstLine="420" w:firstLineChars="200"/>
    </w:pPr>
    <w:rPr>
      <w:sz w:val="24"/>
      <w:szCs w:val="20"/>
    </w:rPr>
  </w:style>
  <w:style w:type="paragraph" w:customStyle="1" w:styleId="42">
    <w:name w:val="表头"/>
    <w:basedOn w:val="1"/>
    <w:next w:val="1"/>
    <w:link w:val="62"/>
    <w:qFormat/>
    <w:uiPriority w:val="0"/>
    <w:pPr>
      <w:ind w:firstLine="0" w:firstLineChars="0"/>
      <w:jc w:val="center"/>
    </w:pPr>
    <w:rPr>
      <w:rFonts w:ascii="Times New Roman" w:hAnsi="Times New Roman" w:eastAsia="宋体"/>
      <w:b/>
    </w:rPr>
  </w:style>
  <w:style w:type="paragraph" w:customStyle="1" w:styleId="43">
    <w:name w:val="表格"/>
    <w:basedOn w:val="12"/>
    <w:next w:val="1"/>
    <w:qFormat/>
    <w:uiPriority w:val="0"/>
    <w:pPr>
      <w:spacing w:line="240" w:lineRule="auto"/>
      <w:ind w:firstLine="0" w:firstLineChars="0"/>
      <w:jc w:val="center"/>
    </w:pPr>
    <w:rPr>
      <w:rFonts w:ascii="Times New Roman" w:hAnsi="Times New Roman" w:eastAsia="宋体"/>
      <w:szCs w:val="21"/>
    </w:rPr>
  </w:style>
  <w:style w:type="paragraph" w:customStyle="1" w:styleId="44">
    <w:name w:val="正文1"/>
    <w:basedOn w:val="27"/>
    <w:next w:val="1"/>
    <w:qFormat/>
    <w:uiPriority w:val="0"/>
    <w:pPr>
      <w:spacing w:before="78" w:after="78" w:line="360" w:lineRule="auto"/>
      <w:ind w:firstLine="480"/>
    </w:pPr>
    <w:rPr>
      <w:kern w:val="1"/>
      <w:sz w:val="24"/>
    </w:rPr>
  </w:style>
  <w:style w:type="paragraph" w:customStyle="1" w:styleId="45">
    <w:name w:val="Default"/>
    <w:basedOn w:val="4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纯文本1"/>
    <w:basedOn w:val="1"/>
    <w:qFormat/>
    <w:uiPriority w:val="0"/>
    <w:pPr>
      <w:widowControl/>
      <w:spacing w:beforeLines="10" w:afterLines="10" w:line="360" w:lineRule="auto"/>
      <w:ind w:firstLine="200" w:firstLineChars="200"/>
      <w:jc w:val="left"/>
    </w:pPr>
    <w:rPr>
      <w:rFonts w:hAnsi="宋体" w:cs="宋体"/>
      <w:kern w:val="0"/>
      <w:sz w:val="24"/>
    </w:rPr>
  </w:style>
  <w:style w:type="paragraph" w:customStyle="1" w:styleId="47">
    <w:name w:val="批注文字1"/>
    <w:qFormat/>
    <w:locked/>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48">
    <w:name w:val="封皮"/>
    <w:basedOn w:val="1"/>
    <w:qFormat/>
    <w:uiPriority w:val="0"/>
    <w:pPr>
      <w:spacing w:line="240" w:lineRule="auto"/>
      <w:ind w:firstLine="0" w:firstLineChars="0"/>
      <w:jc w:val="center"/>
    </w:pPr>
    <w:rPr>
      <w:b/>
      <w:sz w:val="72"/>
    </w:rPr>
  </w:style>
  <w:style w:type="paragraph" w:customStyle="1" w:styleId="49">
    <w:name w:val="Table Paragraph"/>
    <w:basedOn w:val="1"/>
    <w:qFormat/>
    <w:uiPriority w:val="1"/>
    <w:pPr>
      <w:autoSpaceDE w:val="0"/>
      <w:autoSpaceDN w:val="0"/>
      <w:adjustRightInd w:val="0"/>
      <w:jc w:val="left"/>
    </w:pPr>
    <w:rPr>
      <w:kern w:val="0"/>
      <w:sz w:val="24"/>
    </w:rPr>
  </w:style>
  <w:style w:type="paragraph" w:styleId="50">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character" w:customStyle="1" w:styleId="51">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52">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character" w:customStyle="1" w:styleId="53">
    <w:name w:val="font31"/>
    <w:basedOn w:val="34"/>
    <w:qFormat/>
    <w:uiPriority w:val="0"/>
    <w:rPr>
      <w:rFonts w:hint="eastAsia" w:ascii="宋体" w:hAnsi="宋体" w:eastAsia="宋体" w:cs="宋体"/>
      <w:color w:val="000000"/>
      <w:sz w:val="24"/>
      <w:szCs w:val="24"/>
      <w:u w:val="none"/>
    </w:rPr>
  </w:style>
  <w:style w:type="paragraph" w:customStyle="1" w:styleId="54">
    <w:name w:val="列出段落1"/>
    <w:basedOn w:val="1"/>
    <w:qFormat/>
    <w:uiPriority w:val="0"/>
    <w:pPr>
      <w:ind w:firstLine="420" w:firstLineChars="200"/>
    </w:pPr>
    <w:rPr>
      <w:rFonts w:ascii="Calibri" w:hAnsi="Calibri" w:eastAsia="宋体"/>
    </w:rPr>
  </w:style>
  <w:style w:type="paragraph" w:customStyle="1" w:styleId="55">
    <w:name w:val="(.a表格内容"/>
    <w:basedOn w:val="56"/>
    <w:qFormat/>
    <w:uiPriority w:val="0"/>
    <w:pPr>
      <w:spacing w:line="0" w:lineRule="atLeast"/>
      <w:jc w:val="center"/>
    </w:pPr>
    <w:rPr>
      <w:sz w:val="21"/>
    </w:rPr>
  </w:style>
  <w:style w:type="paragraph" w:customStyle="1" w:styleId="56">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57">
    <w:name w:val="我的表格"/>
    <w:basedOn w:val="58"/>
    <w:qFormat/>
    <w:uiPriority w:val="0"/>
    <w:pPr>
      <w:spacing w:line="240" w:lineRule="auto"/>
      <w:ind w:firstLine="0" w:firstLineChars="0"/>
      <w:jc w:val="center"/>
    </w:pPr>
    <w:rPr>
      <w:rFonts w:ascii="Times New Roman" w:hAnsi="Times New Roman"/>
      <w:sz w:val="21"/>
      <w:szCs w:val="21"/>
    </w:rPr>
  </w:style>
  <w:style w:type="paragraph" w:customStyle="1" w:styleId="58">
    <w:name w:val="正常格式"/>
    <w:basedOn w:val="59"/>
    <w:qFormat/>
    <w:uiPriority w:val="0"/>
    <w:pPr>
      <w:snapToGrid w:val="0"/>
      <w:spacing w:line="480" w:lineRule="exact"/>
      <w:ind w:firstLine="602"/>
    </w:pPr>
    <w:rPr>
      <w:rFonts w:ascii="Times New Roman" w:hAnsi="Times New Roman" w:eastAsia="仿宋_GB2312"/>
      <w:kern w:val="0"/>
      <w:szCs w:val="20"/>
    </w:rPr>
  </w:style>
  <w:style w:type="paragraph" w:customStyle="1" w:styleId="59">
    <w:name w:val="正文2"/>
    <w:basedOn w:val="60"/>
    <w:qFormat/>
    <w:uiPriority w:val="0"/>
    <w:pPr>
      <w:spacing w:line="360" w:lineRule="auto"/>
      <w:ind w:firstLine="480" w:firstLineChars="200"/>
    </w:pPr>
    <w:rPr>
      <w:rFonts w:ascii="宋体" w:hAnsi="宋体"/>
      <w:sz w:val="24"/>
    </w:rPr>
  </w:style>
  <w:style w:type="paragraph" w:customStyle="1" w:styleId="60">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61">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62">
    <w:name w:val="表头 Char"/>
    <w:link w:val="42"/>
    <w:qFormat/>
    <w:uiPriority w:val="0"/>
    <w:rPr>
      <w:rFonts w:ascii="Times New Roman" w:hAnsi="Times New Roman" w:eastAsia="宋体"/>
      <w:b/>
    </w:rPr>
  </w:style>
  <w:style w:type="paragraph" w:customStyle="1" w:styleId="63">
    <w:name w:val="样式 正文文字 + 首行缩进:  2 字符 行距: 最小值 24 磅"/>
    <w:basedOn w:val="1"/>
    <w:qFormat/>
    <w:uiPriority w:val="0"/>
    <w:pPr>
      <w:adjustRightInd w:val="0"/>
      <w:snapToGrid w:val="0"/>
      <w:spacing w:line="480" w:lineRule="atLeast"/>
      <w:ind w:firstLine="480" w:firstLineChars="200"/>
    </w:pPr>
    <w:rPr>
      <w:rFonts w:ascii="Times New Roman" w:hAnsi="Times New Roman" w:eastAsia="宋体" w:cs="宋体"/>
      <w:sz w:val="24"/>
      <w:szCs w:val="20"/>
    </w:rPr>
  </w:style>
  <w:style w:type="paragraph" w:customStyle="1" w:styleId="64">
    <w:name w:val="正"/>
    <w:basedOn w:val="1"/>
    <w:qFormat/>
    <w:uiPriority w:val="0"/>
    <w:pPr>
      <w:ind w:firstLine="200"/>
    </w:pPr>
    <w:rPr>
      <w:rFonts w:ascii="Times New Roman" w:hAnsi="Times New Roman" w:eastAsia="宋体" w:cs="Times New Roman"/>
      <w:sz w:val="24"/>
    </w:rPr>
  </w:style>
  <w:style w:type="paragraph" w:customStyle="1" w:styleId="65">
    <w:name w:val="中文报告书样式"/>
    <w:basedOn w:val="1"/>
    <w:qFormat/>
    <w:uiPriority w:val="0"/>
    <w:pPr>
      <w:adjustRightInd w:val="0"/>
      <w:spacing w:line="480" w:lineRule="atLeast"/>
      <w:ind w:firstLine="482"/>
      <w:textAlignment w:val="baseline"/>
    </w:pPr>
    <w:rPr>
      <w:rFonts w:ascii="Calibri" w:hAnsi="Calibri"/>
      <w:kern w:val="24"/>
      <w:sz w:val="24"/>
    </w:rPr>
  </w:style>
  <w:style w:type="character" w:customStyle="1" w:styleId="66">
    <w:name w:val="fontstyle01"/>
    <w:basedOn w:val="34"/>
    <w:qFormat/>
    <w:uiPriority w:val="0"/>
    <w:rPr>
      <w:rFonts w:ascii="黑体" w:hAnsi="宋体" w:eastAsia="黑体" w:cs="黑体"/>
      <w:color w:val="000000"/>
      <w:sz w:val="22"/>
      <w:szCs w:val="22"/>
    </w:rPr>
  </w:style>
  <w:style w:type="character" w:customStyle="1" w:styleId="67">
    <w:name w:val="fontstyle11"/>
    <w:basedOn w:val="34"/>
    <w:qFormat/>
    <w:uiPriority w:val="0"/>
    <w:rPr>
      <w:rFonts w:ascii="TimesNewRomanPSMT" w:hAnsi="TimesNewRomanPSMT" w:eastAsia="TimesNewRomanPSMT" w:cs="TimesNewRomanPSMT"/>
      <w:color w:val="000000"/>
      <w:sz w:val="24"/>
      <w:szCs w:val="24"/>
    </w:rPr>
  </w:style>
  <w:style w:type="character" w:customStyle="1" w:styleId="68">
    <w:name w:val="font21"/>
    <w:basedOn w:val="34"/>
    <w:qFormat/>
    <w:uiPriority w:val="0"/>
    <w:rPr>
      <w:rFonts w:hint="default" w:ascii="Times New Roman" w:hAnsi="Times New Roman" w:cs="Times New Roman"/>
      <w:color w:val="000000"/>
      <w:sz w:val="18"/>
      <w:szCs w:val="18"/>
      <w:u w:val="none"/>
    </w:rPr>
  </w:style>
  <w:style w:type="paragraph" w:customStyle="1" w:styleId="69">
    <w:name w:val="默认段落字体 Para Char Char Char Char Char Char Char Char Char Char"/>
    <w:basedOn w:val="4"/>
    <w:qFormat/>
    <w:uiPriority w:val="0"/>
    <w:pPr>
      <w:tabs>
        <w:tab w:val="left" w:pos="360"/>
        <w:tab w:val="left" w:pos="900"/>
      </w:tabs>
      <w:snapToGrid w:val="0"/>
      <w:spacing w:before="120" w:beforeLines="0" w:after="120" w:afterLines="0" w:line="360" w:lineRule="auto"/>
      <w:ind w:left="542" w:leftChars="-12" w:firstLine="200" w:firstLineChars="200"/>
      <w:jc w:val="left"/>
    </w:pPr>
    <w:rPr>
      <w:rFonts w:eastAsia="黑体"/>
      <w:b w:val="0"/>
      <w:bCs/>
      <w:snapToGrid w:val="0"/>
      <w:sz w:val="24"/>
      <w:szCs w:val="24"/>
    </w:rPr>
  </w:style>
  <w:style w:type="character" w:customStyle="1" w:styleId="70">
    <w:name w:val="font11"/>
    <w:basedOn w:val="34"/>
    <w:qFormat/>
    <w:uiPriority w:val="0"/>
    <w:rPr>
      <w:rFonts w:hint="default" w:ascii="Times New Roman" w:hAnsi="Times New Roman" w:cs="Times New Roman"/>
      <w:color w:val="000000"/>
      <w:sz w:val="18"/>
      <w:szCs w:val="18"/>
      <w:u w:val="none"/>
      <w:vertAlign w:val="superscript"/>
    </w:rPr>
  </w:style>
  <w:style w:type="character" w:customStyle="1" w:styleId="71">
    <w:name w:val="font01"/>
    <w:basedOn w:val="34"/>
    <w:qFormat/>
    <w:uiPriority w:val="0"/>
    <w:rPr>
      <w:rFonts w:hint="default" w:ascii="Times New Roman" w:hAnsi="Times New Roman" w:cs="Times New Roman"/>
      <w:color w:val="000000"/>
      <w:sz w:val="21"/>
      <w:szCs w:val="21"/>
      <w:u w:val="none"/>
    </w:rPr>
  </w:style>
  <w:style w:type="character" w:customStyle="1" w:styleId="72">
    <w:name w:val="NormalCharacter"/>
    <w:link w:val="73"/>
    <w:semiHidden/>
    <w:qFormat/>
    <w:uiPriority w:val="0"/>
    <w:rPr>
      <w:rFonts w:eastAsia="宋体"/>
      <w:kern w:val="2"/>
      <w:sz w:val="24"/>
      <w:szCs w:val="24"/>
      <w:lang w:val="en-US" w:eastAsia="zh-CN" w:bidi="ar-SA"/>
    </w:rPr>
  </w:style>
  <w:style w:type="paragraph" w:customStyle="1" w:styleId="73">
    <w:name w:val="UserStyle_3"/>
    <w:basedOn w:val="1"/>
    <w:link w:val="72"/>
    <w:qFormat/>
    <w:uiPriority w:val="0"/>
    <w:pPr>
      <w:jc w:val="both"/>
      <w:textAlignment w:val="baseline"/>
    </w:pPr>
    <w:rPr>
      <w:rFonts w:eastAsia="宋体"/>
      <w:kern w:val="2"/>
      <w:sz w:val="24"/>
      <w:szCs w:val="24"/>
      <w:lang w:val="en-US" w:eastAsia="zh-CN" w:bidi="ar-SA"/>
    </w:rPr>
  </w:style>
  <w:style w:type="character" w:customStyle="1" w:styleId="74">
    <w:name w:val="fontstyle21"/>
    <w:basedOn w:val="34"/>
    <w:qFormat/>
    <w:uiPriority w:val="0"/>
    <w:rPr>
      <w:rFonts w:ascii="宋体" w:hAnsi="宋体" w:eastAsia="宋体" w:cs="宋体"/>
      <w:color w:val="000000"/>
      <w:sz w:val="24"/>
      <w:szCs w:val="24"/>
    </w:rPr>
  </w:style>
  <w:style w:type="character" w:customStyle="1" w:styleId="75">
    <w:name w:val="正文文本 字符1"/>
    <w:semiHidden/>
    <w:qFormat/>
    <w:uiPriority w:val="0"/>
    <w:rPr>
      <w:rFonts w:ascii="Times New Roman" w:hAnsi="Times New Roman" w:eastAsia="宋体"/>
      <w:sz w:val="24"/>
    </w:rPr>
  </w:style>
  <w:style w:type="paragraph" w:customStyle="1" w:styleId="76">
    <w:name w:val="列出段落"/>
    <w:basedOn w:val="1"/>
    <w:qFormat/>
    <w:uiPriority w:val="34"/>
    <w:pPr>
      <w:ind w:firstLine="420" w:firstLineChars="200"/>
    </w:pPr>
    <w:rPr>
      <w:rFonts w:ascii="Calibri" w:hAnsi="Calibri"/>
      <w:szCs w:val="22"/>
    </w:rPr>
  </w:style>
  <w:style w:type="character" w:customStyle="1" w:styleId="77">
    <w:name w:val="fontstyle31"/>
    <w:basedOn w:val="34"/>
    <w:qFormat/>
    <w:uiPriority w:val="0"/>
    <w:rPr>
      <w:rFonts w:ascii="TimesNewRomanPSMT" w:hAnsi="TimesNewRomanPSMT" w:eastAsia="TimesNewRomanPSMT" w:cs="TimesNewRomanPSMT"/>
      <w:color w:val="000000"/>
      <w:sz w:val="24"/>
      <w:szCs w:val="24"/>
    </w:rPr>
  </w:style>
  <w:style w:type="character" w:customStyle="1" w:styleId="78">
    <w:name w:val="fontstyle41"/>
    <w:basedOn w:val="34"/>
    <w:qFormat/>
    <w:uiPriority w:val="0"/>
    <w:rPr>
      <w:rFonts w:ascii="TimesNewRomanPSMT" w:hAnsi="TimesNewRomanPSMT" w:eastAsia="TimesNewRomanPSMT" w:cs="TimesNewRomanPSMT"/>
      <w:color w:val="000000"/>
      <w:sz w:val="24"/>
      <w:szCs w:val="24"/>
    </w:rPr>
  </w:style>
  <w:style w:type="paragraph" w:customStyle="1" w:styleId="79">
    <w:name w:val="样式10"/>
    <w:basedOn w:val="59"/>
    <w:qFormat/>
    <w:uiPriority w:val="0"/>
    <w:pPr>
      <w:spacing w:line="480" w:lineRule="exact"/>
      <w:ind w:firstLine="600"/>
    </w:pPr>
  </w:style>
  <w:style w:type="paragraph" w:customStyle="1" w:styleId="80">
    <w:name w:val="样式1"/>
    <w:basedOn w:val="1"/>
    <w:qFormat/>
    <w:uiPriority w:val="0"/>
    <w:pPr>
      <w:spacing w:line="480" w:lineRule="atLeast"/>
      <w:jc w:val="center"/>
    </w:pPr>
    <w:rPr>
      <w:sz w:val="24"/>
    </w:rPr>
  </w:style>
  <w:style w:type="character" w:customStyle="1" w:styleId="81">
    <w:name w:val="font41"/>
    <w:basedOn w:val="34"/>
    <w:qFormat/>
    <w:uiPriority w:val="0"/>
    <w:rPr>
      <w:rFonts w:hint="eastAsia" w:ascii="宋体" w:hAnsi="宋体" w:eastAsia="宋体" w:cs="宋体"/>
      <w:color w:val="000000"/>
      <w:sz w:val="20"/>
      <w:szCs w:val="20"/>
      <w:u w:val="none"/>
    </w:rPr>
  </w:style>
  <w:style w:type="character" w:customStyle="1" w:styleId="82">
    <w:name w:val="font51"/>
    <w:basedOn w:val="34"/>
    <w:qFormat/>
    <w:uiPriority w:val="0"/>
    <w:rPr>
      <w:rFonts w:hint="default" w:ascii="Times New Roman" w:hAnsi="Times New Roman" w:cs="Times New Roman"/>
      <w:color w:val="000000"/>
      <w:sz w:val="18"/>
      <w:szCs w:val="18"/>
      <w:u w:val="none"/>
      <w:vertAlign w:val="superscript"/>
    </w:rPr>
  </w:style>
  <w:style w:type="character" w:customStyle="1" w:styleId="83">
    <w:name w:val="font61"/>
    <w:basedOn w:val="34"/>
    <w:qFormat/>
    <w:uiPriority w:val="0"/>
    <w:rPr>
      <w:rFonts w:hint="eastAsia" w:ascii="宋体" w:hAnsi="宋体" w:eastAsia="宋体" w:cs="宋体"/>
      <w:color w:val="00B0F0"/>
      <w:sz w:val="21"/>
      <w:szCs w:val="21"/>
      <w:u w:val="none"/>
    </w:rPr>
  </w:style>
  <w:style w:type="paragraph" w:customStyle="1" w:styleId="84">
    <w:name w:val="表格标题"/>
    <w:basedOn w:val="1"/>
    <w:qFormat/>
    <w:uiPriority w:val="0"/>
    <w:pPr>
      <w:shd w:val="clear" w:color="auto" w:fill="FFFFFF"/>
      <w:spacing w:line="0" w:lineRule="atLeast"/>
      <w:jc w:val="left"/>
    </w:pPr>
    <w:rPr>
      <w:rFonts w:ascii="宋体" w:hAnsi="宋体" w:cs="宋体"/>
      <w:kern w:val="0"/>
      <w:sz w:val="22"/>
      <w:szCs w:val="22"/>
    </w:rPr>
  </w:style>
  <w:style w:type="character" w:customStyle="1" w:styleId="85">
    <w:name w:val="ask-title2"/>
    <w:basedOn w:val="34"/>
    <w:qFormat/>
    <w:uiPriority w:val="0"/>
  </w:style>
  <w:style w:type="paragraph" w:customStyle="1" w:styleId="86">
    <w:name w:val="样式 首行缩进:  2 字符1"/>
    <w:basedOn w:val="1"/>
    <w:qFormat/>
    <w:uiPriority w:val="0"/>
    <w:pPr>
      <w:spacing w:line="360" w:lineRule="exact"/>
      <w:ind w:left="-90" w:leftChars="-43"/>
      <w:jc w:val="center"/>
    </w:pPr>
    <w:rPr>
      <w:rFonts w:cs="宋体"/>
      <w:kern w:val="0"/>
      <w:szCs w:val="21"/>
    </w:rPr>
  </w:style>
  <w:style w:type="paragraph" w:customStyle="1" w:styleId="87">
    <w:name w:val="样式 样式 样式 四号 左侧:  1.53 厘米 + 首行缩进:  2 字符 + 居中 左侧:  2 字符 首行缩进:  2..."/>
    <w:basedOn w:val="88"/>
    <w:qFormat/>
    <w:uiPriority w:val="0"/>
    <w:pPr>
      <w:spacing w:line="360" w:lineRule="auto"/>
      <w:jc w:val="center"/>
    </w:pPr>
  </w:style>
  <w:style w:type="paragraph" w:customStyle="1" w:styleId="88">
    <w:name w:val="样式 样式 四号 左侧:  1.53 厘米 + 首行缩进:  2 字符"/>
    <w:basedOn w:val="89"/>
    <w:qFormat/>
    <w:uiPriority w:val="99"/>
    <w:pPr>
      <w:ind w:left="200" w:leftChars="200"/>
    </w:pPr>
    <w:rPr>
      <w:szCs w:val="20"/>
    </w:rPr>
  </w:style>
  <w:style w:type="paragraph" w:customStyle="1" w:styleId="89">
    <w:name w:val="样式 四号 左侧:  1.53 厘米"/>
    <w:basedOn w:val="1"/>
    <w:qFormat/>
    <w:uiPriority w:val="99"/>
    <w:rPr>
      <w:w w:val="90"/>
      <w:sz w:val="28"/>
      <w:szCs w:val="28"/>
    </w:rPr>
  </w:style>
  <w:style w:type="paragraph" w:customStyle="1" w:styleId="90">
    <w:name w:val="正文正"/>
    <w:basedOn w:val="14"/>
    <w:qFormat/>
    <w:uiPriority w:val="0"/>
    <w:pPr>
      <w:ind w:firstLine="560" w:firstLineChars="200"/>
    </w:pPr>
    <w:rPr>
      <w:sz w:val="28"/>
      <w:szCs w:val="24"/>
    </w:rPr>
  </w:style>
  <w:style w:type="paragraph" w:customStyle="1" w:styleId="91">
    <w:name w:val="【表格】1"/>
    <w:next w:val="30"/>
    <w:qFormat/>
    <w:uiPriority w:val="0"/>
    <w:pPr>
      <w:spacing w:line="0" w:lineRule="atLeast"/>
      <w:jc w:val="center"/>
    </w:pPr>
    <w:rPr>
      <w:rFonts w:ascii="Times New Roman" w:hAnsi="Times New Roman" w:eastAsia="宋体" w:cs="Times New Roman"/>
      <w:sz w:val="21"/>
      <w:szCs w:val="24"/>
      <w:lang w:val="en-US" w:eastAsia="zh-CN" w:bidi="ar-SA"/>
    </w:rPr>
  </w:style>
  <w:style w:type="character" w:customStyle="1" w:styleId="92">
    <w:name w:val="font81"/>
    <w:basedOn w:val="34"/>
    <w:qFormat/>
    <w:uiPriority w:val="0"/>
    <w:rPr>
      <w:rFonts w:hint="eastAsia" w:ascii="宋体" w:hAnsi="宋体" w:eastAsia="宋体" w:cs="宋体"/>
      <w:b/>
      <w:bCs/>
      <w:color w:val="000000"/>
      <w:sz w:val="22"/>
      <w:szCs w:val="22"/>
      <w:u w:val="none"/>
    </w:rPr>
  </w:style>
  <w:style w:type="character" w:customStyle="1" w:styleId="93">
    <w:name w:val="font91"/>
    <w:basedOn w:val="34"/>
    <w:qFormat/>
    <w:uiPriority w:val="0"/>
    <w:rPr>
      <w:rFonts w:hint="eastAsia" w:ascii="宋体" w:hAnsi="宋体" w:eastAsia="宋体" w:cs="宋体"/>
      <w:color w:val="000000"/>
      <w:sz w:val="22"/>
      <w:szCs w:val="22"/>
      <w:u w:val="none"/>
    </w:rPr>
  </w:style>
  <w:style w:type="character" w:customStyle="1" w:styleId="94">
    <w:name w:val="font71"/>
    <w:basedOn w:val="34"/>
    <w:qFormat/>
    <w:uiPriority w:val="0"/>
    <w:rPr>
      <w:rFonts w:hint="default" w:ascii="Times New Roman" w:hAnsi="Times New Roman" w:cs="Times New Roman"/>
      <w:b/>
      <w:bCs/>
      <w:color w:val="000000"/>
      <w:sz w:val="20"/>
      <w:szCs w:val="20"/>
      <w:u w:val="none"/>
      <w:vertAlign w:val="superscript"/>
    </w:rPr>
  </w:style>
  <w:style w:type="paragraph" w:customStyle="1" w:styleId="95">
    <w:name w:val="[1]正文"/>
    <w:basedOn w:val="1"/>
    <w:qFormat/>
    <w:uiPriority w:val="0"/>
    <w:pPr>
      <w:widowControl/>
      <w:snapToGrid w:val="0"/>
      <w:ind w:firstLine="200"/>
      <w:jc w:val="left"/>
    </w:pPr>
    <w:rPr>
      <w:szCs w:val="28"/>
    </w:rPr>
  </w:style>
  <w:style w:type="paragraph" w:customStyle="1" w:styleId="96">
    <w:name w:val="p0"/>
    <w:basedOn w:val="1"/>
    <w:qFormat/>
    <w:uiPriority w:val="0"/>
    <w:pPr>
      <w:widowControl/>
    </w:pPr>
    <w:rPr>
      <w:rFonts w:eastAsia="宋体"/>
      <w:kern w:val="0"/>
      <w:sz w:val="21"/>
      <w:szCs w:val="21"/>
    </w:rPr>
  </w:style>
  <w:style w:type="paragraph" w:customStyle="1" w:styleId="97">
    <w:name w:val="正文格式"/>
    <w:qFormat/>
    <w:uiPriority w:val="0"/>
    <w:pPr>
      <w:spacing w:line="480" w:lineRule="exact"/>
      <w:ind w:firstLine="480" w:firstLineChars="200"/>
      <w:jc w:val="both"/>
    </w:pPr>
    <w:rPr>
      <w:rFonts w:ascii="Times New Roman" w:hAnsi="Times New Roman" w:eastAsia="宋体" w:cs="Times New Roman"/>
      <w:sz w:val="24"/>
      <w:szCs w:val="24"/>
      <w:lang w:val="en-US" w:eastAsia="zh-CN" w:bidi="ar-SA"/>
    </w:rPr>
  </w:style>
  <w:style w:type="paragraph" w:customStyle="1" w:styleId="98">
    <w:name w:val="16表格内容"/>
    <w:qFormat/>
    <w:uiPriority w:val="0"/>
    <w:pPr>
      <w:spacing w:line="0" w:lineRule="atLeast"/>
      <w:jc w:val="center"/>
    </w:pPr>
    <w:rPr>
      <w:rFonts w:ascii="Times New Roman" w:hAnsi="Times New Roman" w:eastAsia="宋体" w:cs="Times New Roman"/>
      <w:sz w:val="21"/>
      <w:szCs w:val="24"/>
      <w:lang w:val="en-US" w:eastAsia="zh-CN" w:bidi="ar-SA"/>
    </w:rPr>
  </w:style>
  <w:style w:type="paragraph" w:customStyle="1" w:styleId="99">
    <w:name w:val="表格字体"/>
    <w:basedOn w:val="1"/>
    <w:qFormat/>
    <w:uiPriority w:val="0"/>
    <w:pPr>
      <w:spacing w:line="240" w:lineRule="auto"/>
      <w:ind w:firstLine="0" w:firstLineChars="0"/>
      <w:jc w:val="center"/>
    </w:pPr>
    <w:rPr>
      <w:kern w:val="0"/>
      <w:sz w:val="20"/>
      <w:szCs w:val="21"/>
    </w:rPr>
  </w:style>
  <w:style w:type="paragraph" w:customStyle="1" w:styleId="100">
    <w:name w:val="标题3-X"/>
    <w:basedOn w:val="4"/>
    <w:next w:val="30"/>
    <w:qFormat/>
    <w:uiPriority w:val="0"/>
    <w:pPr>
      <w:numPr>
        <w:ilvl w:val="0"/>
        <w:numId w:val="1"/>
      </w:numPr>
    </w:pPr>
    <w:rPr>
      <w:rFonts w:cs="Times New Roman"/>
      <w:kern w:val="0"/>
      <w:lang w:val="zh-CN"/>
    </w:rPr>
  </w:style>
  <w:style w:type="paragraph" w:customStyle="1" w:styleId="101">
    <w:name w:val="标题4-X"/>
    <w:basedOn w:val="5"/>
    <w:next w:val="30"/>
    <w:qFormat/>
    <w:uiPriority w:val="0"/>
    <w:pPr>
      <w:numPr>
        <w:ilvl w:val="0"/>
        <w:numId w:val="1"/>
      </w:numPr>
    </w:pPr>
    <w:rPr>
      <w:rFonts w:cs="Times New Roman"/>
      <w:kern w:val="2"/>
      <w:lang w:val="zh-CN"/>
    </w:rPr>
  </w:style>
  <w:style w:type="paragraph" w:customStyle="1" w:styleId="102">
    <w:name w:val="正文233"/>
    <w:basedOn w:val="103"/>
    <w:qFormat/>
    <w:uiPriority w:val="0"/>
  </w:style>
  <w:style w:type="paragraph" w:customStyle="1" w:styleId="103">
    <w:name w:val="样式 样式 正文 + 首行缩进:  2 字符 + 首行缩进:  2 字符"/>
    <w:basedOn w:val="104"/>
    <w:semiHidden/>
    <w:qFormat/>
    <w:uiPriority w:val="0"/>
  </w:style>
  <w:style w:type="paragraph" w:customStyle="1" w:styleId="104">
    <w:name w:val="样式 正文 + 首行缩进:  2 字符"/>
    <w:basedOn w:val="105"/>
    <w:semiHidden/>
    <w:qFormat/>
    <w:uiPriority w:val="0"/>
    <w:pPr>
      <w:spacing w:line="480" w:lineRule="exact"/>
      <w:jc w:val="both"/>
    </w:pPr>
    <w:rPr>
      <w:rFonts w:cs="宋体"/>
      <w:szCs w:val="20"/>
    </w:rPr>
  </w:style>
  <w:style w:type="paragraph" w:customStyle="1" w:styleId="105">
    <w:name w:val="正文3"/>
    <w:qFormat/>
    <w:uiPriority w:val="0"/>
    <w:pPr>
      <w:widowControl w:val="0"/>
      <w:adjustRightInd w:val="0"/>
      <w:spacing w:line="312" w:lineRule="atLeast"/>
      <w:jc w:val="both"/>
      <w:textAlignment w:val="baseline"/>
    </w:pPr>
    <w:rPr>
      <w:rFonts w:ascii="Times New Roman" w:hAnsi="Times New Roman" w:eastAsia="宋体" w:cs="Tahoma"/>
      <w:sz w:val="24"/>
      <w:lang w:val="en-US" w:eastAsia="zh-CN" w:bidi="ar-SA"/>
    </w:rPr>
  </w:style>
  <w:style w:type="paragraph" w:customStyle="1" w:styleId="106">
    <w:name w:val="报告表正文1"/>
    <w:basedOn w:val="107"/>
    <w:qFormat/>
    <w:uiPriority w:val="0"/>
    <w:pPr>
      <w:spacing w:line="480" w:lineRule="exact"/>
      <w:ind w:firstLine="200" w:firstLineChars="200"/>
    </w:pPr>
  </w:style>
  <w:style w:type="paragraph" w:customStyle="1" w:styleId="107">
    <w:name w:val="报告书正文"/>
    <w:basedOn w:val="1"/>
    <w:qFormat/>
    <w:uiPriority w:val="0"/>
    <w:pPr>
      <w:spacing w:line="360" w:lineRule="auto"/>
    </w:pPr>
    <w:rPr>
      <w:sz w:val="24"/>
      <w:szCs w:val="24"/>
    </w:rPr>
  </w:style>
  <w:style w:type="paragraph" w:customStyle="1" w:styleId="108">
    <w:name w:val="Table Text"/>
    <w:basedOn w:val="1"/>
    <w:semiHidden/>
    <w:qFormat/>
    <w:uiPriority w:val="0"/>
    <w:rPr>
      <w:rFonts w:ascii="宋体" w:hAnsi="宋体" w:eastAsia="宋体" w:cs="宋体"/>
      <w:sz w:val="21"/>
      <w:szCs w:val="21"/>
      <w:lang w:val="en-US" w:eastAsia="en-US" w:bidi="ar-SA"/>
    </w:rPr>
  </w:style>
  <w:style w:type="table" w:customStyle="1" w:styleId="109">
    <w:name w:val="Table Normal"/>
    <w:semiHidden/>
    <w:unhideWhenUsed/>
    <w:qFormat/>
    <w:uiPriority w:val="0"/>
    <w:tblPr>
      <w:tblCellMar>
        <w:top w:w="0" w:type="dxa"/>
        <w:left w:w="0" w:type="dxa"/>
        <w:bottom w:w="0" w:type="dxa"/>
        <w:right w:w="0" w:type="dxa"/>
      </w:tblCellMar>
    </w:tblPr>
  </w:style>
  <w:style w:type="paragraph" w:customStyle="1" w:styleId="110">
    <w:name w:val="标题5-X"/>
    <w:basedOn w:val="6"/>
    <w:next w:val="111"/>
    <w:qFormat/>
    <w:uiPriority w:val="0"/>
    <w:pPr>
      <w:numPr>
        <w:ilvl w:val="4"/>
        <w:numId w:val="1"/>
      </w:numPr>
    </w:pPr>
    <w:rPr>
      <w:rFonts w:cs="Times New Roman"/>
      <w:kern w:val="0"/>
      <w:sz w:val="21"/>
      <w:szCs w:val="28"/>
      <w:lang w:val="zh-CN" w:bidi="ar-SA"/>
    </w:rPr>
  </w:style>
  <w:style w:type="paragraph" w:customStyle="1" w:styleId="111">
    <w:name w:val="表格内-X"/>
    <w:basedOn w:val="1"/>
    <w:qFormat/>
    <w:uiPriority w:val="0"/>
    <w:pPr>
      <w:widowControl/>
      <w:adjustRightInd w:val="0"/>
      <w:snapToGrid w:val="0"/>
      <w:contextualSpacing/>
      <w:jc w:val="center"/>
    </w:pPr>
    <w:rPr>
      <w:rFonts w:ascii="Times New Roman" w:hAnsi="Times New Roman" w:eastAsia="宋体"/>
    </w:rPr>
  </w:style>
  <w:style w:type="paragraph" w:customStyle="1" w:styleId="112">
    <w:name w:val="5-正文"/>
    <w:basedOn w:val="1"/>
    <w:qFormat/>
    <w:uiPriority w:val="0"/>
    <w:pPr>
      <w:snapToGrid w:val="0"/>
      <w:spacing w:line="360" w:lineRule="auto"/>
      <w:ind w:firstLine="480" w:firstLineChars="200"/>
    </w:pPr>
    <w:rPr>
      <w:rFonts w:ascii="Calibri" w:hAnsi="Calibri" w:eastAsia="宋体" w:cs="Calibri"/>
      <w:kern w:val="0"/>
      <w:sz w:val="24"/>
      <w:szCs w:val="24"/>
    </w:rPr>
  </w:style>
  <w:style w:type="character" w:customStyle="1" w:styleId="113">
    <w:name w:val="font101"/>
    <w:basedOn w:val="34"/>
    <w:qFormat/>
    <w:uiPriority w:val="0"/>
    <w:rPr>
      <w:rFonts w:hint="eastAsia" w:ascii="宋体" w:hAnsi="宋体" w:eastAsia="宋体" w:cs="宋体"/>
      <w:color w:val="000000"/>
      <w:sz w:val="21"/>
      <w:szCs w:val="21"/>
      <w:u w:val="none"/>
    </w:rPr>
  </w:style>
  <w:style w:type="character" w:customStyle="1" w:styleId="114">
    <w:name w:val="font121"/>
    <w:basedOn w:val="34"/>
    <w:qFormat/>
    <w:uiPriority w:val="0"/>
    <w:rPr>
      <w:rFonts w:hint="eastAsia" w:ascii="宋体" w:hAnsi="宋体" w:eastAsia="宋体" w:cs="宋体"/>
      <w:color w:val="000000"/>
      <w:sz w:val="21"/>
      <w:szCs w:val="21"/>
      <w:u w:val="none"/>
    </w:rPr>
  </w:style>
  <w:style w:type="paragraph" w:customStyle="1" w:styleId="115">
    <w:name w:val="表 格"/>
    <w:basedOn w:val="1"/>
    <w:next w:val="1"/>
    <w:qFormat/>
    <w:uiPriority w:val="0"/>
    <w:pPr>
      <w:spacing w:line="240" w:lineRule="auto"/>
      <w:ind w:firstLine="0" w:firstLineChars="0"/>
      <w:jc w:val="center"/>
    </w:pPr>
    <w:rPr>
      <w:sz w:val="21"/>
    </w:rPr>
  </w:style>
  <w:style w:type="paragraph" w:customStyle="1" w:styleId="116">
    <w:name w:val="样式 小四 行距: 固定值 24 磅 首行缩进:  2 字符"/>
    <w:basedOn w:val="1"/>
    <w:qFormat/>
    <w:uiPriority w:val="0"/>
    <w:pPr>
      <w:spacing w:line="440" w:lineRule="exact"/>
      <w:ind w:firstLine="200"/>
    </w:pPr>
    <w:rPr>
      <w:szCs w:val="24"/>
    </w:rPr>
  </w:style>
  <w:style w:type="paragraph" w:customStyle="1" w:styleId="117">
    <w:name w:val="reader-word-layer reader-word-s3-2 reader-word-s3-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8">
    <w:name w:val="样式 四号 首行缩进:  2 字符"/>
    <w:basedOn w:val="1"/>
    <w:semiHidden/>
    <w:qFormat/>
    <w:uiPriority w:val="0"/>
    <w:pPr>
      <w:spacing w:line="480" w:lineRule="atLeast"/>
    </w:pPr>
  </w:style>
  <w:style w:type="paragraph" w:customStyle="1" w:styleId="119">
    <w:name w:val="【表中文字】"/>
    <w:basedOn w:val="1"/>
    <w:qFormat/>
    <w:uiPriority w:val="0"/>
    <w:pPr>
      <w:jc w:val="center"/>
    </w:pPr>
    <w:rPr>
      <w:kern w:val="0"/>
      <w:sz w:val="20"/>
      <w:szCs w:val="20"/>
    </w:rPr>
  </w:style>
  <w:style w:type="paragraph" w:customStyle="1" w:styleId="120">
    <w:name w:val="报告表正文"/>
    <w:basedOn w:val="121"/>
    <w:qFormat/>
    <w:uiPriority w:val="0"/>
    <w:pPr>
      <w:adjustRightInd w:val="0"/>
      <w:spacing w:line="312" w:lineRule="auto"/>
      <w:ind w:left="113" w:right="113" w:firstLine="482"/>
      <w:jc w:val="left"/>
      <w:textAlignment w:val="baseline"/>
    </w:pPr>
    <w:rPr>
      <w:kern w:val="0"/>
      <w:sz w:val="24"/>
    </w:rPr>
  </w:style>
  <w:style w:type="paragraph" w:customStyle="1" w:styleId="121">
    <w:name w:val="CM4"/>
    <w:basedOn w:val="1"/>
    <w:next w:val="1"/>
    <w:qFormat/>
    <w:uiPriority w:val="0"/>
    <w:pPr>
      <w:keepNext/>
      <w:spacing w:line="520" w:lineRule="exact"/>
      <w:jc w:val="center"/>
    </w:pPr>
    <w:rPr>
      <w:b/>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3" Type="http://schemas.openxmlformats.org/officeDocument/2006/relationships/fontTable" Target="fontTable.xml"/><Relationship Id="rId52" Type="http://schemas.openxmlformats.org/officeDocument/2006/relationships/customXml" Target="../customXml/item2.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footer" Target="footer1.xml"/><Relationship Id="rId49" Type="http://schemas.openxmlformats.org/officeDocument/2006/relationships/image" Target="media/image26.png"/><Relationship Id="rId48" Type="http://schemas.openxmlformats.org/officeDocument/2006/relationships/image" Target="media/image25.jpeg"/><Relationship Id="rId47" Type="http://schemas.openxmlformats.org/officeDocument/2006/relationships/image" Target="media/image24.jpeg"/><Relationship Id="rId46" Type="http://schemas.openxmlformats.org/officeDocument/2006/relationships/image" Target="media/image23.png"/><Relationship Id="rId45" Type="http://schemas.openxmlformats.org/officeDocument/2006/relationships/image" Target="media/image22.png"/><Relationship Id="rId44" Type="http://schemas.openxmlformats.org/officeDocument/2006/relationships/image" Target="media/image21.png"/><Relationship Id="rId43" Type="http://schemas.openxmlformats.org/officeDocument/2006/relationships/image" Target="media/image20.wmf"/><Relationship Id="rId42" Type="http://schemas.openxmlformats.org/officeDocument/2006/relationships/oleObject" Target="embeddings/oleObject15.bin"/><Relationship Id="rId41" Type="http://schemas.openxmlformats.org/officeDocument/2006/relationships/image" Target="media/image19.png"/><Relationship Id="rId40" Type="http://schemas.openxmlformats.org/officeDocument/2006/relationships/image" Target="media/image18.png"/><Relationship Id="rId4" Type="http://schemas.openxmlformats.org/officeDocument/2006/relationships/endnotes" Target="endnotes.xml"/><Relationship Id="rId39" Type="http://schemas.openxmlformats.org/officeDocument/2006/relationships/image" Target="media/image17.png"/><Relationship Id="rId38" Type="http://schemas.openxmlformats.org/officeDocument/2006/relationships/image" Target="media/image16.wmf"/><Relationship Id="rId37" Type="http://schemas.openxmlformats.org/officeDocument/2006/relationships/oleObject" Target="embeddings/oleObject14.bin"/><Relationship Id="rId36" Type="http://schemas.openxmlformats.org/officeDocument/2006/relationships/image" Target="media/image15.wmf"/><Relationship Id="rId35" Type="http://schemas.openxmlformats.org/officeDocument/2006/relationships/oleObject" Target="embeddings/oleObject13.bin"/><Relationship Id="rId34" Type="http://schemas.openxmlformats.org/officeDocument/2006/relationships/image" Target="media/image14.wmf"/><Relationship Id="rId33" Type="http://schemas.openxmlformats.org/officeDocument/2006/relationships/oleObject" Target="embeddings/oleObject12.bin"/><Relationship Id="rId32" Type="http://schemas.openxmlformats.org/officeDocument/2006/relationships/image" Target="media/image13.wmf"/><Relationship Id="rId31" Type="http://schemas.openxmlformats.org/officeDocument/2006/relationships/oleObject" Target="embeddings/oleObject11.bin"/><Relationship Id="rId30" Type="http://schemas.openxmlformats.org/officeDocument/2006/relationships/image" Target="media/image12.wmf"/><Relationship Id="rId3" Type="http://schemas.openxmlformats.org/officeDocument/2006/relationships/footnotes" Target="footnotes.xml"/><Relationship Id="rId29" Type="http://schemas.openxmlformats.org/officeDocument/2006/relationships/oleObject" Target="embeddings/oleObject10.bin"/><Relationship Id="rId28" Type="http://schemas.openxmlformats.org/officeDocument/2006/relationships/image" Target="media/image11.wmf"/><Relationship Id="rId27" Type="http://schemas.openxmlformats.org/officeDocument/2006/relationships/oleObject" Target="embeddings/oleObject9.bin"/><Relationship Id="rId26" Type="http://schemas.openxmlformats.org/officeDocument/2006/relationships/image" Target="media/image10.wmf"/><Relationship Id="rId25" Type="http://schemas.openxmlformats.org/officeDocument/2006/relationships/oleObject" Target="embeddings/oleObject8.bin"/><Relationship Id="rId24" Type="http://schemas.openxmlformats.org/officeDocument/2006/relationships/image" Target="media/image9.wmf"/><Relationship Id="rId23" Type="http://schemas.openxmlformats.org/officeDocument/2006/relationships/oleObject" Target="embeddings/oleObject7.bin"/><Relationship Id="rId22" Type="http://schemas.openxmlformats.org/officeDocument/2006/relationships/image" Target="media/image8.wmf"/><Relationship Id="rId21" Type="http://schemas.openxmlformats.org/officeDocument/2006/relationships/oleObject" Target="embeddings/oleObject6.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6.wmf"/><Relationship Id="rId17" Type="http://schemas.openxmlformats.org/officeDocument/2006/relationships/oleObject" Target="embeddings/oleObject4.bin"/><Relationship Id="rId16" Type="http://schemas.openxmlformats.org/officeDocument/2006/relationships/image" Target="media/image5.png"/><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image" Target="media/image2.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00aa6114-e2f7-4d50-9ff3-9d4b8dd93eb1</errorID>
      <errorWord>"</errorWord>
      <group>L1_Format</group>
      <groupName>格式问题</groupName>
      <ability>L2_HalfPunc</ability>
      <abilityName>全半角检查</abilityName>
      <candidateList>
        <item>”</item>
      </candidateList>
      <explain>文本全半角错误。</explain>
      <paraID>3372400C</paraID>
      <start>15</start>
      <end>16</end>
      <status>unmodified</status>
      <modifiedWord/>
      <trackRevisions>false</trackRevisions>
    </reviewItem>
    <reviewItem>
      <errorID>2f0a2ef6-2a3b-4763-9b2d-b79d406f8ed2</errorID>
      <errorWord>-</errorWord>
      <group>L1_Format</group>
      <groupName>格式问题</groupName>
      <ability>L2_HalfPunc</ability>
      <abilityName>全半角检查</abilityName>
      <candidateList>
        <item>－</item>
      </candidateList>
      <explain>文本全半角错误。</explain>
      <paraID> B2A72E3</paraID>
      <start>10</start>
      <end>11</end>
      <status>unmodified</status>
      <modifiedWord/>
      <trackRevisions>false</trackRevisions>
    </reviewItem>
    <reviewItem>
      <errorID>0caf7bcf-f7c9-4f7b-a4d9-78f059dd2478</errorID>
      <errorWord>(2026)2号</errorWord>
      <group>L1_Knowledge</group>
      <groupName>知识性问题</groupName>
      <ability>L2_Knowledge</ability>
      <abilityName>其他知识</abilityName>
      <candidateList>
        <item>〔2026〕2号</item>
      </candidateList>
      <explain>发文字号格式错误。</explain>
      <paraID>73F2BDFD</paraID>
      <start>7</start>
      <end>15</end>
      <status>unmodified</status>
      <modifiedWord/>
      <trackRevisions>false</trackRevisions>
    </reviewItem>
    <reviewItem>
      <errorID>da6ec365-db29-4a43-ba06-1984efc84901</errorID>
      <errorWord>（</errorWord>
      <group>L1_Punc</group>
      <groupName>标点问题</groupName>
      <ability>L2_Punc</ability>
      <abilityName>标点符号检查</abilityName>
      <candidateList>
        <item/>
      </candidateList>
      <explain>同一形式括号套用。</explain>
      <paraID>58E34652</paraID>
      <start>100</start>
      <end>101</end>
      <status>unmodified</status>
      <modifiedWord/>
      <trackRevisions>false</trackRevisions>
    </reviewItem>
    <reviewItem>
      <errorID>55c34849-f780-411a-9221-c91d0ec10f7b</errorID>
      <errorWord>(2026)2号</errorWord>
      <group>L1_Knowledge</group>
      <groupName>知识性问题</groupName>
      <ability>L2_Knowledge</ability>
      <abilityName>其他知识</abilityName>
      <candidateList>
        <item>〔2026〕2号</item>
      </candidateList>
      <explain>发文字号格式错误。</explain>
      <paraID>58E34652</paraID>
      <start>108</start>
      <end>116</end>
      <status>unmodified</status>
      <modifiedWord/>
      <trackRevisions>false</trackRevisions>
    </reviewItem>
    <reviewItem>
      <errorID>109f153e-b3bd-4ae7-a996-3485fe2e44f7</errorID>
      <errorWord>）</errorWord>
      <group>L1_Punc</group>
      <groupName>标点问题</groupName>
      <ability>L2_Punc</ability>
      <abilityName>标点符号检查</abilityName>
      <candidateList/>
      <explain>同一形式括号套用。</explain>
      <paraID>58E34652</paraID>
      <start>116</start>
      <end>117</end>
      <status>unmodified</status>
      <modifiedWord/>
      <trackRevisions>false</trackRevisions>
    </reviewItem>
    <reviewItem>
      <errorID>3657e353-aa85-4e65-86eb-03fa418a062c</errorID>
      <errorWord>（</errorWord>
      <group>L1_Punc</group>
      <groupName>标点问题</groupName>
      <ability>L2_Punc</ability>
      <abilityName>标点符号检查</abilityName>
      <candidateList/>
      <explain>同一形式括号套用。</explain>
      <paraID>281D6DD7</paraID>
      <start>42</start>
      <end>43</end>
      <status>unmodified</status>
      <modifiedWord/>
      <trackRevisions>false</trackRevisions>
    </reviewItem>
    <reviewItem>
      <errorID>2ec5167f-9732-4f88-b883-4842c01c88e9</errorID>
      <errorWord>）</errorWord>
      <group>L1_Punc</group>
      <groupName>标点问题</groupName>
      <ability>L2_Punc</ability>
      <abilityName>标点符号检查</abilityName>
      <candidateList/>
      <explain>同一形式括号套用。</explain>
      <paraID>281D6DD7</paraID>
      <start>47</start>
      <end>48</end>
      <status>unmodified</status>
      <modifiedWord/>
      <trackRevisions>false</trackRevisions>
    </reviewItem>
    <reviewItem>
      <errorID>a8ee2ba8-26b6-4e8d-9402-18a20cd412de</errorID>
      <errorWord>[2023]326号</errorWord>
      <group>L1_Knowledge</group>
      <groupName>知识性问题</groupName>
      <ability>L2_Knowledge</ability>
      <abilityName>其他知识</abilityName>
      <candidateList>
        <item>〔2023〕326号</item>
      </candidateList>
      <explain>发文字号格式错误。</explain>
      <paraID>26F54196</paraID>
      <start>45</start>
      <end>55</end>
      <status>unmodified</status>
      <modifiedWord/>
      <trackRevisions>false</trackRevisions>
    </reviewItem>
    <reviewItem>
      <errorID>68f71933-3c06-40f7-a71b-f4a66b2f7f4b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26F54196</paraID>
      <start>95</start>
      <end>96</end>
      <status>unmodified</status>
      <modifiedWord/>
      <trackRevisions>false</trackRevisions>
    </reviewItem>
    <reviewItem>
      <errorID>a4819f0d-0734-4f56-97fe-34c35d9cccfd</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 C38A93D</paraID>
      <start>2</start>
      <end>6</end>
      <status>unmodified</status>
      <modifiedWord/>
      <trackRevisions>false</trackRevisions>
    </reviewItem>
    <reviewItem>
      <errorID>c250bbf1-7813-4e01-903f-e96ff79c5704</errorID>
      <errorWord>[2016]50号</errorWord>
      <group>L1_Knowledge</group>
      <groupName>知识性问题</groupName>
      <ability>L2_Knowledge</ability>
      <abilityName>其他知识</abilityName>
      <candidateList>
        <item>〔2016〕50号</item>
      </candidateList>
      <explain>发文字号格式错误。</explain>
      <paraID>428AC557</paraID>
      <start>14</start>
      <end>23</end>
      <status>unmodified</status>
      <modifiedWord/>
      <trackRevisions>false</trackRevisions>
    </reviewItem>
    <reviewItem>
      <errorID>88fd1df9-b487-44a9-a2b1-2d32b890115b</errorID>
      <errorWord>[2020]71号</errorWord>
      <group>L1_Knowledge</group>
      <groupName>知识性问题</groupName>
      <ability>L2_Knowledge</ability>
      <abilityName>其他知识</abilityName>
      <candidateList>
        <item>〔2020〕71号</item>
      </candidateList>
      <explain>发文字号格式错误。</explain>
      <paraID>1B57A5F9</paraID>
      <start>38</start>
      <end>47</end>
      <status>unmodified</status>
      <modifiedWord/>
      <trackRevisions>false</trackRevisions>
    </reviewItem>
    <reviewItem>
      <errorID>aab9f30a-ae07-41a8-a77e-caad2ee95a21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1B57A5F9</paraID>
      <start>49</start>
      <end>50</end>
      <status>unmodified</status>
      <modifiedWord/>
      <trackRevisions>false</trackRevisions>
    </reviewItem>
    <reviewItem>
      <errorID>bb2064e9-8c40-4f9d-af80-92b9a292c48a</errorID>
      <errorWord>&lt;</errorWord>
      <group>L1_Format</group>
      <groupName>格式问题</groupName>
      <ability>L2_HalfPunc</ability>
      <abilityName>全半角检查</abilityName>
      <candidateList>
        <item>〈</item>
      </candidateList>
      <explain>文本全半角错误。</explain>
      <paraID>1B57A5F9</paraID>
      <start>61</start>
      <end>62</end>
      <status>unmodified</status>
      <modifiedWord/>
      <trackRevisions>false</trackRevisions>
    </reviewItem>
    <reviewItem>
      <errorID>7f99a86a-5bd7-4884-9b06-86ecdd70a56d</errorID>
      <errorWord>&gt;</errorWord>
      <group>L1_Format</group>
      <groupName>格式问题</groupName>
      <ability>L2_HalfPunc</ability>
      <abilityName>全半角检查</abilityName>
      <candidateList>
        <item>〉</item>
      </candidateList>
      <explain>文本全半角错误。</explain>
      <paraID>1B57A5F9</paraID>
      <start>71</start>
      <end>72</end>
      <status>unmodified</status>
      <modifiedWord/>
      <trackRevisions>false</trackRevisions>
    </reviewItem>
    <reviewItem>
      <errorID>358e71ef-d4b8-4f2a-8e99-55e487665979</errorID>
      <errorWord>[2018]23号</errorWord>
      <group>L1_Knowledge</group>
      <groupName>知识性问题</groupName>
      <ability>L2_Knowledge</ability>
      <abilityName>其他知识</abilityName>
      <candidateList>
        <item>〔2018〕23号</item>
      </candidateList>
      <explain>发文字号格式错误。</explain>
      <paraID>1B57A5F9</paraID>
      <start>79</start>
      <end>88</end>
      <status>unmodified</status>
      <modifiedWord/>
      <trackRevisions>false</trackRevisions>
    </reviewItem>
    <reviewItem>
      <errorID>65bc9840-54a7-4bd1-9669-b7161163143b</errorID>
      <errorWord>[2021]48号</errorWord>
      <group>L1_Knowledge</group>
      <groupName>知识性问题</groupName>
      <ability>L2_Knowledge</ability>
      <abilityName>其他知识</abilityName>
      <candidateList>
        <item>〔2021〕48号</item>
      </candidateList>
      <explain>发文字号格式错误。</explain>
      <paraID>1B57A5F9</paraID>
      <start>124</start>
      <end>133</end>
      <status>unmodified</status>
      <modifiedWord/>
      <trackRevisions>false</trackRevisions>
    </reviewItem>
    <reviewItem>
      <errorID>24f68161-b497-4bac-82b5-fe5615e2997f</errorID>
      <errorWord>相对于</errorWord>
      <group>L1_Word</group>
      <groupName>字词问题</groupName>
      <ability>L2_Typo</ability>
      <abilityName>字词错误</abilityName>
      <candidateList>
        <item>相对</item>
      </candidateList>
      <explain>❶〈动〉互相朝着对方，面对面：～而坐｜两山～。❷〈动〉指性质上互相对立，如大与小相对，美与丑相对。❸〈形〉属性词。依靠一定条件而存在，随着一定条件而变化的（跟“绝对”相对）：～高度｜在绝对的总的宇宙发展过程中，各个具体过程的发展都是～的。❹〈形〉属性词。比较的：～稳定｜～优势。</explain>
      <paraID>6333A57A</paraID>
      <start>31</start>
      <end>34</end>
      <status>unmodified</status>
      <modifiedWord/>
      <trackRevisions>false</trackRevisions>
    </reviewItem>
    <reviewItem>
      <errorID>e3295334-0ee0-4f55-9e1b-3cc6261df28e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2BA3A2E8</paraID>
      <start>19</start>
      <end>22</end>
      <status>unmodified</status>
      <modifiedWord/>
      <trackRevisions>false</trackRevisions>
    </reviewItem>
    <reviewItem>
      <errorID>550e71b8-83a4-4495-aeb6-230468f47dea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4EFDA4F0</paraID>
      <start>0</start>
      <end>2</end>
      <status>unmodified</status>
      <modifiedWord/>
      <trackRevisions>false</trackRevisions>
    </reviewItem>
    <reviewItem>
      <errorID>4a89e92f-e47a-47a7-ac85-c9f2f5094d06</errorID>
      <errorWord>原住居民</errorWord>
      <group>L1_Sensitive</group>
      <groupName>敏感问题</groupName>
      <ability>L2_Violent</ability>
      <abilityName>暴恐词条</abilityName>
      <candidateList/>
      <explain>【暴恐词条】句中包含暴恐类敏感词条，请注意甄别。</explain>
      <paraID>31E45107</paraID>
      <start>3</start>
      <end>7</end>
      <status>unmodified</status>
      <modifiedWord/>
      <trackRevisions>false</trackRevisions>
    </reviewItem>
    <reviewItem>
      <errorID>44124d31-3ea7-47fa-9b5a-3fddd2145c47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55E46643</paraID>
      <start>0</start>
      <end>2</end>
      <status>unmodified</status>
      <modifiedWord/>
      <trackRevisions>false</trackRevisions>
    </reviewItem>
    <reviewItem>
      <errorID>ca640f68-b2ac-4549-9bbc-6e8f8753beb8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55E46643</paraID>
      <start>53</start>
      <end>56</end>
      <status>unmodified</status>
      <modifiedWord/>
      <trackRevisions>false</trackRevisions>
    </reviewItem>
    <reviewItem>
      <errorID>e00dd839-30c1-429e-8e0d-82df06fe46bd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385B3452</paraID>
      <start>0</start>
      <end>2</end>
      <status>unmodified</status>
      <modifiedWord/>
      <trackRevisions>false</trackRevisions>
    </reviewItem>
    <reviewItem>
      <errorID>30f7054f-4906-47c0-9913-d61bbdae7800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24A3C852</paraID>
      <start>0</start>
      <end>2</end>
      <status>unmodified</status>
      <modifiedWord/>
      <trackRevisions>false</trackRevisions>
    </reviewItem>
    <reviewItem>
      <errorID>e4f81a3a-08a6-4c12-9258-9cf2373de050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6A6960AB</paraID>
      <start>0</start>
      <end>2</end>
      <status>unmodified</status>
      <modifiedWord/>
      <trackRevisions>false</trackRevisions>
    </reviewItem>
    <reviewItem>
      <errorID>bb80ee7a-f116-4c66-aa76-aa60b2951485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77B1BCFA</paraID>
      <start>0</start>
      <end>2</end>
      <status>unmodified</status>
      <modifiedWord/>
      <trackRevisions>false</trackRevisions>
    </reviewItem>
    <reviewItem>
      <errorID>3360f82a-f867-45c0-8617-1ccafb53ca92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4391C829</paraID>
      <start>0</start>
      <end>2</end>
      <status>unmodified</status>
      <modifiedWord/>
      <trackRevisions>false</trackRevisions>
    </reviewItem>
    <reviewItem>
      <errorID>dbb63ca4-cad5-4133-8ffc-2e39113a8307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6CF80547</paraID>
      <start>0</start>
      <end>2</end>
      <status>unmodified</status>
      <modifiedWord/>
      <trackRevisions>false</trackRevisions>
    </reviewItem>
    <reviewItem>
      <errorID>1227e7a5-02ed-4b4f-af41-db6270341da2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6D5AE48A</paraID>
      <start>0</start>
      <end>2</end>
      <status>unmodified</status>
      <modifiedWord/>
      <trackRevisions>false</trackRevisions>
    </reviewItem>
    <reviewItem>
      <errorID>9c2ae122-fcc3-4174-806e-ef8c349b0399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670600B0</paraID>
      <start>0</start>
      <end>2</end>
      <status>unmodified</status>
      <modifiedWord/>
      <trackRevisions>false</trackRevisions>
    </reviewItem>
    <reviewItem>
      <errorID>2135c6e8-6def-45c2-b4e0-04b0aad82825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432CF959</paraID>
      <start>0</start>
      <end>2</end>
      <status>unmodified</status>
      <modifiedWord/>
      <trackRevisions>false</trackRevisions>
    </reviewItem>
    <reviewItem>
      <errorID>7ef631d2-644c-4d62-a4a4-e021d26e51e8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61648052</paraID>
      <start>0</start>
      <end>2</end>
      <status>unmodified</status>
      <modifiedWord/>
      <trackRevisions>false</trackRevisions>
    </reviewItem>
    <reviewItem>
      <errorID>877469b2-d867-4b88-b449-56738cc7658d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18A82E1B</paraID>
      <start>0</start>
      <end>2</end>
      <status>unmodified</status>
      <modifiedWord/>
      <trackRevisions>false</trackRevisions>
    </reviewItem>
    <reviewItem>
      <errorID>07895294-0850-4435-9c66-e84f1f93abed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3390E869</paraID>
      <start>0</start>
      <end>2</end>
      <status>unmodified</status>
      <modifiedWord/>
      <trackRevisions>false</trackRevisions>
    </reviewItem>
    <reviewItem>
      <errorID>4aea9e3d-8ea6-424a-a135-98cc045089eb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76AF1343</paraID>
      <start>0</start>
      <end>2</end>
      <status>unmodified</status>
      <modifiedWord/>
      <trackRevisions>false</trackRevisions>
    </reviewItem>
    <reviewItem>
      <errorID>693cd5ea-978e-447e-9aa3-e509833a1e30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6565F7F2</paraID>
      <start>0</start>
      <end>2</end>
      <status>unmodified</status>
      <modifiedWord/>
      <trackRevisions>false</trackRevisions>
    </reviewItem>
    <reviewItem>
      <errorID>6ea3783f-4089-49a3-a367-e1adb63ac8c1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3E9BE594</paraID>
      <start>0</start>
      <end>3</end>
      <status>unmodified</status>
      <modifiedWord/>
      <trackRevisions>false</trackRevisions>
    </reviewItem>
    <reviewItem>
      <errorID>4bb8d3f3-6e2a-42af-b908-664524976809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FFFAB68</paraID>
      <start>0</start>
      <end>3</end>
      <status>unmodified</status>
      <modifiedWord/>
      <trackRevisions>false</trackRevisions>
    </reviewItem>
    <reviewItem>
      <errorID>fa0f8ba1-b576-441a-815b-225dd1c76932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7CA2FC1D</paraID>
      <start>0</start>
      <end>3</end>
      <status>unmodified</status>
      <modifiedWord/>
      <trackRevisions>false</trackRevisions>
    </reviewItem>
    <reviewItem>
      <errorID>e0927faf-8bc8-4404-9616-e27ae4cc4650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7A9B5501</paraID>
      <start>0</start>
      <end>3</end>
      <status>unmodified</status>
      <modifiedWord/>
      <trackRevisions>false</trackRevisions>
    </reviewItem>
    <reviewItem>
      <errorID>5abc7474-fdac-4c2e-8870-3cfec890e1da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75FE0C5D</paraID>
      <start>0</start>
      <end>3</end>
      <status>unmodified</status>
      <modifiedWord/>
      <trackRevisions>false</trackRevisions>
    </reviewItem>
    <reviewItem>
      <errorID>927b25e7-6251-4fd8-9dc6-77f5086caaea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610CC410</paraID>
      <start>0</start>
      <end>3</end>
      <status>unmodified</status>
      <modifiedWord/>
      <trackRevisions>false</trackRevisions>
    </reviewItem>
    <reviewItem>
      <errorID>81d61a04-f47a-43ef-88ba-f0f6de686cf6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65AC59D6</paraID>
      <start>0</start>
      <end>2</end>
      <status>unmodified</status>
      <modifiedWord/>
      <trackRevisions>false</trackRevisions>
    </reviewItem>
    <reviewItem>
      <errorID>7d8e2735-eca9-4e87-a6ca-3bf8ec2ae754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59F314F4</paraID>
      <start>0</start>
      <end>2</end>
      <status>unmodified</status>
      <modifiedWord/>
      <trackRevisions>false</trackRevisions>
    </reviewItem>
    <reviewItem>
      <errorID>c06eb65b-a244-4bcc-9aa3-ba56b064412e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3C770E2A</paraID>
      <start>0</start>
      <end>2</end>
      <status>unmodified</status>
      <modifiedWord/>
      <trackRevisions>false</trackRevisions>
    </reviewItem>
    <reviewItem>
      <errorID>fdf8dcd3-9b10-4c69-a3aa-818a53141fab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684917A4</paraID>
      <start>0</start>
      <end>2</end>
      <status>unmodified</status>
      <modifiedWord/>
      <trackRevisions>false</trackRevisions>
    </reviewItem>
    <reviewItem>
      <errorID>0933dae9-f075-4bc3-809c-358d8f37c9bf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5FF74787</paraID>
      <start>0</start>
      <end>2</end>
      <status>unmodified</status>
      <modifiedWord/>
      <trackRevisions>false</trackRevisions>
    </reviewItem>
    <reviewItem>
      <errorID>5fde191b-434c-49dd-a266-b6ab6c21b7e4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6F422BCF</paraID>
      <start>0</start>
      <end>2</end>
      <status>unmodified</status>
      <modifiedWord/>
      <trackRevisions>false</trackRevisions>
    </reviewItem>
    <reviewItem>
      <errorID>9d4cc418-689f-4193-b2ad-2e022168ce11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4324553B</paraID>
      <start>0</start>
      <end>2</end>
      <status>unmodified</status>
      <modifiedWord/>
      <trackRevisions>false</trackRevisions>
    </reviewItem>
    <reviewItem>
      <errorID>988cd0a6-10ab-48a0-9725-2e5a3f2b51e3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761F8427</paraID>
      <start>0</start>
      <end>2</end>
      <status>unmodified</status>
      <modifiedWord/>
      <trackRevisions>false</trackRevisions>
    </reviewItem>
    <reviewItem>
      <errorID>057b06d3-2d1d-4ff3-baee-1ae4c39efac5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18EA7E1F</paraID>
      <start>0</start>
      <end>2</end>
      <status>unmodified</status>
      <modifiedWord/>
      <trackRevisions>false</trackRevisions>
    </reviewItem>
    <reviewItem>
      <errorID>37d647c6-4067-4b39-8dc0-34bb16c97b4b</errorID>
      <errorWord>“十大”</errorWord>
      <group>L1_Word</group>
      <groupName>字词问题</groupName>
      <ability>L2_Typo</ability>
      <abilityName>字词错误</abilityName>
      <candidateList/>
      <explain>无建议</explain>
      <paraID>18EA7E1F</paraID>
      <start>94</start>
      <end>98</end>
      <status>unmodified</status>
      <modifiedWord/>
      <trackRevisions>false</trackRevisions>
    </reviewItem>
    <reviewItem>
      <errorID>1683a445-c25d-4183-a46e-831a2ea50781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44A1C81B</paraID>
      <start>0</start>
      <end>2</end>
      <status>unmodified</status>
      <modifiedWord/>
      <trackRevisions>false</trackRevisions>
    </reviewItem>
    <reviewItem>
      <errorID>4cffe7f1-ca39-4219-9725-83795beb4826</errorID>
      <errorWord>城乡结合部</errorWord>
      <group>L1_Word</group>
      <groupName>字词问题</groupName>
      <ability>L2_Typo</ability>
      <abilityName>字词错误</abilityName>
      <candidateList>
        <item>城乡接合部</item>
      </candidateList>
      <explain/>
      <paraID>44A1C81B</paraID>
      <start>50</start>
      <end>55</end>
      <status>unmodified</status>
      <modifiedWord/>
      <trackRevisions>false</trackRevisions>
    </reviewItem>
    <reviewItem>
      <errorID>aec7a6b0-b1d6-4276-bbca-883887647707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216050F1</paraID>
      <start>0</start>
      <end>2</end>
      <status>unmodified</status>
      <modifiedWord/>
      <trackRevisions>false</trackRevisions>
    </reviewItem>
    <reviewItem>
      <errorID>e012a2e5-39d6-4218-88cb-92ab0df28db7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4042B5B9</paraID>
      <start>0</start>
      <end>2</end>
      <status>unmodified</status>
      <modifiedWord/>
      <trackRevisions>false</trackRevisions>
    </reviewItem>
    <reviewItem>
      <errorID>25c9e495-a756-4e61-82c4-90559fd5eacb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51919885</paraID>
      <start>0</start>
      <end>2</end>
      <status>unmodified</status>
      <modifiedWord/>
      <trackRevisions>false</trackRevisions>
    </reviewItem>
    <reviewItem>
      <errorID>a8067cea-59fc-4775-bf81-2698238464d3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426285AF</paraID>
      <start>0</start>
      <end>2</end>
      <status>unmodified</status>
      <modifiedWord/>
      <trackRevisions>false</trackRevisions>
    </reviewItem>
    <reviewItem>
      <errorID>4dab4794-2559-4b56-9f46-cac8a0297332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25C0A759</paraID>
      <start>0</start>
      <end>2</end>
      <status>unmodified</status>
      <modifiedWord/>
      <trackRevisions>false</trackRevisions>
    </reviewItem>
    <reviewItem>
      <errorID>d3a40bd7-43fc-4bc3-9098-6212c1f0c6c4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427E2A51</paraID>
      <start>0</start>
      <end>2</end>
      <status>unmodified</status>
      <modifiedWord/>
      <trackRevisions>false</trackRevisions>
    </reviewItem>
    <reviewItem>
      <errorID>54c6a0d7-88fc-4bfc-96fb-a32cbabb666c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4E1666F7</paraID>
      <start>0</start>
      <end>2</end>
      <status>unmodified</status>
      <modifiedWord/>
      <trackRevisions>false</trackRevisions>
    </reviewItem>
    <reviewItem>
      <errorID>be376677-39f5-4188-9850-fa7ad9e178c3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21ACD9B2</paraID>
      <start>0</start>
      <end>2</end>
      <status>unmodified</status>
      <modifiedWord/>
      <trackRevisions>false</trackRevisions>
    </reviewItem>
    <reviewItem>
      <errorID>25ed4aa0-e3a5-4b55-933a-c2e0113e9259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580EE106</paraID>
      <start>0</start>
      <end>2</end>
      <status>unmodified</status>
      <modifiedWord/>
      <trackRevisions>false</trackRevisions>
    </reviewItem>
    <reviewItem>
      <errorID>07324f81-2295-4d65-b84d-70cb991b410f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4A7D1ABD</paraID>
      <start>0</start>
      <end>2</end>
      <status>unmodified</status>
      <modifiedWord/>
      <trackRevisions>false</trackRevisions>
    </reviewItem>
    <reviewItem>
      <errorID>c78e7599-cf8b-42f9-94e2-8645c1ab66bd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350AFCAD</paraID>
      <start>0</start>
      <end>2</end>
      <status>unmodified</status>
      <modifiedWord/>
      <trackRevisions>false</trackRevisions>
    </reviewItem>
    <reviewItem>
      <errorID>18fa8f5d-1d19-45aa-a403-3cc26f023474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4EEF77B3</paraID>
      <start>0</start>
      <end>2</end>
      <status>unmodified</status>
      <modifiedWord/>
      <trackRevisions>false</trackRevisions>
    </reviewItem>
    <reviewItem>
      <errorID>b8508500-5ad3-4ef4-8fcf-b7cbed68c1b4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4B2EF9EF</paraID>
      <start>0</start>
      <end>2</end>
      <status>unmodified</status>
      <modifiedWord/>
      <trackRevisions>false</trackRevisions>
    </reviewItem>
    <reviewItem>
      <errorID>9459b9a4-55bf-4fa9-a7a3-119612b2eeaf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5E437AF2</paraID>
      <start>0</start>
      <end>2</end>
      <status>unmodified</status>
      <modifiedWord/>
      <trackRevisions>false</trackRevisions>
    </reviewItem>
    <reviewItem>
      <errorID>c947aa3a-8dd1-4ccd-8958-2459dd91a8f1</errorID>
      <errorWord>危险废物全链条监管</errorWord>
      <group>L1_Political</group>
      <groupName>政治性问题</groupName>
      <ability>L2_Keyword</ability>
      <abilityName>固定表述</abilityName>
      <candidateList>
        <item>危险废物全过程监管</item>
      </candidateList>
      <explain>词汇“危险废物全过程监管”在特定场景下为固定表述形式，请确认此处的“危险废物全链条监管”是否存在不当。</explain>
      <paraID>5E437AF2</paraID>
      <start>84</start>
      <end>93</end>
      <status>unmodified</status>
      <modifiedWord/>
      <trackRevisions>false</trackRevisions>
    </reviewItem>
    <reviewItem>
      <errorID>f25fd4d3-0867-4177-b121-290f7a88c04f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37347B72</paraID>
      <start>0</start>
      <end>2</end>
      <status>unmodified</status>
      <modifiedWord/>
      <trackRevisions>false</trackRevisions>
    </reviewItem>
    <reviewItem>
      <errorID>92c36a5f-e0e3-423a-95a0-787fbe707016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424236A8</paraID>
      <start>0</start>
      <end>2</end>
      <status>unmodified</status>
      <modifiedWord/>
      <trackRevisions>false</trackRevisions>
    </reviewItem>
    <reviewItem>
      <errorID>aaec00a4-1cb7-4aa0-a444-32c3a3b21506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5E69D346</paraID>
      <start>0</start>
      <end>2</end>
      <status>unmodified</status>
      <modifiedWord/>
      <trackRevisions>false</trackRevisions>
    </reviewItem>
    <reviewItem>
      <errorID>f60ce13d-5fe9-419a-bb50-0a526d9f9069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38003C97</paraID>
      <start>0</start>
      <end>2</end>
      <status>unmodified</status>
      <modifiedWord/>
      <trackRevisions>false</trackRevisions>
    </reviewItem>
    <reviewItem>
      <errorID>862f8c88-846e-4d4c-8ea3-f208d96446d0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4A39CAB1</paraID>
      <start>0</start>
      <end>2</end>
      <status>unmodified</status>
      <modifiedWord/>
      <trackRevisions>false</trackRevisions>
    </reviewItem>
    <reviewItem>
      <errorID>085f50df-95cd-476a-9ff4-4213398e4d42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1BFF117E</paraID>
      <start>0</start>
      <end>2</end>
      <status>unmodified</status>
      <modifiedWord/>
      <trackRevisions>false</trackRevisions>
    </reviewItem>
    <reviewItem>
      <errorID>92418368-87d7-4e66-8375-e27527bd3de3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20B0E2F5</paraID>
      <start>0</start>
      <end>2</end>
      <status>unmodified</status>
      <modifiedWord/>
      <trackRevisions>false</trackRevisions>
    </reviewItem>
    <reviewItem>
      <errorID>fbb77004-f2c1-4049-bfd4-aff522d5aa33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3301552D</paraID>
      <start>0</start>
      <end>2</end>
      <status>unmodified</status>
      <modifiedWord/>
      <trackRevisions>false</trackRevisions>
    </reviewItem>
    <reviewItem>
      <errorID>9424afbc-f35e-4605-94dd-9470851366c8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34CEAF4C</paraID>
      <start>0</start>
      <end>2</end>
      <status>unmodified</status>
      <modifiedWord/>
      <trackRevisions>false</trackRevisions>
    </reviewItem>
    <reviewItem>
      <errorID>c8dbf82a-c4db-472d-b5c5-a43bb19f07ad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3093F8BD</paraID>
      <start>0</start>
      <end>3</end>
      <status>unmodified</status>
      <modifiedWord/>
      <trackRevisions>false</trackRevisions>
    </reviewItem>
    <reviewItem>
      <errorID>6fd2d0d5-7167-4bbc-9271-a9d610007bd4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52CA4999</paraID>
      <start>0</start>
      <end>2</end>
      <status>unmodified</status>
      <modifiedWord/>
      <trackRevisions>false</trackRevisions>
    </reviewItem>
    <reviewItem>
      <errorID>86ff148d-2ad0-49b0-92d9-b82539a1ec86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5C8E9B15</paraID>
      <start>0</start>
      <end>2</end>
      <status>unmodified</status>
      <modifiedWord/>
      <trackRevisions>false</trackRevisions>
    </reviewItem>
    <reviewItem>
      <errorID>2aa272ca-2c36-454d-9080-b5b94f92ef05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285AF2F1</paraID>
      <start>0</start>
      <end>2</end>
      <status>unmodified</status>
      <modifiedWord/>
      <trackRevisions>false</trackRevisions>
    </reviewItem>
    <reviewItem>
      <errorID>59504d67-a469-4838-b796-71d359fd0500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5C3ACE0D</paraID>
      <start>0</start>
      <end>2</end>
      <status>unmodified</status>
      <modifiedWord/>
      <trackRevisions>false</trackRevisions>
    </reviewItem>
    <reviewItem>
      <errorID>46af7380-6251-49dd-85a3-eb09c484d93b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1129F35B</paraID>
      <start>0</start>
      <end>2</end>
      <status>unmodified</status>
      <modifiedWord/>
      <trackRevisions>false</trackRevisions>
    </reviewItem>
    <reviewItem>
      <errorID>339697bd-1615-42db-bc0f-13124683becc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EF291CA</paraID>
      <start>0</start>
      <end>2</end>
      <status>unmodified</status>
      <modifiedWord/>
      <trackRevisions>false</trackRevisions>
    </reviewItem>
    <reviewItem>
      <errorID>aea08d4a-9f81-4543-9e5b-f30aac180590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1DA8CE77</paraID>
      <start>0</start>
      <end>2</end>
      <status>unmodified</status>
      <modifiedWord/>
      <trackRevisions>false</trackRevisions>
    </reviewItem>
    <reviewItem>
      <errorID>97564d38-901e-4c94-b7d0-056c97273ec0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2B83D90A</paraID>
      <start>0</start>
      <end>2</end>
      <status>unmodified</status>
      <modifiedWord/>
      <trackRevisions>false</trackRevisions>
    </reviewItem>
    <reviewItem>
      <errorID>712c6762-47e2-46bc-9ed9-9cbf7baa177f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1570A80A</paraID>
      <start>0</start>
      <end>2</end>
      <status>unmodified</status>
      <modifiedWord/>
      <trackRevisions>false</trackRevisions>
    </reviewItem>
    <reviewItem>
      <errorID>cdd2ba0f-70ab-42cd-8dee-fd3b0b1b2263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EB539E1</paraID>
      <start>0</start>
      <end>2</end>
      <status>unmodified</status>
      <modifiedWord/>
      <trackRevisions>false</trackRevisions>
    </reviewItem>
    <reviewItem>
      <errorID>df31605f-ee8f-43d4-9021-ab643a70aae3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1A67F0F5</paraID>
      <start>0</start>
      <end>2</end>
      <status>unmodified</status>
      <modifiedWord/>
      <trackRevisions>false</trackRevisions>
    </reviewItem>
    <reviewItem>
      <errorID>fbe05d85-13c6-4326-a77f-aa618154c143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EEAE0C0</paraID>
      <start>0</start>
      <end>2</end>
      <status>unmodified</status>
      <modifiedWord/>
      <trackRevisions>false</trackRevisions>
    </reviewItem>
    <reviewItem>
      <errorID>a55f556c-738d-4692-86b4-1f5fb1293e8e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15E5B69E</paraID>
      <start>0</start>
      <end>2</end>
      <status>unmodified</status>
      <modifiedWord/>
      <trackRevisions>false</trackRevisions>
    </reviewItem>
    <reviewItem>
      <errorID>dcb48b0f-d755-42e2-8983-130f9b9553ea</errorID>
      <errorWord>》</errorWord>
      <group>L1_Word</group>
      <groupName>字词问题</groupName>
      <ability>L2_Typo</ability>
      <abilityName>字词错误</abilityName>
      <candidateList>
        <item>》等</item>
      </candidateList>
      <explain/>
      <paraID>15E5B69E</paraID>
      <start>41</start>
      <end>42</end>
      <status>unmodified</status>
      <modifiedWord/>
      <trackRevisions>false</trackRevisions>
    </reviewItem>
    <reviewItem>
      <errorID>8185afd7-878f-487e-8611-6536547ea744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2882CB2E</paraID>
      <start>0</start>
      <end>2</end>
      <status>unmodified</status>
      <modifiedWord/>
      <trackRevisions>false</trackRevisions>
    </reviewItem>
    <reviewItem>
      <errorID>5e3a6ce0-6fc1-461e-ab7d-5b73441b2248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17D9406D</paraID>
      <start>0</start>
      <end>2</end>
      <status>unmodified</status>
      <modifiedWord/>
      <trackRevisions>false</trackRevisions>
    </reviewItem>
    <reviewItem>
      <errorID>c68dd25d-74e4-41e4-b0a4-ea4069f4ac83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7A7CA98D</paraID>
      <start>0</start>
      <end>2</end>
      <status>unmodified</status>
      <modifiedWord/>
      <trackRevisions>false</trackRevisions>
    </reviewItem>
    <reviewItem>
      <errorID>49f5c530-658d-4850-b242-dadc0fb19a9b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6E32B8AC</paraID>
      <start>0</start>
      <end>2</end>
      <status>unmodified</status>
      <modifiedWord/>
      <trackRevisions>false</trackRevisions>
    </reviewItem>
    <reviewItem>
      <errorID>25292d6c-06e3-4224-a434-d2510628f085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2AD1DD37</paraID>
      <start>0</start>
      <end>2</end>
      <status>unmodified</status>
      <modifiedWord/>
      <trackRevisions>false</trackRevisions>
    </reviewItem>
    <reviewItem>
      <errorID>0fa93a86-7f5d-47e9-852f-055d8158e7ce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1785B103</paraID>
      <start>0</start>
      <end>2</end>
      <status>unmodified</status>
      <modifiedWord/>
      <trackRevisions>false</trackRevisions>
    </reviewItem>
    <reviewItem>
      <errorID>a2d6442c-d10b-43db-a9a0-b9801d72f4a7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3796694F</paraID>
      <start>0</start>
      <end>2</end>
      <status>unmodified</status>
      <modifiedWord/>
      <trackRevisions>false</trackRevisions>
    </reviewItem>
    <reviewItem>
      <errorID>255e70cc-eefa-4e9d-8af2-c43656b74924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1AD71DBE</paraID>
      <start>0</start>
      <end>2</end>
      <status>unmodified</status>
      <modifiedWord/>
      <trackRevisions>false</trackRevisions>
    </reviewItem>
    <reviewItem>
      <errorID>4bfb3c46-e833-436a-bddd-d4734b6ea554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485BB541</paraID>
      <start>0</start>
      <end>3</end>
      <status>unmodified</status>
      <modifiedWord/>
      <trackRevisions>false</trackRevisions>
    </reviewItem>
    <reviewItem>
      <errorID>bafb67f9-163d-4ef3-ad16-ed3b50a4b944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6868CA1D</paraID>
      <start>0</start>
      <end>3</end>
      <status>unmodified</status>
      <modifiedWord/>
      <trackRevisions>false</trackRevisions>
    </reviewItem>
    <reviewItem>
      <errorID>647cc76f-221f-4b26-b862-deb86bcc6a0a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3063F44</paraID>
      <start>0</start>
      <end>3</end>
      <status>unmodified</status>
      <modifiedWord/>
      <trackRevisions>false</trackRevisions>
    </reviewItem>
    <reviewItem>
      <errorID>f405cab9-2962-42bb-a83c-10f7988fae6c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6B72769A</paraID>
      <start>0</start>
      <end>3</end>
      <status>unmodified</status>
      <modifiedWord/>
      <trackRevisions>false</trackRevisions>
    </reviewItem>
    <reviewItem>
      <errorID>52ceb3da-f73b-45b1-a816-e34c98f6ec0a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154BB50F</paraID>
      <start>0</start>
      <end>3</end>
      <status>unmodified</status>
      <modifiedWord/>
      <trackRevisions>false</trackRevisions>
    </reviewItem>
    <reviewItem>
      <errorID>9e632468-1a1c-4afa-843f-db3e22f2d323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21B4140</paraID>
      <start>0</start>
      <end>3</end>
      <status>unmodified</status>
      <modifiedWord/>
      <trackRevisions>false</trackRevisions>
    </reviewItem>
    <reviewItem>
      <errorID>f6e78d48-a507-4f11-84ae-015bd2ecafa3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176EFD87</paraID>
      <start>0</start>
      <end>3</end>
      <status>unmodified</status>
      <modifiedWord/>
      <trackRevisions>false</trackRevisions>
    </reviewItem>
    <reviewItem>
      <errorID>3865bb4e-2741-4fe9-a936-f9002cd614b1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70F08267</paraID>
      <start>0</start>
      <end>3</end>
      <status>unmodified</status>
      <modifiedWord/>
      <trackRevisions>false</trackRevisions>
    </reviewItem>
    <reviewItem>
      <errorID>4e2a7d50-9a9c-4bff-8031-6d7c873327ea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24C809A9</paraID>
      <start>0</start>
      <end>3</end>
      <status>unmodified</status>
      <modifiedWord/>
      <trackRevisions>false</trackRevisions>
    </reviewItem>
    <reviewItem>
      <errorID>6304c1c6-9f5a-4ad0-9c19-e4baf78e1c43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4A3D521D</paraID>
      <start>0</start>
      <end>2</end>
      <status>unmodified</status>
      <modifiedWord/>
      <trackRevisions>false</trackRevisions>
    </reviewItem>
    <reviewItem>
      <errorID>c1550501-f608-41f1-bec8-4c6f0425605c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614653D4</paraID>
      <start>0</start>
      <end>2</end>
      <status>unmodified</status>
      <modifiedWord/>
      <trackRevisions>false</trackRevisions>
    </reviewItem>
    <reviewItem>
      <errorID>c244ade4-4132-4588-8c43-497a18df3bd2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245562D1</paraID>
      <start>0</start>
      <end>2</end>
      <status>unmodified</status>
      <modifiedWord/>
      <trackRevisions>false</trackRevisions>
    </reviewItem>
    <reviewItem>
      <errorID>a42b2150-86a2-4fe9-bc1e-e29e06790349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158A5240</paraID>
      <start>0</start>
      <end>2</end>
      <status>unmodified</status>
      <modifiedWord/>
      <trackRevisions>false</trackRevisions>
    </reviewItem>
    <reviewItem>
      <errorID>d32e5640-2dd5-4504-955b-a98d6f8aed97</errorID>
      <errorWord>目</errorWord>
      <group>L1_Word</group>
      <groupName>字词问题</groupName>
      <ability>L2_Typo</ability>
      <abilityName>字词错误</abilityName>
      <candidateList>
        <item>目将</item>
      </candidateList>
      <explain/>
      <paraID>2C2DFE99</paraID>
      <start>2</start>
      <end>3</end>
      <status>unmodified</status>
      <modifiedWord/>
      <trackRevisions>false</trackRevisions>
    </reviewItem>
    <reviewItem>
      <errorID>0744b3e7-35e5-4069-bd1d-5773f45657d3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7CEBEC13</paraID>
      <start>0</start>
      <end>2</end>
      <status>unmodified</status>
      <modifiedWord/>
      <trackRevisions>false</trackRevisions>
    </reviewItem>
    <reviewItem>
      <errorID>2fd5ddb9-9d2b-4f43-aa77-db1d4b375827</errorID>
      <errorWord>沉砂池</errorWord>
      <group>L1_Word</group>
      <groupName>字词问题</groupName>
      <ability>L2_Typo</ability>
      <abilityName>字词错误</abilityName>
      <candidateList>
        <item>沉沙池</item>
      </candidateList>
      <explain>存在发音相同字词的误用。</explain>
      <paraID>3577B3F7</paraID>
      <start>102</start>
      <end>105</end>
      <status>unmodified</status>
      <modifiedWord/>
      <trackRevisions>false</trackRevisions>
    </reviewItem>
    <reviewItem>
      <errorID>5aa55ea4-f4a2-46a0-9984-cfa1bf8640a4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A78F8FE</paraID>
      <start>0</start>
      <end>2</end>
      <status>unmodified</status>
      <modifiedWord/>
      <trackRevisions>false</trackRevisions>
    </reviewItem>
    <reviewItem>
      <errorID>6dbb1eec-3c1e-42f1-a99e-2af62a3c669e</errorID>
      <errorWord>其它道路</errorWord>
      <group>L1_Word</group>
      <groupName>字词问题</groupName>
      <ability>L2_Alias</ability>
      <abilityName>也作/曾用词</abilityName>
      <candidateList>
        <item>其他道路</item>
      </candidateList>
      <explain>词汇[其它道路]为不规范表述或旧称，其规范书面表述为[其他道路]。</explain>
      <paraID> AF8004D</paraID>
      <start>33</start>
      <end>37</end>
      <status>unmodified</status>
      <modifiedWord/>
      <trackRevisions>false</trackRevisions>
    </reviewItem>
    <reviewItem>
      <errorID>b0e913f2-69f8-4449-93ce-afea4951e881</errorID>
      <errorWord>与处理</errorWord>
      <group>L1_Word</group>
      <groupName>字词问题</groupName>
      <ability>L2_Typo</ability>
      <abilityName>字词错误</abilityName>
      <candidateList>
        <item>预处理</item>
      </candidateList>
      <explain/>
      <paraID>70E41099</paraID>
      <start>7</start>
      <end>10</end>
      <status>unmodified</status>
      <modifiedWord/>
      <trackRevisions>false</trackRevisions>
    </reviewItem>
    <reviewItem>
      <errorID>78e6e94f-fac1-4fd0-9e46-4c808f5392e7</errorID>
      <errorWord>陈</errorWord>
      <group>L1_Word</group>
      <groupName>字词问题</groupName>
      <ability>L2_Typo</ability>
      <abilityName>字词错误</abilityName>
      <candidateList>
        <item>车</item>
      </candidateList>
      <explain>存在发音相近字词的误用。</explain>
      <paraID>70E41099</paraID>
      <start>18</start>
      <end>19</end>
      <status>unmodified</status>
      <modifiedWord/>
      <trackRevisions>false</trackRevisions>
    </reviewItem>
    <reviewItem>
      <errorID>3d911f5f-c8a7-4fee-a5da-467d7755dc74</errorID>
      <errorWord>全</errorWord>
      <group>L1_Word</group>
      <groupName>字词问题</groupName>
      <ability>L2_Typo</ability>
      <abilityName>字词错误</abilityName>
      <candidateList>
        <item>全部</item>
      </candidateList>
      <explain/>
      <paraID>70E41099</paraID>
      <start>23</start>
      <end>24</end>
      <status>unmodified</status>
      <modifiedWord/>
      <trackRevisions>false</trackRevisions>
    </reviewItem>
    <reviewItem>
      <errorID>3dc1cf43-9e56-4387-8f72-d9e7513067ab</errorID>
      <errorWord>其它道路</errorWord>
      <group>L1_Word</group>
      <groupName>字词问题</groupName>
      <ability>L2_Alias</ability>
      <abilityName>也作/曾用词</abilityName>
      <candidateList>
        <item>其他道路</item>
      </candidateList>
      <explain>词汇[其它道路]为不规范表述或旧称，其规范书面表述为[其他道路]。</explain>
      <paraID>6CCB0DBB</paraID>
      <start>32</start>
      <end>36</end>
      <status>unmodified</status>
      <modifiedWord/>
      <trackRevisions>false</trackRevisions>
    </reviewItem>
    <reviewItem>
      <errorID>5ad0ab2f-943e-4742-908c-900050e640d3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89B1D03</paraID>
      <start>0</start>
      <end>2</end>
      <status>unmodified</status>
      <modifiedWord/>
      <trackRevisions>false</trackRevisions>
    </reviewItem>
    <reviewItem>
      <errorID>186a1945-22de-4be7-8fca-ba4382629e21</errorID>
      <errorWord>[2023]326号</errorWord>
      <group>L1_Knowledge</group>
      <groupName>知识性问题</groupName>
      <ability>L2_Knowledge</ability>
      <abilityName>其他知识</abilityName>
      <candidateList>
        <item>〔2023〕326号</item>
      </candidateList>
      <explain>发文字号格式错误。</explain>
      <paraID>41DDAD4A</paraID>
      <start>45</start>
      <end>55</end>
      <status>unmodified</status>
      <modifiedWord/>
      <trackRevisions>false</trackRevisions>
    </reviewItem>
    <reviewItem>
      <errorID>80d86ed7-bc24-462c-a991-430071ec22d7</errorID>
      <errorWord>中华人民共和国环境保护法</errorWord>
      <group>L1_Knowledge</group>
      <groupName>知识性问题</groupName>
      <ability>L2_Knowledge</ability>
      <abilityName>其他知识</abilityName>
      <candidateList/>
      <explain>当前法律法规未收录或尚未生效，注意核查是否正确。</explain>
      <paraID>6879F2D2</paraID>
      <start>3</start>
      <end>15</end>
      <status>unmodified</status>
      <modifiedWord/>
      <trackRevisions>false</trackRevisions>
    </reviewItem>
    <reviewItem>
      <errorID>c3105212-115d-4184-b2ad-3123980c8c43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6879F2D2</paraID>
      <start>15</start>
      <end>18</end>
      <status>unmodified</status>
      <modifiedWord/>
      <trackRevisions>false</trackRevisions>
    </reviewItem>
    <reviewItem>
      <errorID>f93d7e91-feff-414d-8086-7b25b14b039e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6879F2D2</paraID>
      <start>32</start>
      <end>35</end>
      <status>unmodified</status>
      <modifiedWord/>
      <trackRevisions>false</trackRevisions>
    </reviewItem>
    <reviewItem>
      <errorID>584bc7d5-5d55-4a6b-ad00-05bb4b78d276</errorID>
      <errorWord>-</errorWord>
      <group>L1_Format</group>
      <groupName>格式问题</groupName>
      <ability>L2_HalfPunc</ability>
      <abilityName>全半角检查</abilityName>
      <candidateList>
        <item>－</item>
      </candidateList>
      <explain>文本全半角错误。</explain>
      <paraID>6879F2D2</paraID>
      <start>152</start>
      <end>153</end>
      <status>unmodified</status>
      <modifiedWord/>
      <trackRevisions>false</trackRevisions>
    </reviewItem>
    <reviewItem>
      <errorID>7b705954-bdd7-4129-89cc-38aa6b189e04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462C2475</paraID>
      <start>0</start>
      <end>2</end>
      <status>unmodified</status>
      <modifiedWord/>
      <trackRevisions>false</trackRevisions>
    </reviewItem>
    <reviewItem>
      <errorID>903caef9-5a38-4866-8a3d-d065ec0a8549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432E5545</paraID>
      <start>0</start>
      <end>2</end>
      <status>unmodified</status>
      <modifiedWord/>
      <trackRevisions>false</trackRevisions>
    </reviewItem>
    <reviewItem>
      <errorID>7d430f50-8379-4da1-9647-e62391d953a9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5D83AAA7</paraID>
      <start>0</start>
      <end>2</end>
      <status>unmodified</status>
      <modifiedWord/>
      <trackRevisions>false</trackRevisions>
    </reviewItem>
    <reviewItem>
      <errorID>fdb4d54b-8a8f-46d3-8d6a-0efab228f11d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42CE1FCC</paraID>
      <start>0</start>
      <end>2</end>
      <status>unmodified</status>
      <modifiedWord/>
      <trackRevisions>false</trackRevisions>
    </reviewItem>
    <reviewItem>
      <errorID>509d9130-0db3-4709-a587-0c8ec5a067bf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3DC129BD</paraID>
      <start>7</start>
      <end>8</end>
      <status>unmodified</status>
      <modifiedWord/>
      <trackRevisions>false</trackRevisions>
    </reviewItem>
    <reviewItem>
      <errorID>8fcaa8ca-f688-4704-8919-d838303712ea</errorID>
      <errorWord>维护结构</errorWord>
      <group>L1_Word</group>
      <groupName>字词问题</groupName>
      <ability>L2_Typo</ability>
      <abilityName>字词错误</abilityName>
      <candidateList>
        <item>围护结构</item>
      </candidateList>
      <explain/>
      <paraID>72789D72</paraID>
      <start>9</start>
      <end>13</end>
      <status>unmodified</status>
      <modifiedWord/>
      <trackRevisions>false</trackRevisions>
    </reviewItem>
    <reviewItem>
      <errorID>391e973c-b67d-447e-8270-88bc91d20b84</errorID>
      <errorWord>维护结构</errorWord>
      <group>L1_Word</group>
      <groupName>字词问题</groupName>
      <ability>L2_Typo</ability>
      <abilityName>字词错误</abilityName>
      <candidateList>
        <item>围护结构</item>
      </candidateList>
      <explain/>
      <paraID>3F355164</paraID>
      <start>12</start>
      <end>16</end>
      <status>unmodified</status>
      <modifiedWord/>
      <trackRevisions>false</trackRevisions>
    </reviewItem>
    <reviewItem>
      <errorID>69aa724f-e609-4a5d-9dc1-683dd85776c2</errorID>
      <errorWord>维护结构</errorWord>
      <group>L1_Word</group>
      <groupName>字词问题</groupName>
      <ability>L2_Typo</ability>
      <abilityName>字词错误</abilityName>
      <candidateList>
        <item>围护结构</item>
      </candidateList>
      <explain/>
      <paraID> 239BED7</paraID>
      <start>9</start>
      <end>13</end>
      <status>unmodified</status>
      <modifiedWord/>
      <trackRevisions>false</trackRevisions>
    </reviewItem>
    <reviewItem>
      <errorID>e349b874-ebf3-4dce-b6d2-277317916d7b</errorID>
      <errorWord>维护结构</errorWord>
      <group>L1_Word</group>
      <groupName>字词问题</groupName>
      <ability>L2_Typo</ability>
      <abilityName>字词错误</abilityName>
      <candidateList>
        <item>围护结构</item>
      </candidateList>
      <explain/>
      <paraID>304628A8</paraID>
      <start>13</start>
      <end>17</end>
      <status>unmodified</status>
      <modifiedWord/>
      <trackRevisions>false</trackRevisions>
    </reviewItem>
    <reviewItem>
      <errorID>d4b1106f-976e-4984-b184-cf45e119743f</errorID>
      <errorWord>通过通过</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304628A8</paraID>
      <start>39</start>
      <end>43</end>
      <status>unmodified</status>
      <modifiedWord/>
      <trackRevisions>false</trackRevisions>
    </reviewItem>
    <reviewItem>
      <errorID>7981a25c-fff8-4cd4-8dc8-79f643cfdfa0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39583D33</paraID>
      <start>100</start>
      <end>101</end>
      <status>unmodified</status>
      <modifiedWord/>
      <trackRevisions>false</trackRevisions>
    </reviewItem>
    <reviewItem>
      <errorID>f9c780da-7878-4c33-8e98-50535f29fae3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1538AE45</paraID>
      <start>0</start>
      <end>2</end>
      <status>unmodified</status>
      <modifiedWord/>
      <trackRevisions>false</trackRevisions>
    </reviewItem>
    <reviewItem>
      <errorID>a3eef51e-48d3-4d2d-9a0e-6893d4ba1057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AF65A81</paraID>
      <start>0</start>
      <end>2</end>
      <status>unmodified</status>
      <modifiedWord/>
      <trackRevisions>false</trackRevisions>
    </reviewItem>
    <reviewItem>
      <errorID>4811554e-18a9-4e15-bc04-e40467960066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1864F5A7</paraID>
      <start>0</start>
      <end>2</end>
      <status>unmodified</status>
      <modifiedWord/>
      <trackRevisions>false</trackRevisions>
    </reviewItem>
    <reviewItem>
      <errorID>9312735d-7fa8-427f-a3f3-8735626c5eff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B5282E9</paraID>
      <start>0</start>
      <end>2</end>
      <status>unmodified</status>
      <modifiedWord/>
      <trackRevisions>false</trackRevisions>
    </reviewItem>
    <reviewItem>
      <errorID>742f690d-04c8-4d7d-886d-80373de85f54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4E4494C2</paraID>
      <start>0</start>
      <end>2</end>
      <status>unmodified</status>
      <modifiedWord/>
      <trackRevisions>false</trackRevisions>
    </reviewItem>
    <reviewItem>
      <errorID>8c3969bf-2104-46e2-8974-12b3fbe4fe6e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2AB691F</paraID>
      <start>0</start>
      <end>2</end>
      <status>unmodified</status>
      <modifiedWord/>
      <trackRevisions>false</trackRevisions>
    </reviewItem>
    <reviewItem>
      <errorID>45e40723-ca78-4574-9f01-8c7ff66eab37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28B6ED7F</paraID>
      <start>0</start>
      <end>2</end>
      <status>unmodified</status>
      <modifiedWord/>
      <trackRevisions>false</trackRevisions>
    </reviewItem>
    <reviewItem>
      <errorID>8ae43023-1731-4bed-b8c6-f1aa699de957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AB52C59</paraID>
      <start>8</start>
      <end>9</end>
      <status>unmodified</status>
      <modifiedWord/>
      <trackRevisions>false</trackRevisions>
    </reviewItem>
    <reviewItem>
      <errorID>c421d116-e84b-4c30-9aa9-82fc6a0a0120</errorID>
      <errorWord>水利分级机</errorWord>
      <group>L1_Knowledge</group>
      <groupName>知识性问题</groupName>
      <ability>L2_Term</ability>
      <abilityName>专业术语</abilityName>
      <candidateList>
        <item>水力分级机</item>
      </candidateList>
      <explain/>
      <paraID> 208E40B</paraID>
      <start>0</start>
      <end>5</end>
      <status>unmodified</status>
      <modifiedWord/>
      <trackRevisions>false</trackRevisions>
    </reviewItem>
    <reviewItem>
      <errorID>a6982d0b-e006-4f4a-a443-a4f3b10a1f31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4F2527CC</paraID>
      <start>0</start>
      <end>3</end>
      <status>unmodified</status>
      <modifiedWord/>
      <trackRevisions>false</trackRevisions>
    </reviewItem>
    <reviewItem>
      <errorID>2fb14a3f-ef88-4e5d-bc23-bae41daf0e8a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7B5B2618</paraID>
      <start>0</start>
      <end>2</end>
      <status>unmodified</status>
      <modifiedWord/>
      <trackRevisions>false</trackRevisions>
    </reviewItem>
    <reviewItem>
      <errorID>251d2822-b89e-4b47-be02-4efdfd258b35</errorID>
      <errorWord>程</errorWord>
      <group>L1_Word</group>
      <groupName>字词问题</groupName>
      <ability>L2_Typo</ability>
      <abilityName>字词错误</abilityName>
      <candidateList>
        <item>程中</item>
      </candidateList>
      <explain/>
      <paraID>4B66FCEA</paraID>
      <start>24</start>
      <end>25</end>
      <status>unmodified</status>
      <modifiedWord/>
      <trackRevisions>false</trackRevisions>
    </reviewItem>
    <reviewItem>
      <errorID>cfb09829-b9ad-4de6-a113-8e889a5a54ee</errorID>
      <errorWord>程</errorWord>
      <group>L1_Word</group>
      <groupName>字词问题</groupName>
      <ability>L2_Typo</ability>
      <abilityName>字词错误</abilityName>
      <candidateList>
        <item>程中</item>
      </candidateList>
      <explain/>
      <paraID> FBB38FB</paraID>
      <start>26</start>
      <end>27</end>
      <status>unmodified</status>
      <modifiedWord/>
      <trackRevisions>false</trackRevisions>
    </reviewItem>
    <reviewItem>
      <errorID>7ca2daa9-01bb-4685-9f6e-ed5b422c457a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17CD143</paraID>
      <start>0</start>
      <end>2</end>
      <status>unmodified</status>
      <modifiedWord/>
      <trackRevisions>false</trackRevisions>
    </reviewItem>
    <reviewItem>
      <errorID>22d3b482-2d0a-4812-8c6d-fe4e576188e5</errorID>
      <errorWord>作</errorWord>
      <group>L1_Word</group>
      <groupName>字词问题</groupName>
      <ability>L2_Typo</ability>
      <abilityName>字词错误</abilityName>
      <candidateList>
        <item>做</item>
      </candidateList>
      <explain>存在发音相同字词的误用。</explain>
      <paraID>20F2AF93</paraID>
      <start>10</start>
      <end>11</end>
      <status>unmodified</status>
      <modifiedWord/>
      <trackRevisions>false</trackRevisions>
    </reviewItem>
    <reviewItem>
      <errorID>bbd51bb2-ed54-403b-bb4c-a71906282511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5FDCCC22</paraID>
      <start>0</start>
      <end>2</end>
      <status>unmodified</status>
      <modifiedWord/>
      <trackRevisions>false</trackRevisions>
    </reviewItem>
    <reviewItem>
      <errorID>1887b88b-6e60-4629-a7c8-767238f65e74</errorID>
      <errorWord>[2020]3号</errorWord>
      <group>L1_Knowledge</group>
      <groupName>知识性问题</groupName>
      <ability>L2_Knowledge</ability>
      <abilityName>其他知识</abilityName>
      <candidateList>
        <item>〔2020〕3号</item>
      </candidateList>
      <explain>发文字号格式错误。</explain>
      <paraID>648ECD7A</paraID>
      <start>75</start>
      <end>83</end>
      <status>unmodified</status>
      <modifiedWord/>
      <trackRevisions>false</trackRevisions>
    </reviewItem>
    <reviewItem>
      <errorID>404c8da5-f960-48ad-8c6d-a7f0a16b419b</errorID>
      <errorWord>2025年01月21日</errorWord>
      <group>L1_Knowledge</group>
      <groupName>知识性问题</groupName>
      <ability>L2_Time</ability>
      <abilityName>日期时间</abilityName>
      <candidateList>
        <item>2025年1月21日</item>
      </candidateList>
      <explain>根据日常书写习惯，月份一般会省略前导零。</explain>
      <paraID> DD97ECE</paraID>
      <start>13</start>
      <end>24</end>
      <status>unmodified</status>
      <modifiedWord/>
      <trackRevisions>false</trackRevisions>
    </reviewItem>
    <reviewItem>
      <errorID>b621f33f-d799-4403-863e-cf1b884ed5e9</errorID>
      <errorWord>2025年01月21日</errorWord>
      <group>L1_Knowledge</group>
      <groupName>知识性问题</groupName>
      <ability>L2_Time</ability>
      <abilityName>日期时间</abilityName>
      <candidateList>
        <item>2025年1月21日</item>
      </candidateList>
      <explain>根据日常书写习惯，月份一般会省略前导零。</explain>
      <paraID> DD97ECE</paraID>
      <start>70</start>
      <end>81</end>
      <status>unmodified</status>
      <modifiedWord/>
      <trackRevisions>false</trackRevisions>
    </reviewItem>
    <reviewItem>
      <errorID>a249ce3b-7e14-4d70-9e19-3403297f0293</errorID>
      <errorWord>2030年01月20日</errorWord>
      <group>L1_Knowledge</group>
      <groupName>知识性问题</groupName>
      <ability>L2_Time</ability>
      <abilityName>日期时间</abilityName>
      <candidateList>
        <item>2030年1月20日</item>
      </candidateList>
      <explain>根据日常书写习惯，月份一般会省略前导零。</explain>
      <paraID> DD97ECE</paraID>
      <start>82</start>
      <end>93</end>
      <status>unmodified</status>
      <modifiedWord/>
      <trackRevisions>false</trackRevisions>
    </reviewItem>
    <reviewItem>
      <errorID>f94215e7-00db-43a4-b87a-01ab5f81ad5c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538C2119</paraID>
      <start>0</start>
      <end>2</end>
      <status>unmodified</status>
      <modifiedWord/>
      <trackRevisions>false</trackRevisions>
    </reviewItem>
    <reviewItem>
      <errorID>cf8993d4-48f6-4432-bbc8-05410dc3e90a</errorID>
      <errorWord>[2023]0053号</errorWord>
      <group>L1_Knowledge</group>
      <groupName>知识性问题</groupName>
      <ability>L2_Knowledge</ability>
      <abilityName>其他知识</abilityName>
      <candidateList>
        <item>〔2023〕53号</item>
      </candidateList>
      <explain>发文字号格式错误。</explain>
      <paraID>74C803EB</paraID>
      <start>33</start>
      <end>44</end>
      <status>unmodified</status>
      <modifiedWord/>
      <trackRevisions>false</trackRevisions>
    </reviewItem>
    <reviewItem>
      <errorID>0ba9c918-d8c3-417c-aec9-2790bc50b15c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4860A07F</paraID>
      <start>38</start>
      <end>39</end>
      <status>unmodified</status>
      <modifiedWord/>
      <trackRevisions>false</trackRevisions>
    </reviewItem>
    <reviewItem>
      <errorID>2839c43a-2227-4e7e-8ab5-4d6d741a2bd3</errorID>
      <errorWord>"</errorWord>
      <group>L1_Format</group>
      <groupName>格式问题</groupName>
      <ability>L2_HalfPunc</ability>
      <abilityName>全半角检查</abilityName>
      <candidateList>
        <item>”</item>
      </candidateList>
      <explain>文本全半角错误。</explain>
      <paraID>4860A07F</paraID>
      <start>45</start>
      <end>46</end>
      <status>unmodified</status>
      <modifiedWord/>
      <trackRevisions>false</trackRevisions>
    </reviewItem>
    <reviewItem>
      <errorID>325daa58-fb7e-4b8b-bde3-dffabfdf500b</errorID>
      <errorWord>鄂式破碎机</errorWord>
      <group>L1_Word</group>
      <groupName>字词问题</groupName>
      <ability>L2_Typo</ability>
      <abilityName>字词错误</abilityName>
      <candidateList>
        <item>颚式破碎机</item>
      </candidateList>
      <explain/>
      <paraID>65AE2F36</paraID>
      <start>0</start>
      <end>5</end>
      <status>unmodified</status>
      <modifiedWord/>
      <trackRevisions>false</trackRevisions>
    </reviewItem>
    <reviewItem>
      <errorID>c78a8fb3-c9c2-4e6e-b8ba-fa8f7b8cd63e</errorID>
      <errorWord>[2023]0053号</errorWord>
      <group>L1_Knowledge</group>
      <groupName>知识性问题</groupName>
      <ability>L2_Knowledge</ability>
      <abilityName>其他知识</abilityName>
      <candidateList>
        <item>〔2023〕53号</item>
      </candidateList>
      <explain>发文字号格式错误。</explain>
      <paraID>65AE2F36</paraID>
      <start>93</start>
      <end>104</end>
      <status>unmodified</status>
      <modifiedWord/>
      <trackRevisions>false</trackRevisions>
    </reviewItem>
    <reviewItem>
      <errorID>687ec041-aee0-4e7f-b420-f05f2ab1ebc7</errorID>
      <errorWord>[2023]0053号</errorWord>
      <group>L1_Knowledge</group>
      <groupName>知识性问题</groupName>
      <ability>L2_Knowledge</ability>
      <abilityName>其他知识</abilityName>
      <candidateList>
        <item>〔2023〕53号</item>
      </candidateList>
      <explain>发文字号格式错误。</explain>
      <paraID>65AE2F36</paraID>
      <start>342</start>
      <end>353</end>
      <status>unmodified</status>
      <modifiedWord/>
      <trackRevisions>false</trackRevisions>
    </reviewItem>
    <reviewItem>
      <errorID>3a06a643-7439-49c2-b735-49c6d341ea7a</errorID>
      <errorWord>[2023]0053号</errorWord>
      <group>L1_Knowledge</group>
      <groupName>知识性问题</groupName>
      <ability>L2_Knowledge</ability>
      <abilityName>其他知识</abilityName>
      <candidateList>
        <item>〔2023〕53号</item>
      </candidateList>
      <explain>发文字号格式错误。</explain>
      <paraID>6D805CB3</paraID>
      <start>33</start>
      <end>44</end>
      <status>unmodified</status>
      <modifiedWord/>
      <trackRevisions>false</trackRevisions>
    </reviewItem>
    <reviewItem>
      <errorID>11e6df61-d782-404f-b4d8-dc3528e705f6</errorID>
      <errorWord>（</errorWord>
      <group>L1_Punc</group>
      <groupName>标点问题</groupName>
      <ability>L2_Punc</ability>
      <abilityName>标点符号检查</abilityName>
      <candidateList/>
      <explain>同一形式括号套用。</explain>
      <paraID>60908802</paraID>
      <start>10</start>
      <end>11</end>
      <status>unmodified</status>
      <modifiedWord/>
      <trackRevisions>false</trackRevisions>
    </reviewItem>
    <reviewItem>
      <errorID>e45a1654-26f0-41c7-9ae0-3e9a56f5cd6b</errorID>
      <errorWord>）</errorWord>
      <group>L1_Punc</group>
      <groupName>标点问题</groupName>
      <ability>L2_Punc</ability>
      <abilityName>标点符号检查</abilityName>
      <candidateList/>
      <explain>同一形式括号套用。</explain>
      <paraID>60908802</paraID>
      <start>12</start>
      <end>13</end>
      <status>unmodified</status>
      <modifiedWord/>
      <trackRevisions>false</trackRevisions>
    </reviewItem>
    <reviewItem>
      <errorID>6118b7e3-cd02-454b-821f-718a94bbdf07</errorID>
      <errorWord>（</errorWord>
      <group>L1_Punc</group>
      <groupName>标点问题</groupName>
      <ability>L2_Punc</ability>
      <abilityName>标点符号检查</abilityName>
      <candidateList/>
      <explain>同一形式括号套用。</explain>
      <paraID>238E3A7C</paraID>
      <start>10</start>
      <end>11</end>
      <status>unmodified</status>
      <modifiedWord/>
      <trackRevisions>false</trackRevisions>
    </reviewItem>
    <reviewItem>
      <errorID>97874a7a-1fb9-438e-be47-0d6ade3d2abf</errorID>
      <errorWord>）</errorWord>
      <group>L1_Punc</group>
      <groupName>标点问题</groupName>
      <ability>L2_Punc</ability>
      <abilityName>标点符号检查</abilityName>
      <candidateList/>
      <explain>同一形式括号套用。</explain>
      <paraID>238E3A7C</paraID>
      <start>12</start>
      <end>13</end>
      <status>unmodified</status>
      <modifiedWord/>
      <trackRevisions>false</trackRevisions>
    </reviewItem>
    <reviewItem>
      <errorID>e54d3bcb-d2b9-486a-a417-716d4c59334d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F201602</paraID>
      <start>0</start>
      <end>2</end>
      <status>unmodified</status>
      <modifiedWord/>
      <trackRevisions>false</trackRevisions>
    </reviewItem>
    <reviewItem>
      <errorID>bd2260f8-4a2d-4121-ac1f-010c0efee060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2CECE5A5</paraID>
      <start>0</start>
      <end>2</end>
      <status>unmodified</status>
      <modifiedWord/>
      <trackRevisions>false</trackRevisions>
    </reviewItem>
    <reviewItem>
      <errorID>710e5e60-b206-41a3-870c-5ca85b7442cc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369E5434</paraID>
      <start>0</start>
      <end>2</end>
      <status>unmodified</status>
      <modifiedWord/>
      <trackRevisions>false</trackRevisions>
    </reviewItem>
    <reviewItem>
      <errorID>d9c73a40-bebf-499e-95dd-8c5674365eb7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63338F81</paraID>
      <start>0</start>
      <end>2</end>
      <status>unmodified</status>
      <modifiedWord/>
      <trackRevisions>false</trackRevisions>
    </reviewItem>
    <reviewItem>
      <errorID>cdb7c644-6188-43dc-b300-859e1a96255f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15691BCE</paraID>
      <start>34</start>
      <end>35</end>
      <status>unmodified</status>
      <modifiedWord/>
      <trackRevisions>false</trackRevisions>
    </reviewItem>
    <reviewItem>
      <errorID>0a14ce0e-0c5c-4ef8-aa8f-89b4e0a8e248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39AB1DCF</paraID>
      <start>38</start>
      <end>39</end>
      <status>unmodified</status>
      <modifiedWord/>
      <trackRevisions>false</trackRevisions>
    </reviewItem>
    <reviewItem>
      <errorID>699784db-4f76-4a21-b7f8-b7c61572db01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39AB1DCF</paraID>
      <start>89</start>
      <end>90</end>
      <status>unmodified</status>
      <modifiedWord/>
      <trackRevisions>false</trackRevisions>
    </reviewItem>
    <reviewItem>
      <errorID>43cc1ac4-a8ce-4176-baa6-3a1fdd3eb6ec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44AB659E</paraID>
      <start>0</start>
      <end>2</end>
      <status>unmodified</status>
      <modifiedWord/>
      <trackRevisions>false</trackRevisions>
    </reviewItem>
    <reviewItem>
      <errorID>21bf0951-c5b6-4348-a49f-d0af1d7610b9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2F7C96CF</paraID>
      <start>57</start>
      <end>58</end>
      <status>unmodified</status>
      <modifiedWord/>
      <trackRevisions>false</trackRevisions>
    </reviewItem>
    <reviewItem>
      <errorID>836397af-10e3-4f59-8ef9-8a33de8b0e2a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7662BE9</paraID>
      <start>0</start>
      <end>2</end>
      <status>unmodified</status>
      <modifiedWord/>
      <trackRevisions>false</trackRevisions>
    </reviewItem>
    <reviewItem>
      <errorID>772fca7c-0317-4ee3-ba56-01e17a95fe93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674CD689</paraID>
      <start>0</start>
      <end>2</end>
      <status>unmodified</status>
      <modifiedWord/>
      <trackRevisions>false</trackRevisions>
    </reviewItem>
    <reviewItem>
      <errorID>2fd79a1b-0618-47cf-88cf-0303d9b2c548</errorID>
      <errorWord>》（试行）</errorWord>
      <group>L1_Word</group>
      <groupName>字词问题</groupName>
      <ability>L2_Typo</ability>
      <abilityName>字词错误</abilityName>
      <candidateList>
        <item>（试行）》</item>
      </candidateList>
      <explain/>
      <paraID>3A68366F</paraID>
      <start>50</start>
      <end>55</end>
      <status>unmodified</status>
      <modifiedWord/>
      <trackRevisions>false</trackRevisions>
    </reviewItem>
    <reviewItem>
      <errorID>0c80e3b7-861e-4e03-8244-fade872b42ad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6A8D76FC</paraID>
      <start>0</start>
      <end>2</end>
      <status>unmodified</status>
      <modifiedWord/>
      <trackRevisions>false</trackRevisions>
    </reviewItem>
    <reviewItem>
      <errorID>c5f8431c-a05a-4b35-8d51-b5576032cd11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295A041</paraID>
      <start>0</start>
      <end>2</end>
      <status>unmodified</status>
      <modifiedWord/>
      <trackRevisions>false</trackRevisions>
    </reviewItem>
    <reviewItem>
      <errorID>7785494c-3de0-4b73-8af2-2ea88b515974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48670B4</paraID>
      <start>0</start>
      <end>2</end>
      <status>unmodified</status>
      <modifiedWord/>
      <trackRevisions>false</trackRevisions>
    </reviewItem>
    <reviewItem>
      <errorID>2c40c542-8683-46c2-8830-d71f199b5064</errorID>
      <errorWord>风景名称区</errorWord>
      <group>L1_Knowledge</group>
      <groupName>知识性问题</groupName>
      <ability>L2_Term</ability>
      <abilityName>专业术语</abilityName>
      <candidateList>
        <item>风景名胜区</item>
      </candidateList>
      <explain/>
      <paraID>785D9F25</paraID>
      <start>20</start>
      <end>25</end>
      <status>unmodified</status>
      <modifiedWord/>
      <trackRevisions>false</trackRevisions>
    </reviewItem>
    <reviewItem>
      <errorID>fa022deb-9f9d-44e5-b8b5-6543784f2c4e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49FEE548</paraID>
      <start>0</start>
      <end>2</end>
      <status>unmodified</status>
      <modifiedWord/>
      <trackRevisions>false</trackRevisions>
    </reviewItem>
    <reviewItem>
      <errorID>45dfef08-e189-429f-9f16-0a5930144de8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707AF1A</paraID>
      <start>0</start>
      <end>2</end>
      <status>unmodified</status>
      <modifiedWord/>
      <trackRevisions>false</trackRevisions>
    </reviewItem>
    <reviewItem>
      <errorID>24661190-7a31-4ed9-8903-a84ff3bfec4d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491A652D</paraID>
      <start>0</start>
      <end>2</end>
      <status>unmodified</status>
      <modifiedWord/>
      <trackRevisions>false</trackRevisions>
    </reviewItem>
    <reviewItem>
      <errorID>bd6224ce-cbaa-4dd2-b161-cfb83ab109ab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3B0A067D</paraID>
      <start>0</start>
      <end>2</end>
      <status>unmodified</status>
      <modifiedWord/>
      <trackRevisions>false</trackRevisions>
    </reviewItem>
    <reviewItem>
      <errorID>d3c541bf-720b-4a58-a395-a095634c2e35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41E14689</paraID>
      <start>78</start>
      <end>79</end>
      <status>unmodified</status>
      <modifiedWord/>
      <trackRevisions>false</trackRevisions>
    </reviewItem>
    <reviewItem>
      <errorID>ee5a597a-aca0-46c7-b0e2-1f8bf86ca53d</errorID>
      <errorWord>[2018]123号</errorWord>
      <group>L1_Knowledge</group>
      <groupName>知识性问题</groupName>
      <ability>L2_Knowledge</ability>
      <abilityName>其他知识</abilityName>
      <candidateList>
        <item>〔2018〕123号</item>
      </candidateList>
      <explain>发文字号格式错误。</explain>
      <paraID>41E14689</paraID>
      <start>91</start>
      <end>101</end>
      <status>unmodified</status>
      <modifiedWord/>
      <trackRevisions>false</trackRevisions>
    </reviewItem>
    <reviewItem>
      <errorID>10161c8f-4bcf-479d-a8e9-d00bb18249ce</errorID>
      <errorWord>&lt;</errorWord>
      <group>L1_Format</group>
      <groupName>格式问题</groupName>
      <ability>L2_HalfPunc</ability>
      <abilityName>全半角检查</abilityName>
      <candidateList>
        <item>〈</item>
      </candidateList>
      <explain>文本全半角错误。</explain>
      <paraID>48B8B3BD</paraID>
      <start>7</start>
      <end>8</end>
      <status>unmodified</status>
      <modifiedWord/>
      <trackRevisions>false</trackRevisions>
    </reviewItem>
    <reviewItem>
      <errorID>ca18b531-2cc9-443f-8e4a-ced016b4fc9f</errorID>
      <errorWord>&gt;的通知》</errorWord>
      <group>L1_Punc</group>
      <groupName>标点问题</groupName>
      <ability>L2_Punc</ability>
      <abilityName>标点符号检查</abilityName>
      <candidateList>
        <item>〉的通知》</item>
      </candidateList>
      <explain/>
      <paraID>48B8B3BD</paraID>
      <start>32</start>
      <end>37</end>
      <status>unmodified</status>
      <modifiedWord/>
      <trackRevisions>false</trackRevisions>
    </reviewItem>
    <reviewItem>
      <errorID>f90fae93-38ed-4ca2-8218-502880f1f9cb</errorID>
      <errorWord>[2014]197号</errorWord>
      <group>L1_Knowledge</group>
      <groupName>知识性问题</groupName>
      <ability>L2_Knowledge</ability>
      <abilityName>其他知识</abilityName>
      <candidateList>
        <item>〔2014〕197号</item>
      </candidateList>
      <explain>发文字号格式错误。</explain>
      <paraID>48B8B3BD</paraID>
      <start>40</start>
      <end>50</end>
      <status>unmodified</status>
      <modifiedWord/>
      <trackRevisions>false</trackRevisions>
    </reviewItem>
    <reviewItem>
      <errorID>56325109-73b5-44e2-81b4-7db6c6847e31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952F18F</paraID>
      <start>0</start>
      <end>2</end>
      <status>unmodified</status>
      <modifiedWord/>
      <trackRevisions>false</trackRevisions>
    </reviewItem>
    <reviewItem>
      <errorID>eca8d92a-45f6-4212-b2d0-77970a66f50c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1B8F55DD</paraID>
      <start>0</start>
      <end>2</end>
      <status>unmodified</status>
      <modifiedWord/>
      <trackRevisions>false</trackRevisions>
    </reviewItem>
    <reviewItem>
      <errorID>4bc5cedd-b63a-4d19-8f9d-4f21032d3f05</errorID>
      <errorWord>：</errorWord>
      <group>L1_Format</group>
      <groupName>格式问题</groupName>
      <ability>L2_HalfPunc</ability>
      <abilityName>全半角检查</abilityName>
      <candidateList>
        <item>:</item>
      </candidateList>
      <explain>文本全半角错误。</explain>
      <paraID>29B03913</paraID>
      <start>28</start>
      <end>29</end>
      <status>unmodified</status>
      <modifiedWord/>
      <trackRevisions>false</trackRevisions>
    </reviewItem>
    <reviewItem>
      <errorID>24b651e8-f132-4e07-8c12-652c0abe35f8</errorID>
      <errorWord>长笛</errorWord>
      <group>L1_Word</group>
      <groupName>字词问题</groupName>
      <ability>L2_Typo</ability>
      <abilityName>字词错误</abilityName>
      <candidateList>
        <item>场地</item>
      </candidateList>
      <explain/>
      <paraID>7C2379C8</paraID>
      <start>11</start>
      <end>13</end>
      <status>unmodified</status>
      <modifiedWord/>
      <trackRevisions>false</trackRevisions>
    </reviewItem>
    <reviewItem>
      <errorID>d39d1b29-bfbf-4dd5-984c-44b36dbb40be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167B2EBF</paraID>
      <start>0</start>
      <end>2</end>
      <status>unmodified</status>
      <modifiedWord/>
      <trackRevisions>false</trackRevisions>
    </reviewItem>
    <reviewItem>
      <errorID>76a92280-ca03-4e0b-aafc-9708b5a51ed9</errorID>
      <errorWord>[2020]第1号</errorWord>
      <group>L1_Knowledge</group>
      <groupName>知识性问题</groupName>
      <ability>L2_Knowledge</ability>
      <abilityName>其他知识</abilityName>
      <candidateList>
        <item>〔2020〕1号</item>
      </candidateList>
      <explain>发文字号格式错误。</explain>
      <paraID>167B2EBF</paraID>
      <start>28</start>
      <end>37</end>
      <status>unmodified</status>
      <modifiedWord/>
      <trackRevisions>false</trackRevisions>
    </reviewItem>
    <reviewItem>
      <errorID>4e7d140d-7d29-4d52-8d4a-a0f07abb879b</errorID>
      <errorWord>《</errorWord>
      <group>L1_Punc</group>
      <groupName>标点问题</groupName>
      <ability>L2_Punc</ability>
      <abilityName>标点符号检查</abilityName>
      <candidateList/>
      <explain>同一形式括号套用。</explain>
      <paraID>167B2EBF</paraID>
      <start>103</start>
      <end>104</end>
      <status>unmodified</status>
      <modifiedWord/>
      <trackRevisions>false</trackRevisions>
    </reviewItem>
    <reviewItem>
      <errorID>62b857ab-772f-4502-af1e-0e00c581b2b9</errorID>
      <errorWord>》</errorWord>
      <group>L1_Punc</group>
      <groupName>标点问题</groupName>
      <ability>L2_Punc</ability>
      <abilityName>标点符号检查</abilityName>
      <candidateList/>
      <explain>同一形式括号套用。</explain>
      <paraID>167B2EBF</paraID>
      <start>127</start>
      <end>128</end>
      <status>unmodified</status>
      <modifiedWord/>
      <trackRevisions>false</trackRevisions>
    </reviewItem>
    <reviewItem>
      <errorID>02ce9f3e-a25c-4f56-b69e-8088ea2d2ff2</errorID>
      <errorWord>[2021]37号</errorWord>
      <group>L1_Knowledge</group>
      <groupName>知识性问题</groupName>
      <ability>L2_Knowledge</ability>
      <abilityName>其他知识</abilityName>
      <candidateList>
        <item>〔2021〕37号</item>
      </candidateList>
      <explain>发文字号格式错误。</explain>
      <paraID>167B2EBF</paraID>
      <start>173</start>
      <end>182</end>
      <status>unmodified</status>
      <modifiedWord/>
      <trackRevisions>false</trackRevisions>
    </reviewItem>
    <reviewItem>
      <errorID>01cefd3a-0bcc-4d33-8b69-36386e2235ac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76F4C62C</paraID>
      <start>0</start>
      <end>2</end>
      <status>unmodified</status>
      <modifiedWord/>
      <trackRevisions>false</trackRevisions>
    </reviewItem>
    <reviewItem>
      <errorID>a89f2dd0-cf0e-485d-a7a6-c5650a0207ef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86D90E8</paraID>
      <start>0</start>
      <end>2</end>
      <status>unmodified</status>
      <modifiedWord/>
      <trackRevisions>false</trackRevisions>
    </reviewItem>
    <reviewItem>
      <errorID>fefb0df7-8272-43b9-a63b-2ba67a3bef93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77509F1E</paraID>
      <start>0</start>
      <end>2</end>
      <status>unmodified</status>
      <modifiedWord/>
      <trackRevisions>false</trackRevisions>
    </reviewItem>
    <reviewItem>
      <errorID>27f024b3-cb14-429f-ae27-d95fee6dd93e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4D757D3F</paraID>
      <start>0</start>
      <end>2</end>
      <status>unmodified</status>
      <modifiedWord/>
      <trackRevisions>false</trackRevisions>
    </reviewItem>
    <reviewItem>
      <errorID>e20c4f0b-9429-4753-9413-f08b690f696d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EEDF04F</paraID>
      <start>0</start>
      <end>2</end>
      <status>unmodified</status>
      <modifiedWord/>
      <trackRevisions>false</trackRevisions>
    </reviewItem>
    <reviewItem>
      <errorID>893c36ec-941b-4361-9b9f-1fb0b9f6da1c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472C73DC</paraID>
      <start>0</start>
      <end>2</end>
      <status>unmodified</status>
      <modifiedWord/>
      <trackRevisions>false</trackRevisions>
    </reviewItem>
    <reviewItem>
      <errorID>d53d0f62-c530-4f7f-90c9-4538d83c2dfc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73EDD3FB</paraID>
      <start>0</start>
      <end>2</end>
      <status>unmodified</status>
      <modifiedWord/>
      <trackRevisions>false</trackRevisions>
    </reviewItem>
    <reviewItem>
      <errorID>9e905542-a01b-4985-a1d5-243022c42bfd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1CBF8862</paraID>
      <start>0</start>
      <end>2</end>
      <status>unmodified</status>
      <modifiedWord/>
      <trackRevisions>false</trackRevisions>
    </reviewItem>
    <reviewItem>
      <errorID>c5c1726b-0860-4108-8286-b10130089d67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1A289BF0</paraID>
      <start>0</start>
      <end>3</end>
      <status>unmodified</status>
      <modifiedWord/>
      <trackRevisions>false</trackRevisions>
    </reviewItem>
    <reviewItem>
      <errorID>2285988f-b5d2-4b65-be41-4f16c4e59c65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400AA36B</paraID>
      <start>0</start>
      <end>3</end>
      <status>unmodified</status>
      <modifiedWord/>
      <trackRevisions>false</trackRevisions>
    </reviewItem>
    <reviewItem>
      <errorID>4052d39f-8cbe-43ec-abef-582e0cd1d0f2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47023309</paraID>
      <start>0</start>
      <end>3</end>
      <status>unmodified</status>
      <modifiedWord/>
      <trackRevisions>false</trackRevisions>
    </reviewItem>
    <reviewItem>
      <errorID>13379053-bcef-4bf3-a60f-8d510815a3b4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7F727F22</paraID>
      <start>0</start>
      <end>3</end>
      <status>unmodified</status>
      <modifiedWord/>
      <trackRevisions>false</trackRevisions>
    </reviewItem>
    <reviewItem>
      <errorID>2d83fe5a-5361-457d-852c-cf6904aacb50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7B596BFD</paraID>
      <start>0</start>
      <end>3</end>
      <status>unmodified</status>
      <modifiedWord/>
      <trackRevisions>false</trackRevisions>
    </reviewItem>
    <reviewItem>
      <errorID>8d0ffe1d-6c70-4c9d-bf2e-0c75190856de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4EA8816F</paraID>
      <start>0</start>
      <end>3</end>
      <status>unmodified</status>
      <modifiedWord/>
      <trackRevisions>false</trackRevisions>
    </reviewItem>
    <reviewItem>
      <errorID>87d3915e-bb93-4728-9e7a-7ef84043c83f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5F4196F1</paraID>
      <start>0</start>
      <end>3</end>
      <status>unmodified</status>
      <modifiedWord/>
      <trackRevisions>false</trackRevisions>
    </reviewItem>
    <reviewItem>
      <errorID>904a2f14-2f83-4793-a7cf-5b4b5a7cc425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1B4064A8</paraID>
      <start>0</start>
      <end>3</end>
      <status>unmodified</status>
      <modifiedWord/>
      <trackRevisions>false</trackRevisions>
    </reviewItem>
    <reviewItem>
      <errorID>e90a9014-7bf7-4bec-958e-406a85283de9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601A95A9</paraID>
      <start>0</start>
      <end>3</end>
      <status>unmodified</status>
      <modifiedWord/>
      <trackRevisions>false</trackRevisions>
    </reviewItem>
    <reviewItem>
      <errorID>14c6d028-b854-400b-8d8f-7116eb1b6407</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305CDCF8</paraID>
      <start>0</start>
      <end>3</end>
      <status>unmodified</status>
      <modifiedWord/>
      <trackRevisions>false</trackRevisions>
    </reviewItem>
    <reviewItem>
      <errorID>feb0c216-81e5-49a3-9332-1689fd16afe1</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F9B3887</paraID>
      <start>0</start>
      <end>3</end>
      <status>unmodified</status>
      <modifiedWord/>
      <trackRevisions>false</trackRevisions>
    </reviewItem>
    <reviewItem>
      <errorID>50360a6e-7f69-4c3b-9562-24394be0691c</errorID>
      <errorWord>其它</errorWord>
      <group>L1_Word</group>
      <groupName>字词问题</groupName>
      <ability>L2_Alias</ability>
      <abilityName>也作/曾用词</abilityName>
      <candidateList>
        <item>其他</item>
      </candidateList>
      <explain>词汇[其它]为不规范表述或旧称，其规范书面表述为[其他]。</explain>
      <paraID>10DB3885</paraID>
      <start>141</start>
      <end>143</end>
      <status>unmodified</status>
      <modifiedWord/>
      <trackRevisions>false</trackRevisions>
    </reviewItem>
    <reviewItem>
      <errorID>92140c53-266f-4263-8112-04f08f484d59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7D4E207A</paraID>
      <start>11</start>
      <end>12</end>
      <status>unmodified</status>
      <modifiedWord/>
      <trackRevisions>false</trackRevisions>
    </reviewItem>
    <reviewItem>
      <errorID>792b7641-3bd6-47fb-babc-d59c91d22859</errorID>
      <errorWord>（</errorWord>
      <group>L1_Punc</group>
      <groupName>标点问题</groupName>
      <ability>L2_Punc</ability>
      <abilityName>标点符号检查</abilityName>
      <candidateList/>
      <explain>同一形式括号套用。</explain>
      <paraID>7D4E207A</paraID>
      <start>93</start>
      <end>94</end>
      <status>unmodified</status>
      <modifiedWord/>
      <trackRevisions>false</trackRevisions>
    </reviewItem>
    <reviewItem>
      <errorID>7e5a8c38-eb3a-4452-9004-7497c32224e2</errorID>
      <errorWord>）</errorWord>
      <group>L1_Punc</group>
      <groupName>标点问题</groupName>
      <ability>L2_Punc</ability>
      <abilityName>标点符号检查</abilityName>
      <candidateList/>
      <explain>同一形式括号套用。</explain>
      <paraID>7D4E207A</paraID>
      <start>97</start>
      <end>98</end>
      <status>unmodified</status>
      <modifiedWord/>
      <trackRevisions>false</trackRevisions>
    </reviewItem>
    <reviewItem>
      <errorID>cd56645a-d0f1-4268-ba3a-caab7faad221</errorID>
      <errorWord>（</errorWord>
      <group>L1_Punc</group>
      <groupName>标点问题</groupName>
      <ability>L2_Punc</ability>
      <abilityName>标点符号检查</abilityName>
      <candidateList/>
      <explain>同一形式括号套用。</explain>
      <paraID>628D7BCF</paraID>
      <start>78</start>
      <end>79</end>
      <status>unmodified</status>
      <modifiedWord/>
      <trackRevisions>false</trackRevisions>
    </reviewItem>
    <reviewItem>
      <errorID>95aacd8a-b2ab-469a-92cd-d09826ad56f1</errorID>
      <errorWord>）</errorWord>
      <group>L1_Punc</group>
      <groupName>标点问题</groupName>
      <ability>L2_Punc</ability>
      <abilityName>标点符号检查</abilityName>
      <candidateList/>
      <explain>同一形式括号套用。</explain>
      <paraID>628D7BCF</paraID>
      <start>80</start>
      <end>81</end>
      <status>unmodified</status>
      <modifiedWord/>
      <trackRevisions>false</trackRevisions>
    </reviewItem>
    <reviewItem>
      <errorID>c7e5e3fc-5546-42c2-b364-26e5816399f6</errorID>
      <errorWord>（</errorWord>
      <group>L1_Punc</group>
      <groupName>标点问题</groupName>
      <ability>L2_Punc</ability>
      <abilityName>标点符号检查</abilityName>
      <candidateList/>
      <explain>同一形式括号套用。</explain>
      <paraID>628D7BCF</paraID>
      <start>86</start>
      <end>87</end>
      <status>unmodified</status>
      <modifiedWord/>
      <trackRevisions>false</trackRevisions>
    </reviewItem>
    <reviewItem>
      <errorID>bde8b8d3-18cc-4df0-a976-b92f2a1f5ada</errorID>
      <errorWord>）</errorWord>
      <group>L1_Punc</group>
      <groupName>标点问题</groupName>
      <ability>L2_Punc</ability>
      <abilityName>标点符号检查</abilityName>
      <candidateList/>
      <explain>同一形式括号套用。</explain>
      <paraID>628D7BCF</paraID>
      <start>88</start>
      <end>89</end>
      <status>unmodified</status>
      <modifiedWord/>
      <trackRevisions>false</trackRevisions>
    </reviewItem>
    <reviewItem>
      <errorID>a210ffcd-bcd6-4af2-acd5-a5b7b42492a2</errorID>
      <errorWord>度</errorWord>
      <group>L1_Word</group>
      <groupName>字词问题</groupName>
      <ability>L2_Typo</ability>
      <abilityName>字词错误</abilityName>
      <candidateList>
        <item>度地</item>
      </candidateList>
      <explain/>
      <paraID>628D7BCF</paraID>
      <start>126</start>
      <end>127</end>
      <status>unmodified</status>
      <modifiedWord/>
      <trackRevisions>false</trackRevisions>
    </reviewItem>
    <reviewItem>
      <errorID>013146bd-6c1c-4b2b-b8be-de4a5fd421f2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377DE503</paraID>
      <start>56</start>
      <end>57</end>
      <status>unmodified</status>
      <modifiedWord/>
      <trackRevisions>false</trackRevisions>
    </reviewItem>
    <reviewItem>
      <errorID>9a9eec30-3ae4-45c1-ade2-fc9ca5b986bb</errorID>
      <errorWord>下角料</errorWord>
      <group>L1_Word</group>
      <groupName>字词问题</groupName>
      <ability>L2_Typo</ability>
      <abilityName>字词错误</abilityName>
      <candidateList>
        <item>下脚料</item>
      </candidateList>
      <explain/>
      <paraID>35C52D0D</paraID>
      <start>11</start>
      <end>14</end>
      <status>unmodified</status>
      <modifiedWord/>
      <trackRevisions>false</trackRevisions>
    </reviewItem>
    <reviewItem>
      <errorID>ac6c307a-2f62-4860-9d0f-a6dffdd2ad19</errorID>
      <errorWord>对于其它</errorWord>
      <group>L1_Word</group>
      <groupName>字词问题</groupName>
      <ability>L2_Alias</ability>
      <abilityName>也作/曾用词</abilityName>
      <candidateList>
        <item>对于其他</item>
      </candidateList>
      <explain>词汇[对于其它]为不规范表述或旧称，其规范书面表述为[对于其他]。</explain>
      <paraID>35C52D0D</paraID>
      <start>23</start>
      <end>27</end>
      <status>unmodified</status>
      <modifiedWord/>
      <trackRevisions>false</trackRevisions>
    </reviewItem>
    <reviewItem>
      <errorID>6cb5d924-a3ec-4317-b506-41dc9a81a7be</errorID>
      <errorWord>程</errorWord>
      <group>L1_Word</group>
      <groupName>字词问题</groupName>
      <ability>L2_Typo</ability>
      <abilityName>字词错误</abilityName>
      <candidateList>
        <item>程中</item>
      </candidateList>
      <explain/>
      <paraID>44F2E7F5</paraID>
      <start>3</start>
      <end>4</end>
      <status>unmodified</status>
      <modifiedWord/>
      <trackRevisions>false</trackRevisions>
    </reviewItem>
    <reviewItem>
      <errorID>a7224f1e-a73c-4e62-96c9-995fefb687fd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44F2E7F5</paraID>
      <start>55</start>
      <end>56</end>
      <status>unmodified</status>
      <modifiedWord/>
      <trackRevisions>false</trackRevisions>
    </reviewItem>
    <reviewItem>
      <errorID>8612b8eb-153d-473a-a313-44d0fdf8a01a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599668B5</paraID>
      <start>0</start>
      <end>2</end>
      <status>unmodified</status>
      <modifiedWord/>
      <trackRevisions>false</trackRevisions>
    </reviewItem>
    <reviewItem>
      <errorID>d91591a8-e739-4ccb-b3d0-87272d63b32d</errorID>
      <errorWord>土渣</errorWord>
      <group>L1_Word</group>
      <groupName>字词问题</groupName>
      <ability>L2_Typo</ability>
      <abilityName>字词错误</abilityName>
      <candidateList>
        <item>渣土</item>
      </candidateList>
      <explain/>
      <paraID>52838269</paraID>
      <start>63</start>
      <end>65</end>
      <status>unmodified</status>
      <modifiedWord/>
      <trackRevisions>false</trackRevisions>
    </reviewItem>
    <reviewItem>
      <errorID>ffcdede6-b316-495c-8296-584e75ff1537</errorID>
      <errorWord>-</errorWord>
      <group>L1_Format</group>
      <groupName>格式问题</groupName>
      <ability>L2_HalfPunc</ability>
      <abilityName>全半角检查</abilityName>
      <candidateList>
        <item>－</item>
      </candidateList>
      <explain>文本全半角错误。</explain>
      <paraID>66D26134</paraID>
      <start>86</start>
      <end>87</end>
      <status>unmodified</status>
      <modifiedWord/>
      <trackRevisions>false</trackRevisions>
    </reviewItem>
    <reviewItem>
      <errorID>54cbc15b-debf-45c7-a5b3-945046f88f23</errorID>
      <errorWord>土渣</errorWord>
      <group>L1_Word</group>
      <groupName>字词问题</groupName>
      <ability>L2_Typo</ability>
      <abilityName>字词错误</abilityName>
      <candidateList>
        <item>渣土</item>
      </candidateList>
      <explain/>
      <paraID>6C8D1341</paraID>
      <start>75</start>
      <end>77</end>
      <status>unmodified</status>
      <modifiedWord/>
      <trackRevisions>false</trackRevisions>
    </reviewItem>
    <reviewItem>
      <errorID>1af1679b-a187-41af-90c5-3c0571154451</errorID>
      <errorWord>场</errorWord>
      <group>L1_Word</group>
      <groupName>字词问题</groupName>
      <ability>L2_Typo</ability>
      <abilityName>字词错误</abilityName>
      <candidateList>
        <item>扬</item>
      </candidateList>
      <explain/>
      <paraID>48921705</paraID>
      <start>17</start>
      <end>18</end>
      <status>unmodified</status>
      <modifiedWord/>
      <trackRevisions>false</trackRevisions>
    </reviewItem>
    <reviewItem>
      <errorID>66e0cfb8-2b23-4e09-a257-81270b11ffde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4077FD65</paraID>
      <start>0</start>
      <end>2</end>
      <status>unmodified</status>
      <modifiedWord/>
      <trackRevisions>false</trackRevisions>
    </reviewItem>
    <reviewItem>
      <errorID>72cddb11-3154-4141-9ab2-7402e31cbb85</errorID>
      <errorWord>a/</errorWord>
      <group>L1_Format</group>
      <groupName>格式问题</groupName>
      <ability>L2_Ordinal</ability>
      <abilityName>序号格式</abilityName>
      <candidateList>
        <item>a.</item>
      </candidateList>
      <explain>当前序号格式不规范，建议修改为规范格式[a.]。</explain>
      <paraID>25BAD6A7</paraID>
      <start>0</start>
      <end>2</end>
      <status>unmodified</status>
      <modifiedWord/>
      <trackRevisions>false</trackRevisions>
    </reviewItem>
    <reviewItem>
      <errorID>569277fe-a1ed-4b5e-bf95-254c6af7a4b2</errorID>
      <errorWord>（</errorWord>
      <group>L1_Format</group>
      <groupName>格式问题</groupName>
      <ability>L2_HalfPunc</ability>
      <abilityName>全半角检查</abilityName>
      <candidateList>
        <item>(</item>
      </candidateList>
      <explain>文本全半角错误。</explain>
      <paraID>25BAD6A7</paraID>
      <start>3</start>
      <end>4</end>
      <status>unmodified</status>
      <modifiedWord/>
      <trackRevisions>false</trackRevisions>
    </reviewItem>
    <reviewItem>
      <errorID>155469ae-c2e5-4ed9-808d-da9a118a3699</errorID>
      <errorWord>）</errorWord>
      <group>L1_Format</group>
      <groupName>格式问题</groupName>
      <ability>L2_HalfPunc</ability>
      <abilityName>全半角检查</abilityName>
      <candidateList>
        <item>)</item>
      </candidateList>
      <explain>文本全半角错误。</explain>
      <paraID>25BAD6A7</paraID>
      <start>8</start>
      <end>9</end>
      <status>unmodified</status>
      <modifiedWord/>
      <trackRevisions>false</trackRevisions>
    </reviewItem>
    <reviewItem>
      <errorID>f45b24fe-0ac1-4511-9a1e-22257ac287b5</errorID>
      <errorWord>（</errorWord>
      <group>L1_Format</group>
      <groupName>格式问题</groupName>
      <ability>L2_HalfPunc</ability>
      <abilityName>全半角检查</abilityName>
      <candidateList>
        <item>(</item>
      </candidateList>
      <explain>文本全半角错误。</explain>
      <paraID>5325E95B</paraID>
      <start>1</start>
      <end>2</end>
      <status>unmodified</status>
      <modifiedWord/>
      <trackRevisions>false</trackRevisions>
    </reviewItem>
    <reviewItem>
      <errorID>75321b1c-a378-475a-8074-8b3bd3baf9f2</errorID>
      <errorWord>）</errorWord>
      <group>L1_Format</group>
      <groupName>格式问题</groupName>
      <ability>L2_HalfPunc</ability>
      <abilityName>全半角检查</abilityName>
      <candidateList>
        <item>)</item>
      </candidateList>
      <explain>文本全半角错误。</explain>
      <paraID>5325E95B</paraID>
      <start>4</start>
      <end>5</end>
      <status>unmodified</status>
      <modifiedWord/>
      <trackRevisions>false</trackRevisions>
    </reviewItem>
    <reviewItem>
      <errorID>336d03e9-4567-443d-8773-cff1c7c26144</errorID>
      <errorWord>（</errorWord>
      <group>L1_Format</group>
      <groupName>格式问题</groupName>
      <ability>L2_HalfPunc</ability>
      <abilityName>全半角检查</abilityName>
      <candidateList>
        <item>(</item>
      </candidateList>
      <explain>文本全半角错误。</explain>
      <paraID>2F3D7120</paraID>
      <start>1</start>
      <end>2</end>
      <status>unmodified</status>
      <modifiedWord/>
      <trackRevisions>false</trackRevisions>
    </reviewItem>
    <reviewItem>
      <errorID>7bdd9e54-2828-4555-91b2-6887d89ba874</errorID>
      <errorWord>）</errorWord>
      <group>L1_Format</group>
      <groupName>格式问题</groupName>
      <ability>L2_HalfPunc</ability>
      <abilityName>全半角检查</abilityName>
      <candidateList>
        <item>)</item>
      </candidateList>
      <explain>文本全半角错误。</explain>
      <paraID>2F3D7120</paraID>
      <start>5</start>
      <end>6</end>
      <status>unmodified</status>
      <modifiedWord/>
      <trackRevisions>false</trackRevisions>
    </reviewItem>
    <reviewItem>
      <errorID>f297bf7e-e37a-4e83-b47f-ba3cde73ac6f</errorID>
      <errorWord>程</errorWord>
      <group>L1_Word</group>
      <groupName>字词问题</groupName>
      <ability>L2_Typo</ability>
      <abilityName>字词错误</abilityName>
      <candidateList>
        <item>程中</item>
      </candidateList>
      <explain/>
      <paraID>7ED4BACA</paraID>
      <start>12</start>
      <end>13</end>
      <status>unmodified</status>
      <modifiedWord/>
      <trackRevisions>false</trackRevisions>
    </reviewItem>
    <reviewItem>
      <errorID>6db61796-4130-45b9-90dd-632061c9c1ed</errorID>
      <errorWord>程</errorWord>
      <group>L1_Word</group>
      <groupName>字词问题</groupName>
      <ability>L2_Typo</ability>
      <abilityName>字词错误</abilityName>
      <candidateList>
        <item>程中</item>
      </candidateList>
      <explain/>
      <paraID>5145429D</paraID>
      <start>8</start>
      <end>9</end>
      <status>unmodified</status>
      <modifiedWord/>
      <trackRevisions>false</trackRevisions>
    </reviewItem>
    <reviewItem>
      <errorID>15b10e62-5fbb-49f9-b1c5-54fbbdfcbfdf</errorID>
      <errorWord>（</errorWord>
      <group>L1_Format</group>
      <groupName>格式问题</groupName>
      <ability>L2_HalfPunc</ability>
      <abilityName>全半角检查</abilityName>
      <candidateList>
        <item>(</item>
      </candidateList>
      <explain>文本全半角错误。</explain>
      <paraID>7989D02C</paraID>
      <start>5</start>
      <end>6</end>
      <status>unmodified</status>
      <modifiedWord/>
      <trackRevisions>false</trackRevisions>
    </reviewItem>
    <reviewItem>
      <errorID>52af9966-9113-4de9-9742-f3756b1f5b15</errorID>
      <errorWord>）</errorWord>
      <group>L1_Format</group>
      <groupName>格式问题</groupName>
      <ability>L2_HalfPunc</ability>
      <abilityName>全半角检查</abilityName>
      <candidateList>
        <item>)</item>
      </candidateList>
      <explain>文本全半角错误。</explain>
      <paraID>7989D02C</paraID>
      <start>10</start>
      <end>11</end>
      <status>unmodified</status>
      <modifiedWord/>
      <trackRevisions>false</trackRevisions>
    </reviewItem>
    <reviewItem>
      <errorID>4de38fdb-9102-458e-8df8-30867f329d19</errorID>
      <errorWord>（</errorWord>
      <group>L1_Format</group>
      <groupName>格式问题</groupName>
      <ability>L2_HalfPunc</ability>
      <abilityName>全半角检查</abilityName>
      <candidateList>
        <item>(</item>
      </candidateList>
      <explain>文本全半角错误。</explain>
      <paraID>7989D02C</paraID>
      <start>12</start>
      <end>13</end>
      <status>unmodified</status>
      <modifiedWord/>
      <trackRevisions>false</trackRevisions>
    </reviewItem>
    <reviewItem>
      <errorID>0a581c03-8ba5-44dd-b8d9-95ad202956f6</errorID>
      <errorWord>）</errorWord>
      <group>L1_Format</group>
      <groupName>格式问题</groupName>
      <ability>L2_HalfPunc</ability>
      <abilityName>全半角检查</abilityName>
      <candidateList>
        <item>)</item>
      </candidateList>
      <explain>文本全半角错误。</explain>
      <paraID>7989D02C</paraID>
      <start>17</start>
      <end>18</end>
      <status>unmodified</status>
      <modifiedWord/>
      <trackRevisions>false</trackRevisions>
    </reviewItem>
    <reviewItem>
      <errorID>c04c624c-dcc9-418c-8853-c2b665046547</errorID>
      <errorWord>（</errorWord>
      <group>L1_Format</group>
      <groupName>格式问题</groupName>
      <ability>L2_HalfPunc</ability>
      <abilityName>全半角检查</abilityName>
      <candidateList>
        <item>(</item>
      </candidateList>
      <explain>文本全半角错误。</explain>
      <paraID>60A3454B</paraID>
      <start>1</start>
      <end>2</end>
      <status>unmodified</status>
      <modifiedWord/>
      <trackRevisions>false</trackRevisions>
    </reviewItem>
    <reviewItem>
      <errorID>5c9049af-1337-407a-9161-1340b07b8c00</errorID>
      <errorWord>）</errorWord>
      <group>L1_Format</group>
      <groupName>格式问题</groupName>
      <ability>L2_HalfPunc</ability>
      <abilityName>全半角检查</abilityName>
      <candidateList>
        <item>)</item>
      </candidateList>
      <explain>文本全半角错误。</explain>
      <paraID>60A3454B</paraID>
      <start>5</start>
      <end>6</end>
      <status>unmodified</status>
      <modifiedWord/>
      <trackRevisions>false</trackRevisions>
    </reviewItem>
    <reviewItem>
      <errorID>80b7a7ec-aeb3-46fc-a6f4-c937c5cd892a</errorID>
      <errorWord>（</errorWord>
      <group>L1_Format</group>
      <groupName>格式问题</groupName>
      <ability>L2_HalfPunc</ability>
      <abilityName>全半角检查</abilityName>
      <candidateList>
        <item>(</item>
      </candidateList>
      <explain>文本全半角错误。</explain>
      <paraID>4ADA6A2A</paraID>
      <start>2</start>
      <end>3</end>
      <status>unmodified</status>
      <modifiedWord/>
      <trackRevisions>false</trackRevisions>
    </reviewItem>
    <reviewItem>
      <errorID>7f4188d4-a398-4521-902e-663bee877c99</errorID>
      <errorWord>）</errorWord>
      <group>L1_Format</group>
      <groupName>格式问题</groupName>
      <ability>L2_HalfPunc</ability>
      <abilityName>全半角检查</abilityName>
      <candidateList>
        <item>)</item>
      </candidateList>
      <explain>文本全半角错误。</explain>
      <paraID>4ADA6A2A</paraID>
      <start>4</start>
      <end>5</end>
      <status>unmodified</status>
      <modifiedWord/>
      <trackRevisions>false</trackRevisions>
    </reviewItem>
    <reviewItem>
      <errorID>32351dcf-37b3-4287-aa4a-b9e9b48de216</errorID>
      <errorWord>（</errorWord>
      <group>L1_Format</group>
      <groupName>格式问题</groupName>
      <ability>L2_HalfPunc</ability>
      <abilityName>全半角检查</abilityName>
      <candidateList>
        <item>(</item>
      </candidateList>
      <explain>文本全半角错误。</explain>
      <paraID>40602D57</paraID>
      <start>2</start>
      <end>3</end>
      <status>unmodified</status>
      <modifiedWord/>
      <trackRevisions>false</trackRevisions>
    </reviewItem>
    <reviewItem>
      <errorID>40032ac9-b412-470b-a5d3-8b099f7c06d8</errorID>
      <errorWord>）</errorWord>
      <group>L1_Format</group>
      <groupName>格式问题</groupName>
      <ability>L2_HalfPunc</ability>
      <abilityName>全半角检查</abilityName>
      <candidateList>
        <item>)</item>
      </candidateList>
      <explain>文本全半角错误。</explain>
      <paraID>40602D57</paraID>
      <start>4</start>
      <end>5</end>
      <status>unmodified</status>
      <modifiedWord/>
      <trackRevisions>false</trackRevisions>
    </reviewItem>
    <reviewItem>
      <errorID>e50e2c5f-31e5-4862-b4b3-80ad3603eac6</errorID>
      <errorWord>（</errorWord>
      <group>L1_Format</group>
      <groupName>格式问题</groupName>
      <ability>L2_HalfPunc</ability>
      <abilityName>全半角检查</abilityName>
      <candidateList>
        <item>(</item>
      </candidateList>
      <explain>文本全半角错误。</explain>
      <paraID>1275AD8C</paraID>
      <start>2</start>
      <end>3</end>
      <status>unmodified</status>
      <modifiedWord/>
      <trackRevisions>false</trackRevisions>
    </reviewItem>
    <reviewItem>
      <errorID>2c90798e-2eca-41b0-bd2c-ab65774639f6</errorID>
      <errorWord>）</errorWord>
      <group>L1_Format</group>
      <groupName>格式问题</groupName>
      <ability>L2_HalfPunc</ability>
      <abilityName>全半角检查</abilityName>
      <candidateList>
        <item>)</item>
      </candidateList>
      <explain>文本全半角错误。</explain>
      <paraID>1275AD8C</paraID>
      <start>6</start>
      <end>7</end>
      <status>unmodified</status>
      <modifiedWord/>
      <trackRevisions>false</trackRevisions>
    </reviewItem>
    <reviewItem>
      <errorID>1e71f0de-64e7-4223-a0c5-8c4d5e3ff2e7</errorID>
      <errorWord>程</errorWord>
      <group>L1_Word</group>
      <groupName>字词问题</groupName>
      <ability>L2_Typo</ability>
      <abilityName>字词错误</abilityName>
      <candidateList>
        <item>程中</item>
      </candidateList>
      <explain/>
      <paraID>4DB44C0E</paraID>
      <start>12</start>
      <end>13</end>
      <status>unmodified</status>
      <modifiedWord/>
      <trackRevisions>false</trackRevisions>
    </reviewItem>
    <reviewItem>
      <errorID>290f8a8d-05f7-4ef6-bf43-dfed27630c7d</errorID>
      <errorWord>程</errorWord>
      <group>L1_Word</group>
      <groupName>字词问题</groupName>
      <ability>L2_Typo</ability>
      <abilityName>字词错误</abilityName>
      <candidateList>
        <item>程中</item>
      </candidateList>
      <explain/>
      <paraID>3460CC7D</paraID>
      <start>8</start>
      <end>9</end>
      <status>unmodified</status>
      <modifiedWord/>
      <trackRevisions>false</trackRevisions>
    </reviewItem>
    <reviewItem>
      <errorID>05d7085d-afb6-49ab-bad4-15ce1dad92bd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2DC8A0D1</paraID>
      <start>198</start>
      <end>199</end>
      <status>unmodified</status>
      <modifiedWord/>
      <trackRevisions>false</trackRevisions>
    </reviewItem>
    <reviewItem>
      <errorID>e41d5a1f-1028-4065-a913-831c06e47b63</errorID>
      <errorWord>根据根据</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223F9A32</paraID>
      <start>35</start>
      <end>39</end>
      <status>unmodified</status>
      <modifiedWord/>
      <trackRevisions>false</trackRevisions>
    </reviewItem>
    <reviewItem>
      <errorID>6ae30faf-abe1-476c-826e-eacf75d728b1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53E0DE0C</paraID>
      <start>22</start>
      <end>23</end>
      <status>unmodified</status>
      <modifiedWord/>
      <trackRevisions>false</trackRevisions>
    </reviewItem>
    <reviewItem>
      <errorID>dcde3509-eb39-43e0-b138-3b5e49183cd0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53E0DE0C</paraID>
      <start>38</start>
      <end>39</end>
      <status>unmodified</status>
      <modifiedWord/>
      <trackRevisions>false</trackRevisions>
    </reviewItem>
    <reviewItem>
      <errorID>2a665c00-2eba-4c80-a767-724f7db7c158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53E0DE0C</paraID>
      <start>54</start>
      <end>55</end>
      <status>unmodified</status>
      <modifiedWord/>
      <trackRevisions>false</trackRevisions>
    </reviewItem>
    <reviewItem>
      <errorID>516753af-899a-4a2b-ae59-75daf2f09782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53E0DE0C</paraID>
      <start>69</start>
      <end>70</end>
      <status>unmodified</status>
      <modifiedWord/>
      <trackRevisions>false</trackRevisions>
    </reviewItem>
    <reviewItem>
      <errorID>2d5e63ac-2654-4707-9e74-3dca85f5fd28</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C7FACFC</paraID>
      <start>43</start>
      <end>50</end>
      <status>unmodified</status>
      <modifiedWord/>
      <trackRevisions>false</trackRevisions>
    </reviewItem>
    <reviewItem>
      <errorID>0927e3c8-521a-4fba-8024-9687bb10d569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2914CD9C</paraID>
      <start>0</start>
      <end>2</end>
      <status>unmodified</status>
      <modifiedWord/>
      <trackRevisions>false</trackRevisions>
    </reviewItem>
    <reviewItem>
      <errorID>bebb3a87-ce74-4c5a-85b9-ed72f7e19b34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797DA415</paraID>
      <start>0</start>
      <end>2</end>
      <status>unmodified</status>
      <modifiedWord/>
      <trackRevisions>false</trackRevisions>
    </reviewItem>
    <reviewItem>
      <errorID>6a5dd08c-6aee-417d-bc44-6975d5f555eb</errorID>
      <errorWord>维护结构</errorWord>
      <group>L1_Word</group>
      <groupName>字词问题</groupName>
      <ability>L2_Typo</ability>
      <abilityName>字词错误</abilityName>
      <candidateList>
        <item>围护结构</item>
      </candidateList>
      <explain>存在发音相同字词的误用。</explain>
      <paraID> A02F937</paraID>
      <start>98</start>
      <end>102</end>
      <status>unmodified</status>
      <modifiedWord/>
      <trackRevisions>false</trackRevisions>
    </reviewItem>
    <reviewItem>
      <errorID>5602e8c5-bd59-40b3-8954-597f14398312</errorID>
      <errorWord>II</errorWord>
      <group>L1_Knowledge</group>
      <groupName>知识性问题</groupName>
      <ability>L2_Knowledge</ability>
      <abilityName>其他知识</abilityName>
      <candidateList>
        <item>Ⅱ</item>
      </candidateList>
      <explain/>
      <paraID>3093823C</paraID>
      <start>31</start>
      <end>33</end>
      <status>unmodified</status>
      <modifiedWord/>
      <trackRevisions>false</trackRevisions>
    </reviewItem>
    <reviewItem>
      <errorID>96b2e9f7-2565-4127-80b2-644a32716d94</errorID>
      <errorWord>、</errorWord>
      <group>L1_Punc</group>
      <groupName>标点问题</groupName>
      <ability>L2_Punc</ability>
      <abilityName>标点符号检查</abilityName>
      <candidateList>
        <item>.</item>
      </candidateList>
      <explain/>
      <paraID>493A7C81</paraID>
      <start>32</start>
      <end>33</end>
      <status>unmodified</status>
      <modifiedWord/>
      <trackRevisions>false</trackRevisions>
    </reviewItem>
    <reviewItem>
      <errorID>723d15c8-076b-44d5-b3e7-a3b432480256</errorID>
      <errorWord>II</errorWord>
      <group>L1_Knowledge</group>
      <groupName>知识性问题</groupName>
      <ability>L2_Knowledge</ability>
      <abilityName>其他知识</abilityName>
      <candidateList>
        <item>Ⅱ</item>
      </candidateList>
      <explain/>
      <paraID>70A5465A</paraID>
      <start>31</start>
      <end>33</end>
      <status>unmodified</status>
      <modifiedWord/>
      <trackRevisions>false</trackRevisions>
    </reviewItem>
    <reviewItem>
      <errorID>dd105e63-ff14-4b3a-bfcb-aea089fc5624</errorID>
      <errorWord>III</errorWord>
      <group>L1_Knowledge</group>
      <groupName>知识性问题</groupName>
      <ability>L2_Knowledge</ability>
      <abilityName>其他知识</abilityName>
      <candidateList>
        <item>Ⅲ</item>
      </candidateList>
      <explain/>
      <paraID>2DA58082</paraID>
      <start>31</start>
      <end>34</end>
      <status>unmodified</status>
      <modifiedWord/>
      <trackRevisions>false</trackRevisions>
    </reviewItem>
    <reviewItem>
      <errorID>08167393-33f4-451b-8930-c557b82b9cd7</errorID>
      <errorWord>IV</errorWord>
      <group>L1_Knowledge</group>
      <groupName>知识性问题</groupName>
      <ability>L2_Knowledge</ability>
      <abilityName>其他知识</abilityName>
      <candidateList>
        <item>Ⅳ</item>
      </candidateList>
      <explain/>
      <paraID>13E8F869</paraID>
      <start>31</start>
      <end>33</end>
      <status>unmodified</status>
      <modifiedWord/>
      <trackRevisions>false</trackRevisions>
    </reviewItem>
    <reviewItem>
      <errorID>f09b81e7-65be-498b-b88c-eddcd92bde51</errorID>
      <errorWord>到</errorWord>
      <group>L1_Word</group>
      <groupName>字词问题</groupName>
      <ability>L2_Typo</ability>
      <abilityName>字词错误</abilityName>
      <candidateList>
        <item>对</item>
      </candidateList>
      <explain>存在字形相近字词的误用。</explain>
      <paraID>6497309D</paraID>
      <start>119</start>
      <end>120</end>
      <status>unmodified</status>
      <modifiedWord/>
      <trackRevisions>false</trackRevisions>
    </reviewItem>
    <reviewItem>
      <errorID>dd6d253d-d1f9-4ea2-be7e-a94645e9dd35</errorID>
      <errorWord>（</errorWord>
      <group>L1_Format</group>
      <groupName>格式问题</groupName>
      <ability>L2_HalfPunc</ability>
      <abilityName>全半角检查</abilityName>
      <candidateList>
        <item>(</item>
      </candidateList>
      <explain>文本全半角错误。</explain>
      <paraID>78379407</paraID>
      <start>2</start>
      <end>3</end>
      <status>unmodified</status>
      <modifiedWord/>
      <trackRevisions>false</trackRevisions>
    </reviewItem>
    <reviewItem>
      <errorID>a8a59b81-f8cf-4c12-9a8a-2372c5c395c6</errorID>
      <errorWord>）</errorWord>
      <group>L1_Format</group>
      <groupName>格式问题</groupName>
      <ability>L2_HalfPunc</ability>
      <abilityName>全半角检查</abilityName>
      <candidateList>
        <item>)</item>
      </candidateList>
      <explain>文本全半角错误。</explain>
      <paraID>78379407</paraID>
      <start>4</start>
      <end>5</end>
      <status>unmodified</status>
      <modifiedWord/>
      <trackRevisions>false</trackRevisions>
    </reviewItem>
    <reviewItem>
      <errorID>ec27cef0-29dc-46ed-a5a7-1831d5cd38ba</errorID>
      <errorWord>（</errorWord>
      <group>L1_Format</group>
      <groupName>格式问题</groupName>
      <ability>L2_HalfPunc</ability>
      <abilityName>全半角检查</abilityName>
      <candidateList>
        <item>(</item>
      </candidateList>
      <explain>文本全半角错误。</explain>
      <paraID>6A2328E9</paraID>
      <start>2</start>
      <end>3</end>
      <status>unmodified</status>
      <modifiedWord/>
      <trackRevisions>false</trackRevisions>
    </reviewItem>
    <reviewItem>
      <errorID>83a44cec-ebe3-4b3d-8721-887e65438298</errorID>
      <errorWord>）</errorWord>
      <group>L1_Format</group>
      <groupName>格式问题</groupName>
      <ability>L2_HalfPunc</ability>
      <abilityName>全半角检查</abilityName>
      <candidateList>
        <item>)</item>
      </candidateList>
      <explain>文本全半角错误。</explain>
      <paraID>6A2328E9</paraID>
      <start>4</start>
      <end>5</end>
      <status>unmodified</status>
      <modifiedWord/>
      <trackRevisions>false</trackRevisions>
    </reviewItem>
    <reviewItem>
      <errorID>95a8b203-b876-483e-8f1a-ab723f4eeb5f</errorID>
      <errorWord>（</errorWord>
      <group>L1_Format</group>
      <groupName>格式问题</groupName>
      <ability>L2_HalfPunc</ability>
      <abilityName>全半角检查</abilityName>
      <candidateList>
        <item>(</item>
      </candidateList>
      <explain>文本全半角错误。</explain>
      <paraID> 8C07626</paraID>
      <start>2</start>
      <end>3</end>
      <status>unmodified</status>
      <modifiedWord/>
      <trackRevisions>false</trackRevisions>
    </reviewItem>
    <reviewItem>
      <errorID>c07bbc8a-ae7b-4e41-b931-7bac94e50d77</errorID>
      <errorWord>）</errorWord>
      <group>L1_Format</group>
      <groupName>格式问题</groupName>
      <ability>L2_HalfPunc</ability>
      <abilityName>全半角检查</abilityName>
      <candidateList>
        <item>)</item>
      </candidateList>
      <explain>文本全半角错误。</explain>
      <paraID> 8C07626</paraID>
      <start>4</start>
      <end>5</end>
      <status>unmodified</status>
      <modifiedWord/>
      <trackRevisions>false</trackRevisions>
    </reviewItem>
    <reviewItem>
      <errorID>af727cca-2e72-4d99-9764-a89986f2b977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5372D3F5</paraID>
      <start>0</start>
      <end>2</end>
      <status>unmodified</status>
      <modifiedWord/>
      <trackRevisions>false</trackRevisions>
    </reviewItem>
    <reviewItem>
      <errorID>a35c5303-84d3-435f-8626-0c8fb306c9ec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3A1B9BF4</paraID>
      <start>0</start>
      <end>2</end>
      <status>unmodified</status>
      <modifiedWord/>
      <trackRevisions>false</trackRevisions>
    </reviewItem>
    <reviewItem>
      <errorID>333e0b72-5832-4f0e-9d6f-8a314da97a90</errorID>
      <errorWord>作</errorWord>
      <group>L1_Word</group>
      <groupName>字词问题</groupName>
      <ability>L2_Typo</ability>
      <abilityName>字词错误</abilityName>
      <candidateList>
        <item>做</item>
      </candidateList>
      <explain>存在发音相同字词的误用。</explain>
      <paraID>4E67CD02</paraID>
      <start>10</start>
      <end>11</end>
      <status>unmodified</status>
      <modifiedWord/>
      <trackRevisions>false</trackRevisions>
    </reviewItem>
    <reviewItem>
      <errorID>d5a279e5-0af3-42f5-ba96-6b1b78929113</errorID>
      <errorWord>面</errorWord>
      <group>L1_Word</group>
      <groupName>字词问题</groupName>
      <ability>L2_Typo</ability>
      <abilityName>字词错误</abilityName>
      <candidateList>
        <item>面积</item>
      </candidateList>
      <explain>〈名〉平面或物体表面的大小：土地～｜建筑～。</explain>
      <paraID>54CA87DE</paraID>
      <start>63</start>
      <end>64</end>
      <status>unmodified</status>
      <modifiedWord/>
      <trackRevisions>false</trackRevisions>
    </reviewItem>
    <reviewItem>
      <errorID>e1ef7c38-f128-48b3-973f-d70f27c48783</errorID>
      <errorWord>，</errorWord>
      <group>L1_Format</group>
      <groupName>格式问题</groupName>
      <ability>L2_HalfPunc</ability>
      <abilityName>全半角检查</abilityName>
      <candidateList>
        <item>, </item>
      </candidateList>
      <explain>文本全半角错误。</explain>
      <paraID>4E6AFFCD</paraID>
      <start>1</start>
      <end>2</end>
      <status>unmodified</status>
      <modifiedWord/>
      <trackRevisions>false</trackRevisions>
    </reviewItem>
    <reviewItem>
      <errorID>ef0ca143-ef5b-4958-9846-b319d29904a2</errorID>
      <errorWord>，</errorWord>
      <group>L1_Format</group>
      <groupName>格式问题</groupName>
      <ability>L2_HalfPunc</ability>
      <abilityName>全半角检查</abilityName>
      <candidateList>
        <item>, </item>
      </candidateList>
      <explain>文本全半角错误。</explain>
      <paraID>2C26BFF1</paraID>
      <start>1</start>
      <end>2</end>
      <status>unmodified</status>
      <modifiedWord/>
      <trackRevisions>false</trackRevisions>
    </reviewItem>
    <reviewItem>
      <errorID>909f7dcb-5f42-4f3a-bc21-8e06a210e564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42E28750</paraID>
      <start>125</start>
      <end>126</end>
      <status>unmodified</status>
      <modifiedWord/>
      <trackRevisions>false</trackRevisions>
    </reviewItem>
    <reviewItem>
      <errorID>c9af34a5-763d-416b-a452-b718e99a5e28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42E28750</paraID>
      <start>164</start>
      <end>165</end>
      <status>unmodified</status>
      <modifiedWord/>
      <trackRevisions>false</trackRevisions>
    </reviewItem>
    <reviewItem>
      <errorID>ac1599a7-81a3-40a5-b7df-dabe1986eb42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1F9CA684</paraID>
      <start>50</start>
      <end>51</end>
      <status>unmodified</status>
      <modifiedWord/>
      <trackRevisions>false</trackRevisions>
    </reviewItem>
    <reviewItem>
      <errorID>a503184c-faef-4529-92e1-1ab8ac846960</errorID>
      <errorWord>、</errorWord>
      <group>L1_Punc</group>
      <groupName>标点问题</groupName>
      <ability>L2_Punc</ability>
      <abilityName>标点符号检查</abilityName>
      <candidateList>
        <item>.</item>
      </candidateList>
      <explain/>
      <paraID>7D78A4E3</paraID>
      <start>1</start>
      <end>2</end>
      <status>unmodified</status>
      <modifiedWord/>
      <trackRevisions>false</trackRevisions>
    </reviewItem>
    <reviewItem>
      <errorID>8bf26ee7-3b27-4ed7-a33f-eadbb0312103</errorID>
      <errorWord>、</errorWord>
      <group>L1_Punc</group>
      <groupName>标点问题</groupName>
      <ability>L2_Punc</ability>
      <abilityName>标点符号检查</abilityName>
      <candidateList>
        <item>.</item>
      </candidateList>
      <explain/>
      <paraID>238E7ED8</paraID>
      <start>1</start>
      <end>2</end>
      <status>unmodified</status>
      <modifiedWord/>
      <trackRevisions>false</trackRevisions>
    </reviewItem>
    <reviewItem>
      <errorID>7f71d32e-49f8-40f7-8931-a2fee90814e6</errorID>
      <errorWord>、</errorWord>
      <group>L1_Punc</group>
      <groupName>标点问题</groupName>
      <ability>L2_Punc</ability>
      <abilityName>标点符号检查</abilityName>
      <candidateList>
        <item>.</item>
      </candidateList>
      <explain/>
      <paraID>124DC811</paraID>
      <start>1</start>
      <end>2</end>
      <status>unmodified</status>
      <modifiedWord/>
      <trackRevisions>false</trackRevisions>
    </reviewItem>
    <reviewItem>
      <errorID>cb2d2b6c-6b89-453f-97c4-7f378ebdc073</errorID>
      <errorWord>需</errorWord>
      <group>L1_Word</group>
      <groupName>字词问题</groupName>
      <ability>L2_Typo</ability>
      <abilityName>字词错误</abilityName>
      <candidateList>
        <item>须</item>
      </candidateList>
      <explain>存在发音相同字词的误用。</explain>
      <paraID>1FFB01D0</paraID>
      <start>4</start>
      <end>5</end>
      <status>unmodified</status>
      <modifiedWord/>
      <trackRevisions>false</trackRevisions>
    </reviewItem>
    <reviewItem>
      <errorID>8414dead-9310-43c8-b8aa-a06b036fe790</errorID>
      <errorWord>、</errorWord>
      <group>L1_Punc</group>
      <groupName>标点问题</groupName>
      <ability>L2_Punc</ability>
      <abilityName>标点符号检查</abilityName>
      <candidateList>
        <item>.</item>
      </candidateList>
      <explain/>
      <paraID> 654CF29</paraID>
      <start>1</start>
      <end>2</end>
      <status>unmodified</status>
      <modifiedWord/>
      <trackRevisions>false</trackRevisions>
    </reviewItem>
    <reviewItem>
      <errorID>09320786-6338-4eb2-8812-e9fcea60ba35</errorID>
      <errorWord>栓挂</errorWord>
      <group>L1_Word</group>
      <groupName>字词问题</groupName>
      <ability>L2_Typo</ability>
      <abilityName>字词错误</abilityName>
      <candidateList>
        <item>拴挂</item>
      </candidateList>
      <explain/>
      <paraID>1B79F95B</paraID>
      <start>209</start>
      <end>211</end>
      <status>unmodified</status>
      <modifiedWord/>
      <trackRevisions>false</trackRevisions>
    </reviewItem>
    <reviewItem>
      <errorID>a84d5e33-d33f-4617-acbc-e3f98fd73f2e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6AFC5AE8</paraID>
      <start>0</start>
      <end>2</end>
      <status>unmodified</status>
      <modifiedWord/>
      <trackRevisions>false</trackRevisions>
    </reviewItem>
    <reviewItem>
      <errorID>17792196-440c-4b7d-98d1-9b552a9846df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1F88BF9B</paraID>
      <start>0</start>
      <end>2</end>
      <status>unmodified</status>
      <modifiedWord/>
      <trackRevisions>false</trackRevisions>
    </reviewItem>
    <reviewItem>
      <errorID>c208fa3b-cc49-40ef-9ca2-6cb113939409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627BC8EB</paraID>
      <start>0</start>
      <end>2</end>
      <status>unmodified</status>
      <modifiedWord/>
      <trackRevisions>false</trackRevisions>
    </reviewItem>
    <reviewItem>
      <errorID>4d1b4918-303c-4e77-a9d8-8bf2424bdb83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25C3B4D4</paraID>
      <start>0</start>
      <end>2</end>
      <status>unmodified</status>
      <modifiedWord/>
      <trackRevisions>false</trackRevisions>
    </reviewItem>
    <reviewItem>
      <errorID>1d59770c-6f91-40f4-b6b4-e534f858e09c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2AC3A94B</paraID>
      <start>0</start>
      <end>2</end>
      <status>unmodified</status>
      <modifiedWord/>
      <trackRevisions>false</trackRevisions>
    </reviewItem>
    <reviewItem>
      <errorID>6552896e-33fe-4f67-86d0-42125518a8d5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76D5005D</paraID>
      <start>0</start>
      <end>2</end>
      <status>unmodified</status>
      <modifiedWord/>
      <trackRevisions>false</trackRevisions>
    </reviewItem>
    <reviewItem>
      <errorID>edbb0591-8f60-4cf0-8a56-8c9e47119213</errorID>
      <errorWord>强</errorWord>
      <group>L1_Word</group>
      <groupName>字词问题</groupName>
      <ability>L2_Typo</ability>
      <abilityName>字词错误</abilityName>
      <candidateList>
        <item>强对</item>
      </candidateList>
      <explain/>
      <paraID>4C3CA8A9</paraID>
      <start>1</start>
      <end>2</end>
      <status>unmodified</status>
      <modifiedWord/>
      <trackRevisions>false</trackRevisions>
    </reviewItem>
    <reviewItem>
      <errorID>25cb820b-dfcb-45e5-9166-80f972ee0fcc</errorID>
      <errorWord>、</errorWord>
      <group>L1_Punc</group>
      <groupName>标点问题</groupName>
      <ability>L2_Punc</ability>
      <abilityName>标点符号检查</abilityName>
      <candidateList>
        <item>.</item>
      </candidateList>
      <explain/>
      <paraID>59E151AC</paraID>
      <start>1</start>
      <end>2</end>
      <status>unmodified</status>
      <modifiedWord/>
      <trackRevisions>false</trackRevisions>
    </reviewItem>
    <reviewItem>
      <errorID>03634a2f-1f58-420f-8686-90d9b13b4e7e</errorID>
      <errorWord>、</errorWord>
      <group>L1_Punc</group>
      <groupName>标点问题</groupName>
      <ability>L2_Punc</ability>
      <abilityName>标点符号检查</abilityName>
      <candidateList>
        <item>.</item>
      </candidateList>
      <explain/>
      <paraID> 9C01E15</paraID>
      <start>1</start>
      <end>2</end>
      <status>unmodified</status>
      <modifiedWord/>
      <trackRevisions>false</trackRevisions>
    </reviewItem>
    <reviewItem>
      <errorID>2c241c33-a717-4aea-8c81-48fa2864b1e8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2966D64D</paraID>
      <start>0</start>
      <end>2</end>
      <status>unmodified</status>
      <modifiedWord/>
      <trackRevisions>false</trackRevisions>
    </reviewItem>
    <reviewItem>
      <errorID>b23bb93a-f3ff-40c1-85dc-6f6a74855294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1FDCA1BD</paraID>
      <start>0</start>
      <end>2</end>
      <status>unmodified</status>
      <modifiedWord/>
      <trackRevisions>false</trackRevisions>
    </reviewItem>
    <reviewItem>
      <errorID>49f0ef5e-644d-4691-b833-eb98b6063a1d</errorID>
      <errorWord>在于</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39098F07</paraID>
      <start>342</start>
      <end>344</end>
      <status>unmodified</status>
      <modifiedWord/>
      <trackRevisions>false</trackRevisions>
    </reviewItem>
    <reviewItem>
      <errorID>f4b22067-cabf-4fc7-a860-c7f3ebc4400e</errorID>
      <errorWord>，...，</errorWord>
      <group>L1_Punc</group>
      <groupName>标点问题</groupName>
      <ability>L2_Punc</ability>
      <abilityName>标点符号检查</abilityName>
      <candidateList>
        <item>，</item>
      </candidateList>
      <explain/>
      <paraID>69046FA2</paraID>
      <start>8</start>
      <end>13</end>
      <status>unmodified</status>
      <modifiedWord/>
      <trackRevisions>false</trackRevisions>
    </reviewItem>
    <reviewItem>
      <errorID>51d22054-da38-4b4f-a955-d807f16dff83</errorID>
      <errorWord>，...，</errorWord>
      <group>L1_Punc</group>
      <groupName>标点问题</groupName>
      <ability>L2_Punc</ability>
      <abilityName>标点符号检查</abilityName>
      <candidateList>
        <item>，</item>
      </candidateList>
      <explain/>
      <paraID>792EC142</paraID>
      <start>5</start>
      <end>10</end>
      <status>unmodified</status>
      <modifiedWord/>
      <trackRevisions>false</trackRevisions>
    </reviewItem>
    <reviewItem>
      <errorID>2edb6859-8314-49b6-bfb3-6125037061f1</errorID>
      <errorWord>粘稠</errorWord>
      <group>L1_Word</group>
      <groupName>字词问题</groupName>
      <ability>L2_Typo</ability>
      <abilityName>字词错误</abilityName>
      <candidateList>
        <item>黏稠</item>
      </candidateList>
      <explain>存在发音相同字词的误用。</explain>
      <paraID>78AAC7F0</paraID>
      <start>3</start>
      <end>5</end>
      <status>unmodified</status>
      <modifiedWord/>
      <trackRevisions>false</trackRevisions>
    </reviewItem>
    <reviewItem>
      <errorID>e6e0825a-f5e4-4755-84c2-f08094d48a2e</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4DD53B93</paraID>
      <start>70</start>
      <end>73</end>
      <status>unmodified</status>
      <modifiedWord/>
      <trackRevisions>false</trackRevisions>
    </reviewItem>
    <reviewItem>
      <errorID>5303dd15-8c1a-4ec8-b2f4-842d0b1c6054</errorID>
      <errorWord>小于在</errorWord>
      <group>L1_Word</group>
      <groupName>字词问题</groupName>
      <ability>L2_Typo</ability>
      <abilityName>字词错误</abilityName>
      <candidateList>
        <item>小于</item>
      </candidateList>
      <explain/>
      <paraID>1FD0CB13</paraID>
      <start>28</start>
      <end>31</end>
      <status>unmodified</status>
      <modifiedWord/>
      <trackRevisions>false</trackRevisions>
    </reviewItem>
    <reviewItem>
      <errorID>59707a4c-288a-4d0a-828a-bafb13ef398d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30659E34</paraID>
      <start>47</start>
      <end>48</end>
      <status>unmodified</status>
      <modifiedWord/>
      <trackRevisions>false</trackRevisions>
    </reviewItem>
    <reviewItem>
      <errorID>637666c2-3999-4421-b7f4-25c438913174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6D9EE50E</paraID>
      <start>0</start>
      <end>2</end>
      <status>unmodified</status>
      <modifiedWord/>
      <trackRevisions>false</trackRevisions>
    </reviewItem>
    <reviewItem>
      <errorID>2edfd149-b511-42a1-b556-0748ddefa996</errorID>
      <errorWord>腹水</errorWord>
      <group>L1_Word</group>
      <groupName>字词问题</groupName>
      <ability>L2_Typo</ability>
      <abilityName>字词错误</abilityName>
      <candidateList>
        <item>废水</item>
      </candidateList>
      <explain>存在字形相近字词的误用。</explain>
      <paraID>695E84E2</paraID>
      <start>2</start>
      <end>4</end>
      <status>unmodified</status>
      <modifiedWord/>
      <trackRevisions>false</trackRevisions>
    </reviewItem>
    <reviewItem>
      <errorID>f7df690d-0d95-45da-9d4a-5a08f1eb1bb8</errorID>
      <errorWord>强</errorWord>
      <group>L1_Word</group>
      <groupName>字词问题</groupName>
      <ability>L2_Typo</ability>
      <abilityName>字词错误</abilityName>
      <candidateList>
        <item>强对</item>
      </candidateList>
      <explain/>
      <paraID>3C247D29</paraID>
      <start>1</start>
      <end>2</end>
      <status>unmodified</status>
      <modifiedWord/>
      <trackRevisions>false</trackRevisions>
    </reviewItem>
    <reviewItem>
      <errorID>b6f91cc3-8e6a-472d-849d-d41e72a8a785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4BB2AC56</paraID>
      <start>47</start>
      <end>48</end>
      <status>unmodified</status>
      <modifiedWord/>
      <trackRevisions>false</trackRevisions>
    </reviewItem>
    <reviewItem>
      <errorID>44b746b4-70be-45e7-975b-d6a5e197013b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23070DAB</paraID>
      <start>0</start>
      <end>2</end>
      <status>unmodified</status>
      <modifiedWord/>
      <trackRevisions>false</trackRevisions>
    </reviewItem>
    <reviewItem>
      <errorID>e41770fe-22aa-4c7c-a03e-1bd65f3f81b0</errorID>
      <errorWord>的本</errorWord>
      <group>L1_Word</group>
      <groupName>字词问题</groupName>
      <ability>L2_Typo</ability>
      <abilityName>字词错误</abilityName>
      <candidateList>
        <item>的</item>
      </candidateList>
      <explain>“的”常用于连接修饰语与名词性中心语，表示属性、所属或描述。</explain>
      <paraID>69BB1E71</paraID>
      <start>6</start>
      <end>8</end>
      <status>unmodified</status>
      <modifiedWord/>
      <trackRevisions>false</trackRevisions>
    </reviewItem>
    <reviewItem>
      <errorID>6a1c580b-e46e-4f35-9cb8-bda4bcd95163</errorID>
      <errorWord>提高</errorWord>
      <group>L1_Grammar</group>
      <groupName>语法问题</groupName>
      <ability>L2_Grammar</ability>
      <abilityName>语法错误</abilityName>
      <candidateList>
        <item>增强</item>
      </candidateList>
      <explain>“提高～意识”搭配不当，建议修改为“增强～意识”。</explain>
      <paraID>7F8213C7</paraID>
      <start>14</start>
      <end>16</end>
      <status>unmodified</status>
      <modifiedWord/>
      <trackRevisions>false</trackRevisions>
    </reviewItem>
    <reviewItem>
      <errorID>80fc23b4-1940-4369-af79-72b34394dfcb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4D977458</paraID>
      <start>0</start>
      <end>2</end>
      <status>unmodified</status>
      <modifiedWord/>
      <trackRevisions>false</trackRevisions>
    </reviewItem>
    <reviewItem>
      <errorID>b1eb2367-d0e4-40c7-a17f-eaf53db37ab5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29641E2</paraID>
      <start>0</start>
      <end>2</end>
      <status>unmodified</status>
      <modifiedWord/>
      <trackRevisions>false</trackRevisions>
    </reviewItem>
    <reviewItem>
      <errorID>3461a7e6-2871-4a93-a5b1-e244d645cd53</errorID>
      <errorWord>[2016]81号</errorWord>
      <group>L1_Knowledge</group>
      <groupName>知识性问题</groupName>
      <ability>L2_Knowledge</ability>
      <abilityName>其他知识</abilityName>
      <candidateList>
        <item>〔2016〕81号</item>
      </candidateList>
      <explain>发文字号格式错误。</explain>
      <paraID>44C90C79</paraID>
      <start>35</start>
      <end>44</end>
      <status>unmodified</status>
      <modifiedWord/>
      <trackRevisions>false</trackRevisions>
    </reviewItem>
    <reviewItem>
      <errorID>ae1c60c5-b921-48e7-a2ad-a5dc70609346</errorID>
      <errorWord>［2017］</errorWord>
      <group>L1_Punc</group>
      <groupName>标点问题</groupName>
      <ability>L2_Punc</ability>
      <abilityName>标点符号检查</abilityName>
      <candidateList>
        <item>〔2017〕</item>
      </candidateList>
      <explain/>
      <paraID>44C90C79</paraID>
      <start>80</start>
      <end>86</end>
      <status>unmodified</status>
      <modifiedWord/>
      <trackRevisions>false</trackRevisions>
    </reviewItem>
    <reviewItem>
      <errorID>53df2103-194c-419f-87d1-99128ea60372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4AD5AF4A</paraID>
      <start>0</start>
      <end>2</end>
      <status>unmodified</status>
      <modifiedWord/>
      <trackRevisions>false</trackRevisions>
    </reviewItem>
    <reviewItem>
      <errorID>e86c26b8-1169-48d1-9f34-5a4f0c06f030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7F113ED2</paraID>
      <start>0</start>
      <end>2</end>
      <status>unmodified</status>
      <modifiedWord/>
      <trackRevisions>false</trackRevisions>
    </reviewItem>
    <reviewItem>
      <errorID>ba538aac-711b-4f51-b46e-4a699e1f2b5b</errorID>
      <errorWord>(</errorWord>
      <group>L1_Format</group>
      <groupName>格式问题</groupName>
      <ability>L2_HalfPunc</ability>
      <abilityName>全半角检查</abilityName>
      <candidateList>
        <item>（</item>
      </candidateList>
      <explain>文本全半角错误。</explain>
      <paraID>448ADB3A</paraID>
      <start>23</start>
      <end>24</end>
      <status>unmodified</status>
      <modifiedWord/>
      <trackRevisions>false</trackRevisions>
    </reviewItem>
    <reviewItem>
      <errorID>5b389014-ee0f-466d-866e-05a61667a5ea</errorID>
      <errorWord>)</errorWord>
      <group>L1_Format</group>
      <groupName>格式问题</groupName>
      <ability>L2_HalfPunc</ability>
      <abilityName>全半角检查</abilityName>
      <candidateList>
        <item>）</item>
      </candidateList>
      <explain>文本全半角错误。</explain>
      <paraID>448ADB3A</paraID>
      <start>25</start>
      <end>26</end>
      <status>unmodified</status>
      <modifiedWord/>
      <trackRevisions>false</trackRevisions>
    </reviewItem>
    <reviewItem>
      <errorID>8dcae1dd-d4e0-4c56-b2db-3788253eed05</errorID>
      <errorWord>-</errorWord>
      <group>L1_Format</group>
      <groupName>格式问题</groupName>
      <ability>L2_HalfPunc</ability>
      <abilityName>全半角检查</abilityName>
      <candidateList>
        <item>－</item>
      </candidateList>
      <explain>文本全半角错误。</explain>
      <paraID>1E77AC0E</paraID>
      <start>55</start>
      <end>56</end>
      <status>unmodified</status>
      <modifiedWord/>
      <trackRevisions>false</trackRevisions>
    </reviewItem>
    <reviewItem>
      <errorID>b0615400-65f4-41ef-8b5e-ea3ce3d73dd3</errorID>
      <errorWord>属</errorWord>
      <group>L1_Word</group>
      <groupName>字词问题</groupName>
      <ability>L2_Typo</ability>
      <abilityName>字词错误</abilityName>
      <candidateList>
        <item>属于</item>
      </candidateList>
      <explain/>
      <paraID>102B53A1</paraID>
      <start>32</start>
      <end>33</end>
      <status>unmodified</status>
      <modifiedWord/>
      <trackRevisions>false</trackRevisions>
    </reviewItem>
    <reviewItem>
      <errorID>4a06a315-8b6f-48a9-a845-8864d5180ffc</errorID>
      <errorWord>-</errorWord>
      <group>L1_Format</group>
      <groupName>格式问题</groupName>
      <ability>L2_HalfPunc</ability>
      <abilityName>全半角检查</abilityName>
      <candidateList>
        <item>－</item>
      </candidateList>
      <explain>文本全半角错误。</explain>
      <paraID>45EAE5D6</paraID>
      <start>53</start>
      <end>54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49d5a7-03fc-4c8f-8465-6a89af93b76c}">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21966</Words>
  <Characters>22521</Characters>
  <Lines>0</Lines>
  <Paragraphs>0</Paragraphs>
  <TotalTime>86</TotalTime>
  <ScaleCrop>false</ScaleCrop>
  <LinksUpToDate>false</LinksUpToDate>
  <CharactersWithSpaces>22568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2021-12-08T03:54:00Z</dcterms:created>
  <dc:creator>Administrator</dc:creator>
  <cp:lastModifiedBy> 天上星</cp:lastModifiedBy>
  <cp:lastPrinted>2026-04-07T05:01:00Z</cp:lastPrinted>
  <dcterms:modified xsi:type="dcterms:W3CDTF">2026-04-27T01:18:58Z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C8BE68A58453405E8028967FFF2570E5_13</vt:lpwstr>
  </property>
  <property fmtid="{D5CDD505-2E9C-101B-9397-08002B2CF9AE}" pid="4" name="KSOTemplateDocerSaveRecord">
    <vt:lpwstr>eyJoZGlkIjoiMTEyNWFiODlmNTc4ZmFhY2VkNTE1YTRhN2JhYTlmYzYiLCJ1c2VySWQiOiI4Njk2ODk3NTgifQ==</vt:lpwstr>
  </property>
</Properties>
</file>