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1872A">
      <w:pPr>
        <w:rPr>
          <w:sz w:val="84"/>
          <w:szCs w:val="84"/>
        </w:rPr>
      </w:pPr>
    </w:p>
    <w:p w14:paraId="514DC21D">
      <w:pPr>
        <w:jc w:val="center"/>
        <w:rPr>
          <w:rFonts w:ascii="黑体" w:hAnsi="黑体" w:eastAsia="黑体"/>
          <w:b/>
          <w:sz w:val="84"/>
          <w:szCs w:val="84"/>
        </w:rPr>
      </w:pPr>
      <w:r>
        <w:rPr>
          <w:rFonts w:hint="eastAsia" w:ascii="黑体" w:hAnsi="黑体" w:eastAsia="黑体"/>
          <w:b/>
          <w:sz w:val="84"/>
          <w:szCs w:val="84"/>
          <w:lang w:val="en-US" w:eastAsia="zh-CN"/>
        </w:rPr>
        <w:t>滦州市</w:t>
      </w:r>
      <w:r>
        <w:rPr>
          <w:rFonts w:hint="eastAsia" w:ascii="黑体" w:hAnsi="黑体" w:eastAsia="黑体"/>
          <w:b/>
          <w:sz w:val="84"/>
          <w:szCs w:val="84"/>
        </w:rPr>
        <w:t>消防救援大队</w:t>
      </w:r>
    </w:p>
    <w:p w14:paraId="64D8D7AF">
      <w:pPr>
        <w:jc w:val="center"/>
        <w:outlineLvl w:val="0"/>
        <w:rPr>
          <w:sz w:val="84"/>
          <w:szCs w:val="84"/>
        </w:rPr>
      </w:pPr>
      <w:r>
        <w:rPr>
          <w:rFonts w:hint="eastAsia" w:ascii="黑体" w:hAnsi="黑体" w:eastAsia="黑体"/>
          <w:b/>
          <w:sz w:val="84"/>
          <w:szCs w:val="84"/>
        </w:rPr>
        <w:t>202</w:t>
      </w:r>
      <w:r>
        <w:rPr>
          <w:rFonts w:hint="eastAsia" w:ascii="黑体" w:hAnsi="黑体" w:eastAsia="黑体"/>
          <w:b/>
          <w:sz w:val="84"/>
          <w:szCs w:val="84"/>
          <w:lang w:val="en-US" w:eastAsia="zh-CN"/>
        </w:rPr>
        <w:t>6</w:t>
      </w:r>
      <w:r>
        <w:rPr>
          <w:rFonts w:hint="eastAsia" w:ascii="黑体" w:hAnsi="黑体" w:eastAsia="黑体"/>
          <w:b/>
          <w:sz w:val="84"/>
          <w:szCs w:val="84"/>
        </w:rPr>
        <w:t>年度部门预算</w:t>
      </w:r>
    </w:p>
    <w:p w14:paraId="2F0E7534">
      <w:pPr>
        <w:rPr>
          <w:sz w:val="84"/>
          <w:szCs w:val="84"/>
        </w:rPr>
      </w:pPr>
    </w:p>
    <w:p w14:paraId="32517D26">
      <w:pPr>
        <w:jc w:val="center"/>
        <w:rPr>
          <w:sz w:val="84"/>
          <w:szCs w:val="84"/>
        </w:rPr>
      </w:pPr>
      <w:r>
        <w:rPr>
          <w:rFonts w:hint="eastAsia"/>
          <w:sz w:val="84"/>
          <w:szCs w:val="84"/>
        </w:rPr>
        <w:drawing>
          <wp:inline distT="0" distB="0" distL="0" distR="0">
            <wp:extent cx="2488565" cy="2488565"/>
            <wp:effectExtent l="0" t="0" r="6985"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89538" cy="2489538"/>
                    </a:xfrm>
                    <a:prstGeom prst="rect">
                      <a:avLst/>
                    </a:prstGeom>
                  </pic:spPr>
                </pic:pic>
              </a:graphicData>
            </a:graphic>
          </wp:inline>
        </w:drawing>
      </w:r>
    </w:p>
    <w:p w14:paraId="074B7DA6">
      <w:pPr>
        <w:rPr>
          <w:sz w:val="84"/>
          <w:szCs w:val="84"/>
        </w:rPr>
      </w:pPr>
    </w:p>
    <w:p w14:paraId="19DEF37A">
      <w:pPr>
        <w:rPr>
          <w:sz w:val="84"/>
          <w:szCs w:val="84"/>
        </w:rPr>
      </w:pPr>
    </w:p>
    <w:p w14:paraId="5AC8920A">
      <w:pPr>
        <w:jc w:val="center"/>
        <w:rPr>
          <w:rFonts w:ascii="华文楷体" w:hAnsi="华文楷体" w:eastAsia="华文楷体"/>
          <w:b/>
          <w:sz w:val="52"/>
          <w:szCs w:val="52"/>
        </w:rPr>
      </w:pPr>
      <w:r>
        <w:rPr>
          <w:rFonts w:hint="eastAsia" w:ascii="华文楷体" w:hAnsi="华文楷体" w:eastAsia="华文楷体"/>
          <w:b/>
          <w:sz w:val="52"/>
          <w:szCs w:val="52"/>
        </w:rPr>
        <w:t>二〇二</w:t>
      </w:r>
      <w:r>
        <w:rPr>
          <w:rFonts w:hint="eastAsia" w:ascii="华文楷体" w:hAnsi="华文楷体" w:eastAsia="华文楷体"/>
          <w:b/>
          <w:sz w:val="52"/>
          <w:szCs w:val="52"/>
          <w:lang w:val="en-US" w:eastAsia="zh-CN"/>
        </w:rPr>
        <w:t>六</w:t>
      </w:r>
      <w:r>
        <w:rPr>
          <w:rFonts w:hint="eastAsia" w:ascii="华文楷体" w:hAnsi="华文楷体" w:eastAsia="华文楷体"/>
          <w:b/>
          <w:sz w:val="52"/>
          <w:szCs w:val="52"/>
        </w:rPr>
        <w:t>年</w:t>
      </w:r>
      <w:r>
        <w:rPr>
          <w:rFonts w:hint="eastAsia" w:ascii="华文楷体" w:hAnsi="华文楷体" w:eastAsia="华文楷体"/>
          <w:b/>
          <w:sz w:val="52"/>
          <w:szCs w:val="52"/>
          <w:lang w:val="en-US" w:eastAsia="zh-CN"/>
        </w:rPr>
        <w:t>四</w:t>
      </w:r>
      <w:r>
        <w:rPr>
          <w:rFonts w:hint="eastAsia" w:ascii="华文楷体" w:hAnsi="华文楷体" w:eastAsia="华文楷体"/>
          <w:b/>
          <w:sz w:val="52"/>
          <w:szCs w:val="52"/>
        </w:rPr>
        <w:t>月</w:t>
      </w:r>
    </w:p>
    <w:p w14:paraId="0695B6AA">
      <w:pPr>
        <w:jc w:val="center"/>
        <w:rPr>
          <w:rFonts w:ascii="华文楷体" w:hAnsi="华文楷体" w:eastAsia="华文楷体"/>
          <w:b/>
          <w:sz w:val="52"/>
          <w:szCs w:val="52"/>
        </w:rPr>
      </w:pPr>
    </w:p>
    <w:p w14:paraId="7EF3AF82">
      <w:pPr>
        <w:jc w:val="center"/>
        <w:rPr>
          <w:rFonts w:ascii="黑体" w:hAnsi="华文楷体" w:eastAsia="黑体"/>
          <w:b/>
          <w:sz w:val="44"/>
          <w:szCs w:val="44"/>
        </w:rPr>
      </w:pPr>
      <w:r>
        <w:rPr>
          <w:rFonts w:hint="eastAsia" w:ascii="黑体" w:hAnsi="华文楷体" w:eastAsia="黑体"/>
          <w:b/>
          <w:sz w:val="44"/>
          <w:szCs w:val="44"/>
        </w:rPr>
        <w:t>目   录</w:t>
      </w:r>
    </w:p>
    <w:p w14:paraId="7BA0FBD7">
      <w:pPr>
        <w:jc w:val="center"/>
        <w:rPr>
          <w:rFonts w:ascii="华文楷体" w:hAnsi="华文楷体" w:eastAsia="华文楷体"/>
          <w:b/>
          <w:sz w:val="10"/>
          <w:szCs w:val="10"/>
        </w:rPr>
      </w:pPr>
    </w:p>
    <w:p w14:paraId="5F41C4D7">
      <w:pPr>
        <w:jc w:val="left"/>
        <w:rPr>
          <w:rFonts w:ascii="黑体" w:hAnsi="华文楷体" w:eastAsia="黑体"/>
          <w:sz w:val="32"/>
          <w:szCs w:val="32"/>
        </w:rPr>
      </w:pPr>
      <w:r>
        <w:rPr>
          <w:rFonts w:hint="eastAsia" w:ascii="黑体" w:hAnsi="华文楷体" w:eastAsia="黑体"/>
          <w:sz w:val="32"/>
          <w:szCs w:val="32"/>
        </w:rPr>
        <w:t xml:space="preserve">第一部分 </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消防救援大队概况</w:t>
      </w:r>
    </w:p>
    <w:p w14:paraId="60F2DAF2">
      <w:pPr>
        <w:jc w:val="left"/>
        <w:rPr>
          <w:rFonts w:ascii="仿宋_GB2312" w:hAnsi="华文楷体" w:eastAsia="仿宋_GB2312"/>
          <w:sz w:val="32"/>
          <w:szCs w:val="32"/>
        </w:rPr>
      </w:pPr>
      <w:r>
        <w:rPr>
          <w:rFonts w:hint="eastAsia" w:ascii="仿宋_GB2312" w:hAnsi="华文楷体" w:eastAsia="仿宋_GB2312"/>
          <w:sz w:val="32"/>
          <w:szCs w:val="32"/>
        </w:rPr>
        <w:t>一、主要职责</w:t>
      </w:r>
    </w:p>
    <w:p w14:paraId="4416D9B0">
      <w:pPr>
        <w:jc w:val="left"/>
        <w:rPr>
          <w:rFonts w:ascii="仿宋_GB2312" w:hAnsi="华文楷体" w:eastAsia="仿宋_GB2312"/>
          <w:sz w:val="32"/>
          <w:szCs w:val="32"/>
        </w:rPr>
      </w:pPr>
      <w:r>
        <w:rPr>
          <w:rFonts w:hint="eastAsia" w:ascii="仿宋_GB2312" w:hAnsi="华文楷体" w:eastAsia="仿宋_GB2312"/>
          <w:sz w:val="32"/>
          <w:szCs w:val="32"/>
        </w:rPr>
        <w:t>二、部门预算单位构成</w:t>
      </w:r>
    </w:p>
    <w:p w14:paraId="4A3BA17E">
      <w:pPr>
        <w:jc w:val="left"/>
        <w:rPr>
          <w:rFonts w:ascii="仿宋_GB2312" w:hAnsi="华文楷体" w:eastAsia="仿宋_GB2312"/>
          <w:sz w:val="32"/>
          <w:szCs w:val="32"/>
        </w:rPr>
      </w:pPr>
    </w:p>
    <w:p w14:paraId="70A4B0C8">
      <w:pPr>
        <w:jc w:val="left"/>
        <w:rPr>
          <w:rFonts w:ascii="仿宋_GB2312" w:hAnsi="华文楷体" w:eastAsia="仿宋_GB2312"/>
          <w:sz w:val="32"/>
          <w:szCs w:val="32"/>
        </w:rPr>
      </w:pPr>
      <w:r>
        <w:rPr>
          <w:rFonts w:hint="eastAsia" w:ascii="黑体" w:hAnsi="华文楷体" w:eastAsia="黑体"/>
          <w:sz w:val="32"/>
          <w:szCs w:val="32"/>
        </w:rPr>
        <w:t xml:space="preserve">第二部分 </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消防救援大队202</w:t>
      </w:r>
      <w:r>
        <w:rPr>
          <w:rFonts w:hint="eastAsia" w:ascii="黑体" w:hAnsi="华文楷体" w:eastAsia="黑体"/>
          <w:sz w:val="32"/>
          <w:szCs w:val="32"/>
          <w:lang w:val="en-US" w:eastAsia="zh-CN"/>
        </w:rPr>
        <w:t>6</w:t>
      </w:r>
      <w:r>
        <w:rPr>
          <w:rFonts w:hint="eastAsia" w:ascii="黑体" w:hAnsi="华文楷体" w:eastAsia="黑体"/>
          <w:sz w:val="32"/>
          <w:szCs w:val="32"/>
        </w:rPr>
        <w:t xml:space="preserve"> 年部门预算表</w:t>
      </w:r>
    </w:p>
    <w:p w14:paraId="607D193D">
      <w:pPr>
        <w:jc w:val="left"/>
        <w:rPr>
          <w:rFonts w:ascii="仿宋_GB2312" w:hAnsi="华文楷体" w:eastAsia="仿宋_GB2312"/>
          <w:sz w:val="32"/>
          <w:szCs w:val="32"/>
        </w:rPr>
      </w:pPr>
      <w:r>
        <w:rPr>
          <w:rFonts w:hint="eastAsia" w:ascii="仿宋_GB2312" w:hAnsi="华文楷体" w:eastAsia="仿宋_GB2312"/>
          <w:sz w:val="32"/>
          <w:szCs w:val="32"/>
        </w:rPr>
        <w:t>一、部门收支总表</w:t>
      </w:r>
    </w:p>
    <w:p w14:paraId="3D523B46">
      <w:pPr>
        <w:jc w:val="left"/>
        <w:rPr>
          <w:rFonts w:ascii="仿宋_GB2312" w:hAnsi="华文楷体" w:eastAsia="仿宋_GB2312"/>
          <w:sz w:val="32"/>
          <w:szCs w:val="32"/>
        </w:rPr>
      </w:pPr>
      <w:r>
        <w:rPr>
          <w:rFonts w:hint="eastAsia" w:ascii="仿宋_GB2312" w:hAnsi="华文楷体" w:eastAsia="仿宋_GB2312"/>
          <w:sz w:val="32"/>
          <w:szCs w:val="32"/>
        </w:rPr>
        <w:t>二、部门收入总表</w:t>
      </w:r>
    </w:p>
    <w:p w14:paraId="54B0385D">
      <w:pPr>
        <w:jc w:val="left"/>
        <w:rPr>
          <w:rFonts w:ascii="仿宋_GB2312" w:hAnsi="华文楷体" w:eastAsia="仿宋_GB2312"/>
          <w:sz w:val="32"/>
          <w:szCs w:val="32"/>
        </w:rPr>
      </w:pPr>
      <w:r>
        <w:rPr>
          <w:rFonts w:hint="eastAsia" w:ascii="仿宋_GB2312" w:hAnsi="华文楷体" w:eastAsia="仿宋_GB2312"/>
          <w:sz w:val="32"/>
          <w:szCs w:val="32"/>
        </w:rPr>
        <w:t>三、部门支出总表</w:t>
      </w:r>
    </w:p>
    <w:p w14:paraId="440D9F88">
      <w:pPr>
        <w:jc w:val="left"/>
        <w:rPr>
          <w:rFonts w:ascii="仿宋_GB2312" w:hAnsi="华文楷体" w:eastAsia="仿宋_GB2312"/>
          <w:sz w:val="32"/>
          <w:szCs w:val="32"/>
        </w:rPr>
      </w:pPr>
      <w:r>
        <w:rPr>
          <w:rFonts w:hint="eastAsia" w:ascii="仿宋_GB2312" w:hAnsi="华文楷体" w:eastAsia="仿宋_GB2312"/>
          <w:sz w:val="32"/>
          <w:szCs w:val="32"/>
        </w:rPr>
        <w:t>四、财政拨款收支总表</w:t>
      </w:r>
    </w:p>
    <w:p w14:paraId="7BFF0182">
      <w:pPr>
        <w:jc w:val="left"/>
        <w:rPr>
          <w:rFonts w:ascii="仿宋_GB2312" w:hAnsi="华文楷体" w:eastAsia="仿宋_GB2312"/>
          <w:sz w:val="32"/>
          <w:szCs w:val="32"/>
        </w:rPr>
      </w:pPr>
      <w:r>
        <w:rPr>
          <w:rFonts w:hint="eastAsia" w:ascii="仿宋_GB2312" w:hAnsi="华文楷体" w:eastAsia="仿宋_GB2312"/>
          <w:sz w:val="32"/>
          <w:szCs w:val="32"/>
        </w:rPr>
        <w:t>五、一般公共预算支出表</w:t>
      </w:r>
    </w:p>
    <w:p w14:paraId="58ADF03A">
      <w:pPr>
        <w:jc w:val="left"/>
        <w:rPr>
          <w:rFonts w:ascii="仿宋_GB2312" w:hAnsi="华文楷体" w:eastAsia="仿宋_GB2312"/>
          <w:sz w:val="32"/>
          <w:szCs w:val="32"/>
        </w:rPr>
      </w:pPr>
      <w:r>
        <w:rPr>
          <w:rFonts w:hint="eastAsia" w:ascii="仿宋_GB2312" w:hAnsi="华文楷体" w:eastAsia="仿宋_GB2312"/>
          <w:sz w:val="32"/>
          <w:szCs w:val="32"/>
        </w:rPr>
        <w:t>六、一般公共预算基本支出表</w:t>
      </w:r>
    </w:p>
    <w:p w14:paraId="5A56D9AF">
      <w:pPr>
        <w:jc w:val="left"/>
        <w:rPr>
          <w:rFonts w:ascii="仿宋_GB2312" w:hAnsi="华文楷体" w:eastAsia="仿宋_GB2312"/>
          <w:sz w:val="32"/>
          <w:szCs w:val="32"/>
        </w:rPr>
      </w:pPr>
      <w:r>
        <w:rPr>
          <w:rFonts w:hint="eastAsia" w:ascii="仿宋_GB2312" w:hAnsi="华文楷体" w:eastAsia="仿宋_GB2312"/>
          <w:sz w:val="32"/>
          <w:szCs w:val="32"/>
        </w:rPr>
        <w:t>七、政府性基金预算支出表</w:t>
      </w:r>
    </w:p>
    <w:p w14:paraId="5C32D879">
      <w:pPr>
        <w:jc w:val="left"/>
        <w:rPr>
          <w:rFonts w:ascii="仿宋_GB2312" w:hAnsi="华文楷体" w:eastAsia="仿宋_GB2312"/>
          <w:sz w:val="32"/>
          <w:szCs w:val="32"/>
        </w:rPr>
      </w:pPr>
      <w:r>
        <w:rPr>
          <w:rFonts w:hint="eastAsia" w:ascii="仿宋_GB2312" w:hAnsi="华文楷体" w:eastAsia="仿宋_GB2312"/>
          <w:sz w:val="32"/>
          <w:szCs w:val="32"/>
        </w:rPr>
        <w:t>八、国有资本经营预算支出表</w:t>
      </w:r>
    </w:p>
    <w:p w14:paraId="7CCEEAF5">
      <w:pPr>
        <w:jc w:val="left"/>
        <w:rPr>
          <w:rFonts w:ascii="仿宋_GB2312" w:hAnsi="华文楷体" w:eastAsia="仿宋_GB2312"/>
          <w:sz w:val="32"/>
          <w:szCs w:val="32"/>
        </w:rPr>
      </w:pPr>
      <w:r>
        <w:rPr>
          <w:rFonts w:hint="eastAsia" w:ascii="仿宋_GB2312" w:hAnsi="华文楷体" w:eastAsia="仿宋_GB2312"/>
          <w:sz w:val="32"/>
          <w:szCs w:val="32"/>
        </w:rPr>
        <w:t>九、一般公共预算“三公”经费支出表</w:t>
      </w:r>
    </w:p>
    <w:p w14:paraId="6BCD027B">
      <w:pPr>
        <w:jc w:val="left"/>
        <w:rPr>
          <w:rFonts w:ascii="仿宋_GB2312" w:hAnsi="华文楷体" w:eastAsia="仿宋_GB2312"/>
          <w:sz w:val="32"/>
          <w:szCs w:val="32"/>
        </w:rPr>
      </w:pPr>
    </w:p>
    <w:p w14:paraId="3710B43F">
      <w:pPr>
        <w:jc w:val="left"/>
        <w:rPr>
          <w:rFonts w:ascii="黑体" w:hAnsi="华文楷体" w:eastAsia="黑体"/>
          <w:sz w:val="32"/>
          <w:szCs w:val="32"/>
        </w:rPr>
      </w:pPr>
      <w:r>
        <w:rPr>
          <w:rFonts w:hint="eastAsia" w:ascii="黑体" w:hAnsi="华文楷体" w:eastAsia="黑体"/>
          <w:sz w:val="32"/>
          <w:szCs w:val="32"/>
        </w:rPr>
        <w:t xml:space="preserve">第三部分 </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消防救援大队202</w:t>
      </w:r>
      <w:r>
        <w:rPr>
          <w:rFonts w:hint="eastAsia" w:ascii="黑体" w:hAnsi="华文楷体" w:eastAsia="黑体"/>
          <w:sz w:val="32"/>
          <w:szCs w:val="32"/>
          <w:lang w:val="en-US" w:eastAsia="zh-CN"/>
        </w:rPr>
        <w:t>6</w:t>
      </w:r>
      <w:r>
        <w:rPr>
          <w:rFonts w:hint="eastAsia" w:ascii="黑体" w:hAnsi="华文楷体" w:eastAsia="黑体"/>
          <w:sz w:val="32"/>
          <w:szCs w:val="32"/>
        </w:rPr>
        <w:t>年部门预算情况说明</w:t>
      </w:r>
    </w:p>
    <w:p w14:paraId="6E1164CF">
      <w:pPr>
        <w:jc w:val="left"/>
        <w:rPr>
          <w:rFonts w:ascii="仿宋_GB2312" w:hAnsi="华文楷体" w:eastAsia="仿宋_GB2312"/>
          <w:sz w:val="32"/>
          <w:szCs w:val="32"/>
        </w:rPr>
      </w:pPr>
    </w:p>
    <w:p w14:paraId="02AE9B8B">
      <w:pPr>
        <w:jc w:val="left"/>
        <w:rPr>
          <w:rFonts w:ascii="黑体" w:hAnsi="华文楷体" w:eastAsia="黑体"/>
          <w:sz w:val="32"/>
          <w:szCs w:val="32"/>
        </w:rPr>
      </w:pPr>
      <w:r>
        <w:rPr>
          <w:rFonts w:hint="eastAsia" w:ascii="黑体" w:hAnsi="华文楷体" w:eastAsia="黑体"/>
          <w:sz w:val="32"/>
          <w:szCs w:val="32"/>
        </w:rPr>
        <w:t>第四部分 名词解释</w:t>
      </w:r>
    </w:p>
    <w:p w14:paraId="2FB1CB13">
      <w:pPr>
        <w:jc w:val="left"/>
        <w:rPr>
          <w:rFonts w:ascii="黑体" w:hAnsi="华文楷体" w:eastAsia="黑体"/>
          <w:sz w:val="32"/>
          <w:szCs w:val="32"/>
        </w:rPr>
      </w:pPr>
    </w:p>
    <w:p w14:paraId="5A441EE0">
      <w:pPr>
        <w:jc w:val="left"/>
        <w:rPr>
          <w:rFonts w:ascii="黑体" w:hAnsi="华文楷体" w:eastAsia="黑体"/>
          <w:sz w:val="32"/>
          <w:szCs w:val="32"/>
        </w:rPr>
      </w:pPr>
      <w:r>
        <w:rPr>
          <w:rFonts w:hint="eastAsia" w:ascii="黑体" w:hAnsi="华文楷体" w:eastAsia="黑体"/>
          <w:sz w:val="32"/>
          <w:szCs w:val="32"/>
        </w:rPr>
        <w:t>第五部分 附件</w:t>
      </w:r>
    </w:p>
    <w:p w14:paraId="53F0BE8E">
      <w:pPr>
        <w:jc w:val="center"/>
        <w:rPr>
          <w:rFonts w:ascii="黑体" w:hAnsi="华文楷体" w:eastAsia="黑体"/>
          <w:sz w:val="10"/>
          <w:szCs w:val="10"/>
        </w:rPr>
      </w:pPr>
      <w:r>
        <w:rPr>
          <w:rFonts w:hint="eastAsia" w:ascii="黑体" w:hAnsi="华文楷体" w:eastAsia="黑体"/>
          <w:sz w:val="44"/>
          <w:szCs w:val="44"/>
        </w:rPr>
        <w:t xml:space="preserve">第一部分 </w:t>
      </w:r>
      <w:r>
        <w:rPr>
          <w:rFonts w:hint="eastAsia" w:ascii="黑体" w:hAnsi="华文楷体" w:eastAsia="黑体"/>
          <w:sz w:val="44"/>
          <w:szCs w:val="44"/>
          <w:lang w:val="en-US" w:eastAsia="zh-CN"/>
        </w:rPr>
        <w:t>滦州市</w:t>
      </w:r>
      <w:r>
        <w:rPr>
          <w:rFonts w:hint="eastAsia" w:ascii="黑体" w:hAnsi="华文楷体" w:eastAsia="黑体"/>
          <w:sz w:val="44"/>
          <w:szCs w:val="44"/>
        </w:rPr>
        <w:t>消防救援大队概况</w:t>
      </w:r>
    </w:p>
    <w:p w14:paraId="5477E1BE">
      <w:pPr>
        <w:jc w:val="center"/>
        <w:rPr>
          <w:rFonts w:ascii="黑体" w:hAnsi="华文楷体" w:eastAsia="黑体"/>
          <w:sz w:val="10"/>
          <w:szCs w:val="10"/>
        </w:rPr>
      </w:pPr>
    </w:p>
    <w:p w14:paraId="1D280EB0">
      <w:pPr>
        <w:spacing w:line="600" w:lineRule="exact"/>
        <w:ind w:firstLine="640" w:firstLineChars="200"/>
        <w:jc w:val="left"/>
        <w:outlineLvl w:val="0"/>
        <w:rPr>
          <w:rFonts w:ascii="黑体" w:hAnsi="华文楷体" w:eastAsia="黑体"/>
          <w:sz w:val="32"/>
          <w:szCs w:val="32"/>
        </w:rPr>
      </w:pPr>
      <w:r>
        <w:rPr>
          <w:rFonts w:hint="eastAsia" w:ascii="黑体" w:hAnsi="华文楷体" w:eastAsia="黑体"/>
          <w:sz w:val="32"/>
          <w:szCs w:val="32"/>
        </w:rPr>
        <w:t>一、主要职责</w:t>
      </w:r>
    </w:p>
    <w:p w14:paraId="54B33B3A">
      <w:pPr>
        <w:spacing w:line="600" w:lineRule="exact"/>
        <w:ind w:firstLine="640" w:firstLineChars="200"/>
        <w:jc w:val="left"/>
        <w:rPr>
          <w:rFonts w:ascii="仿宋_GB2312" w:hAnsi="华文楷体" w:eastAsia="仿宋_GB2312"/>
          <w:sz w:val="32"/>
          <w:szCs w:val="32"/>
        </w:rPr>
      </w:pPr>
      <w:r>
        <w:rPr>
          <w:rFonts w:hint="eastAsia" w:ascii="仿宋_GB2312" w:hAnsi="华文楷体" w:eastAsia="仿宋_GB2312"/>
          <w:sz w:val="32"/>
          <w:szCs w:val="32"/>
        </w:rPr>
        <w:t>国家综合性消防救援队伍承担防范化解重大安全风险、应对处置各类灾害事故的重要职责，是应急救援的主力军和国家队。</w:t>
      </w: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消防救援大队隶属唐山市消防救援支队，受唐山市消防救援支队和</w:t>
      </w:r>
      <w:r>
        <w:rPr>
          <w:rFonts w:hint="eastAsia" w:ascii="仿宋_GB2312" w:hAnsi="华文楷体" w:eastAsia="仿宋_GB2312"/>
          <w:sz w:val="32"/>
          <w:szCs w:val="32"/>
          <w:lang w:val="en-US" w:eastAsia="zh-CN"/>
        </w:rPr>
        <w:t>市委市</w:t>
      </w:r>
      <w:r>
        <w:rPr>
          <w:rFonts w:hint="eastAsia" w:ascii="仿宋_GB2312" w:hAnsi="华文楷体" w:eastAsia="仿宋_GB2312"/>
          <w:sz w:val="32"/>
          <w:szCs w:val="32"/>
        </w:rPr>
        <w:t>政府领导，依据有关法律法规履行下列职责：</w:t>
      </w:r>
    </w:p>
    <w:p w14:paraId="5EF6200E">
      <w:pPr>
        <w:spacing w:line="600" w:lineRule="exact"/>
        <w:ind w:firstLine="640" w:firstLineChars="200"/>
        <w:rPr>
          <w:rFonts w:ascii="仿宋_GB2312" w:hAnsi="华文仿宋" w:eastAsia="仿宋_GB2312" w:cs="方正仿宋_GB2312"/>
          <w:sz w:val="32"/>
          <w:szCs w:val="32"/>
        </w:rPr>
      </w:pPr>
      <w:r>
        <w:rPr>
          <w:rFonts w:hint="eastAsia" w:ascii="仿宋_GB2312" w:hAnsi="华文仿宋" w:eastAsia="仿宋_GB2312" w:cs="方正仿宋_GB2312"/>
          <w:sz w:val="32"/>
          <w:szCs w:val="32"/>
        </w:rPr>
        <w:t>（一）承担城乡综合性消防救援工作，负责指挥调度相关灾害事故救援行动，承担重要会议、大型活动消防安全保卫工作。</w:t>
      </w:r>
    </w:p>
    <w:p w14:paraId="4392712B">
      <w:pPr>
        <w:spacing w:line="600" w:lineRule="exact"/>
        <w:ind w:firstLine="640" w:firstLineChars="200"/>
        <w:rPr>
          <w:rFonts w:ascii="仿宋_GB2312" w:hAnsi="华文仿宋" w:eastAsia="仿宋_GB2312" w:cs="方正仿宋_GB2312"/>
          <w:sz w:val="32"/>
          <w:szCs w:val="32"/>
        </w:rPr>
      </w:pPr>
      <w:r>
        <w:rPr>
          <w:rFonts w:hint="eastAsia" w:ascii="仿宋_GB2312" w:hAnsi="华文仿宋" w:eastAsia="仿宋_GB2312" w:cs="方正仿宋_GB2312"/>
          <w:sz w:val="32"/>
          <w:szCs w:val="32"/>
        </w:rPr>
        <w:t>（二）承担火灾预防、消防监督执法以及火灾事故调查处理相关工作，依法行使消防安全综合监管职能，推动落实消防安全责任制。</w:t>
      </w:r>
    </w:p>
    <w:p w14:paraId="63C93CAC">
      <w:pPr>
        <w:spacing w:line="600" w:lineRule="exact"/>
        <w:ind w:firstLine="640" w:firstLineChars="200"/>
        <w:rPr>
          <w:rFonts w:ascii="仿宋_GB2312" w:hAnsi="华文仿宋" w:eastAsia="仿宋_GB2312" w:cs="方正仿宋_GB2312"/>
          <w:sz w:val="32"/>
          <w:szCs w:val="32"/>
        </w:rPr>
      </w:pPr>
      <w:r>
        <w:rPr>
          <w:rFonts w:hint="eastAsia" w:ascii="仿宋_GB2312" w:hAnsi="华文仿宋" w:eastAsia="仿宋_GB2312" w:cs="方正仿宋_GB2312"/>
          <w:sz w:val="32"/>
          <w:szCs w:val="32"/>
        </w:rPr>
        <w:t>（三）参与拟订消防专项规划，参与起草地方性消防法规、规章草案并监督实施。</w:t>
      </w:r>
    </w:p>
    <w:p w14:paraId="33D270E8">
      <w:pPr>
        <w:spacing w:line="600" w:lineRule="exact"/>
        <w:ind w:firstLine="640" w:firstLineChars="200"/>
        <w:rPr>
          <w:rFonts w:ascii="仿宋_GB2312" w:hAnsi="华文仿宋" w:eastAsia="仿宋_GB2312" w:cs="方正仿宋_GB2312"/>
          <w:sz w:val="32"/>
          <w:szCs w:val="32"/>
        </w:rPr>
      </w:pPr>
      <w:r>
        <w:rPr>
          <w:rFonts w:hint="eastAsia" w:ascii="仿宋_GB2312" w:hAnsi="华文仿宋" w:eastAsia="仿宋_GB2312" w:cs="方正仿宋_GB2312"/>
          <w:sz w:val="32"/>
          <w:szCs w:val="32"/>
        </w:rPr>
        <w:t>（四）负责消防救援队伍综合性消防救援预案编制、战术研究和执勤备战、训练演练等工作。</w:t>
      </w:r>
    </w:p>
    <w:p w14:paraId="7A072C38">
      <w:pPr>
        <w:spacing w:line="600" w:lineRule="exact"/>
        <w:ind w:firstLine="640" w:firstLineChars="200"/>
        <w:rPr>
          <w:rFonts w:ascii="仿宋_GB2312" w:hAnsi="华文仿宋" w:eastAsia="仿宋_GB2312" w:cs="方正仿宋_GB2312"/>
          <w:sz w:val="32"/>
          <w:szCs w:val="32"/>
        </w:rPr>
      </w:pPr>
      <w:r>
        <w:rPr>
          <w:rFonts w:hint="eastAsia" w:ascii="仿宋_GB2312" w:hAnsi="华文仿宋" w:eastAsia="仿宋_GB2312" w:cs="方正仿宋_GB2312"/>
          <w:sz w:val="32"/>
          <w:szCs w:val="32"/>
        </w:rPr>
        <w:t>（五）负责消防救援信息化和应急通信建设，承担综合性消防救援行动应急通信保障工作。</w:t>
      </w:r>
    </w:p>
    <w:p w14:paraId="05740A1F">
      <w:pPr>
        <w:spacing w:line="600" w:lineRule="exact"/>
        <w:ind w:firstLine="640" w:firstLineChars="200"/>
        <w:rPr>
          <w:rFonts w:ascii="仿宋_GB2312" w:hAnsi="华文仿宋" w:eastAsia="仿宋_GB2312" w:cs="方正仿宋_GB2312"/>
          <w:sz w:val="32"/>
          <w:szCs w:val="32"/>
        </w:rPr>
      </w:pPr>
      <w:r>
        <w:rPr>
          <w:rFonts w:hint="eastAsia" w:ascii="仿宋_GB2312" w:hAnsi="华文仿宋" w:eastAsia="仿宋_GB2312" w:cs="方正仿宋_GB2312"/>
          <w:sz w:val="32"/>
          <w:szCs w:val="32"/>
        </w:rPr>
        <w:t>（六）负责消防安全宣传教育，组织指导社会消防力量建设。</w:t>
      </w:r>
    </w:p>
    <w:p w14:paraId="7F71EBDD">
      <w:pPr>
        <w:spacing w:line="600" w:lineRule="exact"/>
        <w:ind w:firstLine="640" w:firstLineChars="200"/>
        <w:rPr>
          <w:rFonts w:ascii="仿宋_GB2312" w:hAnsi="华文仿宋" w:eastAsia="仿宋_GB2312" w:cs="方正仿宋_GB2312"/>
          <w:sz w:val="32"/>
          <w:szCs w:val="32"/>
        </w:rPr>
      </w:pPr>
      <w:r>
        <w:rPr>
          <w:rFonts w:hint="eastAsia" w:ascii="仿宋_GB2312" w:hAnsi="华文仿宋" w:eastAsia="仿宋_GB2312" w:cs="方正仿宋_GB2312"/>
          <w:sz w:val="32"/>
          <w:szCs w:val="32"/>
        </w:rPr>
        <w:t>（七）负责消防应急救援专业队伍规划、建设与调度指挥，参与组织协调动员各类社会救援力量参加救援任务。</w:t>
      </w:r>
    </w:p>
    <w:p w14:paraId="3DB8C95C">
      <w:pPr>
        <w:spacing w:line="600" w:lineRule="exact"/>
        <w:ind w:firstLine="640" w:firstLineChars="200"/>
        <w:rPr>
          <w:rFonts w:ascii="仿宋_GB2312" w:hAnsi="华文仿宋" w:eastAsia="仿宋_GB2312" w:cs="方正仿宋_GB2312"/>
          <w:sz w:val="32"/>
          <w:szCs w:val="32"/>
        </w:rPr>
      </w:pPr>
      <w:r>
        <w:rPr>
          <w:rFonts w:hint="eastAsia" w:ascii="仿宋_GB2312" w:hAnsi="华文仿宋" w:eastAsia="仿宋_GB2312" w:cs="方正仿宋_GB2312"/>
          <w:sz w:val="32"/>
          <w:szCs w:val="32"/>
        </w:rPr>
        <w:t>（八）负责消防救援队伍建设与管理。</w:t>
      </w:r>
    </w:p>
    <w:p w14:paraId="2D1125BE">
      <w:pPr>
        <w:spacing w:line="600" w:lineRule="exact"/>
        <w:ind w:firstLine="640" w:firstLineChars="200"/>
        <w:jc w:val="left"/>
        <w:rPr>
          <w:rFonts w:ascii="方正仿宋_GB2312" w:hAnsi="方正仿宋_GB2312" w:eastAsia="方正仿宋_GB2312" w:cs="方正仿宋_GB2312"/>
          <w:sz w:val="32"/>
          <w:szCs w:val="32"/>
        </w:rPr>
      </w:pPr>
      <w:r>
        <w:rPr>
          <w:rFonts w:hint="eastAsia" w:ascii="仿宋_GB2312" w:hAnsi="华文仿宋" w:eastAsia="仿宋_GB2312" w:cs="方正仿宋_GB2312"/>
          <w:sz w:val="32"/>
          <w:szCs w:val="32"/>
        </w:rPr>
        <w:t>（九）完成应急管理部和所在</w:t>
      </w:r>
      <w:r>
        <w:rPr>
          <w:rFonts w:hint="eastAsia" w:ascii="仿宋_GB2312" w:hAnsi="华文仿宋" w:eastAsia="仿宋_GB2312" w:cs="方正仿宋_GB2312"/>
          <w:sz w:val="32"/>
          <w:szCs w:val="32"/>
          <w:lang w:val="en-US" w:eastAsia="zh-CN"/>
        </w:rPr>
        <w:t>市</w:t>
      </w:r>
      <w:r>
        <w:rPr>
          <w:rFonts w:hint="eastAsia" w:ascii="仿宋_GB2312" w:hAnsi="华文仿宋" w:eastAsia="仿宋_GB2312" w:cs="方正仿宋_GB2312"/>
          <w:sz w:val="32"/>
          <w:szCs w:val="32"/>
        </w:rPr>
        <w:t>党委政府交办的相关任务。</w:t>
      </w:r>
    </w:p>
    <w:p w14:paraId="2A7DFA52">
      <w:pPr>
        <w:spacing w:line="600" w:lineRule="exact"/>
        <w:ind w:firstLine="640" w:firstLineChars="200"/>
        <w:jc w:val="left"/>
        <w:outlineLvl w:val="0"/>
        <w:rPr>
          <w:rFonts w:ascii="黑体" w:hAnsi="华文楷体" w:eastAsia="黑体"/>
          <w:sz w:val="32"/>
          <w:szCs w:val="32"/>
        </w:rPr>
      </w:pPr>
      <w:r>
        <w:rPr>
          <w:rFonts w:hint="eastAsia" w:ascii="黑体" w:hAnsi="华文楷体" w:eastAsia="黑体"/>
          <w:sz w:val="32"/>
          <w:szCs w:val="32"/>
        </w:rPr>
        <w:t>二、部门预算单位构成</w:t>
      </w:r>
    </w:p>
    <w:p w14:paraId="5F6CBCE1">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rPr>
        <w:t>从预算单位构成看，</w:t>
      </w: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消防救援大队为中央财政四级预算单位即末级预算单位，隶属于唐山市消防救援支队。</w:t>
      </w:r>
    </w:p>
    <w:p w14:paraId="5F21C208">
      <w:pPr>
        <w:spacing w:line="600" w:lineRule="exact"/>
        <w:ind w:firstLine="640" w:firstLineChars="200"/>
        <w:rPr>
          <w:rFonts w:ascii="仿宋_GB2312" w:hAnsi="华文楷体" w:eastAsia="仿宋_GB2312"/>
          <w:sz w:val="32"/>
          <w:szCs w:val="32"/>
        </w:rPr>
      </w:pPr>
    </w:p>
    <w:p w14:paraId="32BD960A">
      <w:pPr>
        <w:spacing w:line="600" w:lineRule="exact"/>
        <w:ind w:firstLine="640" w:firstLineChars="200"/>
        <w:rPr>
          <w:rFonts w:ascii="仿宋_GB2312" w:hAnsi="华文楷体" w:eastAsia="仿宋_GB2312"/>
          <w:sz w:val="32"/>
          <w:szCs w:val="32"/>
        </w:rPr>
      </w:pPr>
    </w:p>
    <w:p w14:paraId="3368C4B9">
      <w:pPr>
        <w:spacing w:line="600" w:lineRule="exact"/>
        <w:rPr>
          <w:rFonts w:ascii="仿宋_GB2312" w:hAnsi="华文楷体" w:eastAsia="仿宋_GB2312"/>
          <w:sz w:val="32"/>
          <w:szCs w:val="32"/>
        </w:rPr>
      </w:pPr>
    </w:p>
    <w:p w14:paraId="409375F2">
      <w:pPr>
        <w:spacing w:line="600" w:lineRule="exact"/>
        <w:ind w:firstLine="640" w:firstLineChars="200"/>
        <w:rPr>
          <w:rFonts w:ascii="仿宋_GB2312" w:hAnsi="华文楷体" w:eastAsia="仿宋_GB2312"/>
          <w:sz w:val="32"/>
          <w:szCs w:val="32"/>
        </w:rPr>
      </w:pPr>
    </w:p>
    <w:p w14:paraId="31373C27">
      <w:pPr>
        <w:spacing w:line="600" w:lineRule="exact"/>
        <w:rPr>
          <w:rFonts w:ascii="仿宋_GB2312" w:hAnsi="华文楷体" w:eastAsia="仿宋_GB2312"/>
          <w:sz w:val="32"/>
          <w:szCs w:val="32"/>
        </w:rPr>
      </w:pPr>
    </w:p>
    <w:p w14:paraId="56E5F01D">
      <w:pPr>
        <w:spacing w:line="600" w:lineRule="exact"/>
        <w:rPr>
          <w:rFonts w:ascii="仿宋_GB2312" w:hAnsi="华文楷体" w:eastAsia="仿宋_GB2312"/>
          <w:sz w:val="32"/>
          <w:szCs w:val="32"/>
        </w:rPr>
      </w:pPr>
    </w:p>
    <w:p w14:paraId="3790E2F2">
      <w:pPr>
        <w:spacing w:line="600" w:lineRule="exact"/>
        <w:rPr>
          <w:rFonts w:ascii="仿宋_GB2312" w:hAnsi="华文楷体" w:eastAsia="仿宋_GB2312"/>
          <w:sz w:val="32"/>
          <w:szCs w:val="32"/>
        </w:rPr>
      </w:pPr>
    </w:p>
    <w:p w14:paraId="57A26141">
      <w:pPr>
        <w:spacing w:line="600" w:lineRule="exact"/>
        <w:rPr>
          <w:rFonts w:ascii="仿宋_GB2312" w:hAnsi="华文楷体" w:eastAsia="仿宋_GB2312"/>
          <w:sz w:val="32"/>
          <w:szCs w:val="32"/>
        </w:rPr>
      </w:pPr>
    </w:p>
    <w:p w14:paraId="0947E95A">
      <w:pPr>
        <w:spacing w:line="600" w:lineRule="exact"/>
        <w:rPr>
          <w:rFonts w:ascii="仿宋_GB2312" w:hAnsi="华文楷体" w:eastAsia="仿宋_GB2312"/>
          <w:sz w:val="32"/>
          <w:szCs w:val="32"/>
        </w:rPr>
      </w:pPr>
    </w:p>
    <w:p w14:paraId="0D32AFD1">
      <w:pPr>
        <w:spacing w:line="600" w:lineRule="exact"/>
        <w:rPr>
          <w:rFonts w:ascii="仿宋_GB2312" w:hAnsi="华文楷体" w:eastAsia="仿宋_GB2312"/>
          <w:sz w:val="32"/>
          <w:szCs w:val="32"/>
        </w:rPr>
      </w:pPr>
    </w:p>
    <w:p w14:paraId="21252239">
      <w:pPr>
        <w:spacing w:line="600" w:lineRule="exact"/>
        <w:rPr>
          <w:rFonts w:ascii="仿宋_GB2312" w:hAnsi="华文楷体" w:eastAsia="仿宋_GB2312"/>
          <w:sz w:val="32"/>
          <w:szCs w:val="32"/>
        </w:rPr>
      </w:pPr>
    </w:p>
    <w:p w14:paraId="1AA2BA0B">
      <w:pPr>
        <w:spacing w:line="600" w:lineRule="exact"/>
        <w:rPr>
          <w:rFonts w:ascii="仿宋_GB2312" w:hAnsi="华文楷体" w:eastAsia="仿宋_GB2312"/>
          <w:sz w:val="32"/>
          <w:szCs w:val="32"/>
        </w:rPr>
      </w:pPr>
    </w:p>
    <w:p w14:paraId="65F1E6E5">
      <w:pPr>
        <w:spacing w:line="600" w:lineRule="exact"/>
        <w:rPr>
          <w:rFonts w:ascii="仿宋_GB2312" w:hAnsi="华文楷体" w:eastAsia="仿宋_GB2312"/>
          <w:sz w:val="32"/>
          <w:szCs w:val="32"/>
        </w:rPr>
      </w:pPr>
    </w:p>
    <w:p w14:paraId="0928DD2B">
      <w:pPr>
        <w:spacing w:line="600" w:lineRule="exact"/>
        <w:jc w:val="center"/>
        <w:rPr>
          <w:rFonts w:ascii="黑体" w:hAnsi="华文楷体" w:eastAsia="黑体"/>
          <w:sz w:val="44"/>
          <w:szCs w:val="44"/>
        </w:rPr>
      </w:pPr>
    </w:p>
    <w:p w14:paraId="6FA4C4F4">
      <w:pPr>
        <w:spacing w:line="600" w:lineRule="exact"/>
        <w:jc w:val="center"/>
        <w:rPr>
          <w:rFonts w:ascii="黑体" w:hAnsi="华文楷体" w:eastAsia="黑体"/>
          <w:sz w:val="44"/>
          <w:szCs w:val="44"/>
        </w:rPr>
      </w:pPr>
    </w:p>
    <w:p w14:paraId="6D97A375">
      <w:pPr>
        <w:spacing w:line="600" w:lineRule="exact"/>
        <w:jc w:val="center"/>
        <w:rPr>
          <w:rFonts w:ascii="黑体" w:hAnsi="华文楷体" w:eastAsia="黑体"/>
          <w:sz w:val="44"/>
          <w:szCs w:val="44"/>
        </w:rPr>
      </w:pPr>
    </w:p>
    <w:p w14:paraId="23D72D11">
      <w:pPr>
        <w:pStyle w:val="3"/>
        <w:jc w:val="center"/>
        <w:outlineLvl w:val="0"/>
        <w:rPr>
          <w:rFonts w:ascii="黑体" w:hAnsi="华文楷体" w:eastAsia="黑体"/>
          <w:sz w:val="44"/>
          <w:szCs w:val="44"/>
        </w:rPr>
      </w:pPr>
      <w:r>
        <w:rPr>
          <w:rFonts w:hint="eastAsia" w:ascii="黑体" w:hAnsi="华文楷体" w:eastAsia="黑体"/>
          <w:sz w:val="44"/>
          <w:szCs w:val="44"/>
        </w:rPr>
        <w:t xml:space="preserve">第二部分 </w:t>
      </w:r>
      <w:r>
        <w:rPr>
          <w:rFonts w:hint="eastAsia" w:ascii="黑体" w:hAnsi="华文楷体" w:eastAsia="黑体"/>
          <w:sz w:val="44"/>
          <w:szCs w:val="44"/>
          <w:lang w:val="en-US" w:eastAsia="zh-CN"/>
        </w:rPr>
        <w:t>滦州市</w:t>
      </w:r>
      <w:r>
        <w:rPr>
          <w:rFonts w:hint="eastAsia" w:ascii="黑体" w:hAnsi="华文楷体" w:eastAsia="黑体"/>
          <w:sz w:val="44"/>
          <w:szCs w:val="44"/>
        </w:rPr>
        <w:t>消防救援大队</w:t>
      </w:r>
    </w:p>
    <w:p w14:paraId="0B4D0EBD">
      <w:pPr>
        <w:pStyle w:val="3"/>
        <w:jc w:val="center"/>
        <w:outlineLvl w:val="0"/>
        <w:rPr>
          <w:rFonts w:hint="eastAsia" w:ascii="仿宋_GB2312" w:hAnsi="华文楷体" w:eastAsia="仿宋_GB2312"/>
          <w:sz w:val="32"/>
          <w:szCs w:val="32"/>
          <w:lang w:eastAsia="zh-CN"/>
        </w:rPr>
      </w:pPr>
      <w:r>
        <w:rPr>
          <w:rFonts w:hint="eastAsia" w:ascii="黑体" w:hAnsi="华文楷体" w:eastAsia="黑体"/>
          <w:sz w:val="44"/>
          <w:szCs w:val="44"/>
          <w:lang w:eastAsia="zh-CN"/>
        </w:rPr>
        <w:t>202</w:t>
      </w:r>
      <w:r>
        <w:rPr>
          <w:rFonts w:hint="eastAsia" w:ascii="黑体" w:hAnsi="华文楷体" w:eastAsia="黑体"/>
          <w:sz w:val="44"/>
          <w:szCs w:val="44"/>
          <w:lang w:val="en-US" w:eastAsia="zh-CN"/>
        </w:rPr>
        <w:t>6</w:t>
      </w:r>
      <w:r>
        <w:rPr>
          <w:rFonts w:hint="eastAsia" w:ascii="黑体" w:hAnsi="华文楷体" w:eastAsia="黑体"/>
          <w:sz w:val="44"/>
          <w:szCs w:val="44"/>
        </w:rPr>
        <w:t xml:space="preserve"> 年部门预算表</w:t>
      </w:r>
    </w:p>
    <w:p w14:paraId="17828AD2">
      <w:pPr>
        <w:spacing w:line="240" w:lineRule="auto"/>
        <w:ind w:firstLine="640" w:firstLineChars="200"/>
        <w:rPr>
          <w:rFonts w:hint="eastAsia" w:ascii="仿宋_GB2312" w:hAnsi="华文楷体" w:eastAsia="仿宋_GB2312"/>
          <w:sz w:val="32"/>
          <w:szCs w:val="32"/>
          <w:lang w:eastAsia="zh-CN"/>
        </w:rPr>
      </w:pPr>
    </w:p>
    <w:p w14:paraId="45EA0A23">
      <w:pPr>
        <w:spacing w:line="240" w:lineRule="auto"/>
        <w:ind w:firstLine="640" w:firstLineChars="200"/>
        <w:rPr>
          <w:rFonts w:hint="eastAsia" w:ascii="仿宋_GB2312" w:hAnsi="华文楷体" w:eastAsia="仿宋_GB2312"/>
          <w:sz w:val="32"/>
          <w:szCs w:val="32"/>
          <w:lang w:eastAsia="zh-CN"/>
        </w:rPr>
      </w:pPr>
      <w:r>
        <w:rPr>
          <w:rFonts w:hint="eastAsia" w:ascii="仿宋_GB2312" w:hAnsi="华文楷体" w:eastAsia="仿宋_GB2312"/>
          <w:sz w:val="32"/>
          <w:szCs w:val="32"/>
          <w:lang w:eastAsia="zh-CN"/>
        </w:rPr>
        <w:drawing>
          <wp:anchor distT="0" distB="0" distL="114300" distR="114300" simplePos="0" relativeHeight="251659264" behindDoc="0" locked="0" layoutInCell="1" allowOverlap="1">
            <wp:simplePos x="0" y="0"/>
            <wp:positionH relativeFrom="column">
              <wp:posOffset>-692785</wp:posOffset>
            </wp:positionH>
            <wp:positionV relativeFrom="paragraph">
              <wp:posOffset>55245</wp:posOffset>
            </wp:positionV>
            <wp:extent cx="6918325" cy="2026920"/>
            <wp:effectExtent l="0" t="0" r="15875" b="11430"/>
            <wp:wrapNone/>
            <wp:docPr id="4" name="图片 4" descr="dac742be-2fdc-4390-8658-7ecf667b5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ac742be-2fdc-4390-8658-7ecf667b57f9"/>
                    <pic:cNvPicPr>
                      <a:picLocks noChangeAspect="1"/>
                    </pic:cNvPicPr>
                  </pic:nvPicPr>
                  <pic:blipFill>
                    <a:blip r:embed="rId5"/>
                    <a:stretch>
                      <a:fillRect/>
                    </a:stretch>
                  </pic:blipFill>
                  <pic:spPr>
                    <a:xfrm>
                      <a:off x="0" y="0"/>
                      <a:ext cx="6918325" cy="2026920"/>
                    </a:xfrm>
                    <a:prstGeom prst="rect">
                      <a:avLst/>
                    </a:prstGeom>
                  </pic:spPr>
                </pic:pic>
              </a:graphicData>
            </a:graphic>
          </wp:anchor>
        </w:drawing>
      </w:r>
    </w:p>
    <w:p w14:paraId="654698FE">
      <w:pPr>
        <w:spacing w:line="240" w:lineRule="auto"/>
        <w:ind w:firstLine="640" w:firstLineChars="200"/>
        <w:rPr>
          <w:rFonts w:hint="eastAsia" w:ascii="仿宋_GB2312" w:hAnsi="华文楷体" w:eastAsia="仿宋_GB2312"/>
          <w:sz w:val="32"/>
          <w:szCs w:val="32"/>
          <w:lang w:eastAsia="zh-CN"/>
        </w:rPr>
      </w:pPr>
    </w:p>
    <w:p w14:paraId="58A2A0D2">
      <w:pPr>
        <w:spacing w:line="240" w:lineRule="auto"/>
        <w:ind w:firstLine="640" w:firstLineChars="200"/>
        <w:rPr>
          <w:rFonts w:hint="eastAsia" w:ascii="仿宋_GB2312" w:hAnsi="华文楷体" w:eastAsia="仿宋_GB2312"/>
          <w:sz w:val="32"/>
          <w:szCs w:val="32"/>
          <w:lang w:eastAsia="zh-CN"/>
        </w:rPr>
      </w:pPr>
    </w:p>
    <w:p w14:paraId="28D34420">
      <w:pPr>
        <w:spacing w:line="240" w:lineRule="auto"/>
        <w:ind w:firstLine="640" w:firstLineChars="200"/>
        <w:rPr>
          <w:rFonts w:hint="eastAsia" w:ascii="仿宋_GB2312" w:hAnsi="华文楷体" w:eastAsia="仿宋_GB2312"/>
          <w:sz w:val="32"/>
          <w:szCs w:val="32"/>
          <w:lang w:eastAsia="zh-CN"/>
        </w:rPr>
      </w:pPr>
    </w:p>
    <w:p w14:paraId="1EC7AA6F">
      <w:pPr>
        <w:spacing w:line="240" w:lineRule="auto"/>
        <w:ind w:firstLine="640" w:firstLineChars="200"/>
        <w:rPr>
          <w:rFonts w:hint="eastAsia" w:ascii="仿宋_GB2312" w:hAnsi="华文楷体" w:eastAsia="仿宋_GB2312"/>
          <w:sz w:val="32"/>
          <w:szCs w:val="32"/>
          <w:lang w:eastAsia="zh-CN"/>
        </w:rPr>
      </w:pPr>
    </w:p>
    <w:p w14:paraId="0FF17CE5">
      <w:pPr>
        <w:spacing w:line="240" w:lineRule="auto"/>
        <w:ind w:firstLine="640" w:firstLineChars="200"/>
        <w:rPr>
          <w:rFonts w:hint="eastAsia" w:ascii="仿宋_GB2312" w:hAnsi="华文楷体" w:eastAsia="仿宋_GB2312"/>
          <w:sz w:val="32"/>
          <w:szCs w:val="32"/>
          <w:lang w:eastAsia="zh-CN"/>
        </w:rPr>
      </w:pPr>
    </w:p>
    <w:p w14:paraId="1A7B4B71">
      <w:pPr>
        <w:spacing w:line="240" w:lineRule="auto"/>
        <w:ind w:firstLine="640" w:firstLineChars="200"/>
        <w:rPr>
          <w:rFonts w:hint="eastAsia" w:ascii="仿宋_GB2312" w:hAnsi="华文楷体" w:eastAsia="仿宋_GB2312"/>
          <w:sz w:val="32"/>
          <w:szCs w:val="32"/>
          <w:lang w:eastAsia="zh-CN"/>
        </w:rPr>
      </w:pPr>
    </w:p>
    <w:p w14:paraId="7A907145">
      <w:pPr>
        <w:spacing w:line="240" w:lineRule="auto"/>
        <w:ind w:firstLine="640" w:firstLineChars="200"/>
        <w:rPr>
          <w:rFonts w:hint="eastAsia" w:ascii="仿宋_GB2312" w:hAnsi="华文楷体" w:eastAsia="仿宋_GB2312"/>
          <w:sz w:val="32"/>
          <w:szCs w:val="32"/>
          <w:lang w:eastAsia="zh-CN"/>
        </w:rPr>
      </w:pPr>
    </w:p>
    <w:p w14:paraId="69B0D48D">
      <w:pPr>
        <w:spacing w:line="240" w:lineRule="auto"/>
        <w:ind w:firstLine="420" w:firstLineChars="200"/>
        <w:rPr>
          <w:rFonts w:hint="eastAsia" w:ascii="仿宋_GB2312" w:hAnsi="华文楷体" w:eastAsia="仿宋_GB2312"/>
          <w:sz w:val="32"/>
          <w:szCs w:val="32"/>
          <w:lang w:eastAsia="zh-CN"/>
        </w:rPr>
      </w:pPr>
      <w:r>
        <w:drawing>
          <wp:anchor distT="0" distB="0" distL="114300" distR="114300" simplePos="0" relativeHeight="251660288" behindDoc="0" locked="0" layoutInCell="1" allowOverlap="1">
            <wp:simplePos x="0" y="0"/>
            <wp:positionH relativeFrom="column">
              <wp:posOffset>-758825</wp:posOffset>
            </wp:positionH>
            <wp:positionV relativeFrom="paragraph">
              <wp:posOffset>7620</wp:posOffset>
            </wp:positionV>
            <wp:extent cx="7043420" cy="1076325"/>
            <wp:effectExtent l="0" t="0" r="5080" b="9525"/>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7043420" cy="1076325"/>
                    </a:xfrm>
                    <a:prstGeom prst="rect">
                      <a:avLst/>
                    </a:prstGeom>
                    <a:noFill/>
                    <a:ln>
                      <a:noFill/>
                    </a:ln>
                  </pic:spPr>
                </pic:pic>
              </a:graphicData>
            </a:graphic>
          </wp:anchor>
        </w:drawing>
      </w:r>
    </w:p>
    <w:p w14:paraId="457AC10A">
      <w:pPr>
        <w:spacing w:line="240" w:lineRule="auto"/>
        <w:ind w:firstLine="640" w:firstLineChars="200"/>
        <w:rPr>
          <w:rFonts w:hint="eastAsia" w:ascii="仿宋_GB2312" w:hAnsi="华文楷体" w:eastAsia="仿宋_GB2312"/>
          <w:sz w:val="32"/>
          <w:szCs w:val="32"/>
          <w:lang w:eastAsia="zh-CN"/>
        </w:rPr>
      </w:pPr>
    </w:p>
    <w:p w14:paraId="5AB16627">
      <w:pPr>
        <w:spacing w:line="240" w:lineRule="auto"/>
        <w:ind w:firstLine="640" w:firstLineChars="200"/>
        <w:rPr>
          <w:rFonts w:hint="eastAsia" w:ascii="仿宋_GB2312" w:hAnsi="华文楷体" w:eastAsia="仿宋_GB2312"/>
          <w:sz w:val="32"/>
          <w:szCs w:val="32"/>
          <w:lang w:eastAsia="zh-CN"/>
        </w:rPr>
      </w:pPr>
    </w:p>
    <w:p w14:paraId="5AF68B7D">
      <w:pPr>
        <w:spacing w:line="240" w:lineRule="auto"/>
        <w:ind w:firstLine="640" w:firstLineChars="200"/>
        <w:rPr>
          <w:rFonts w:hint="eastAsia" w:ascii="仿宋_GB2312" w:hAnsi="华文楷体" w:eastAsia="仿宋_GB2312"/>
          <w:sz w:val="32"/>
          <w:szCs w:val="32"/>
          <w:lang w:eastAsia="zh-CN"/>
        </w:rPr>
      </w:pPr>
    </w:p>
    <w:p w14:paraId="54D13830">
      <w:pPr>
        <w:spacing w:line="240" w:lineRule="auto"/>
        <w:ind w:firstLine="640" w:firstLineChars="200"/>
        <w:rPr>
          <w:rFonts w:hint="eastAsia" w:ascii="仿宋_GB2312" w:hAnsi="华文楷体" w:eastAsia="仿宋_GB2312"/>
          <w:sz w:val="32"/>
          <w:szCs w:val="32"/>
          <w:lang w:eastAsia="zh-CN"/>
        </w:rPr>
      </w:pPr>
    </w:p>
    <w:p w14:paraId="3294DF08">
      <w:pPr>
        <w:spacing w:line="240" w:lineRule="auto"/>
        <w:ind w:firstLine="640" w:firstLineChars="200"/>
        <w:rPr>
          <w:rFonts w:hint="eastAsia" w:ascii="仿宋_GB2312" w:hAnsi="华文楷体" w:eastAsia="仿宋_GB2312"/>
          <w:sz w:val="32"/>
          <w:szCs w:val="32"/>
          <w:lang w:eastAsia="zh-CN"/>
        </w:rPr>
      </w:pPr>
    </w:p>
    <w:p w14:paraId="2839FF89">
      <w:pPr>
        <w:spacing w:line="240" w:lineRule="auto"/>
        <w:ind w:firstLine="420" w:firstLineChars="200"/>
        <w:rPr>
          <w:rFonts w:hint="eastAsia" w:ascii="仿宋_GB2312" w:hAnsi="华文楷体" w:eastAsia="仿宋_GB2312"/>
          <w:sz w:val="32"/>
          <w:szCs w:val="32"/>
          <w:lang w:eastAsia="zh-CN"/>
        </w:rPr>
      </w:pPr>
      <w:r>
        <w:drawing>
          <wp:anchor distT="0" distB="0" distL="114300" distR="114300" simplePos="0" relativeHeight="251661312" behindDoc="0" locked="0" layoutInCell="1" allowOverlap="1">
            <wp:simplePos x="0" y="0"/>
            <wp:positionH relativeFrom="column">
              <wp:posOffset>-634365</wp:posOffset>
            </wp:positionH>
            <wp:positionV relativeFrom="paragraph">
              <wp:posOffset>63500</wp:posOffset>
            </wp:positionV>
            <wp:extent cx="6811645" cy="1499235"/>
            <wp:effectExtent l="0" t="0" r="8255" b="5715"/>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6811645" cy="1499235"/>
                    </a:xfrm>
                    <a:prstGeom prst="rect">
                      <a:avLst/>
                    </a:prstGeom>
                    <a:noFill/>
                    <a:ln>
                      <a:noFill/>
                    </a:ln>
                  </pic:spPr>
                </pic:pic>
              </a:graphicData>
            </a:graphic>
          </wp:anchor>
        </w:drawing>
      </w:r>
    </w:p>
    <w:p w14:paraId="341D0EDD">
      <w:pPr>
        <w:spacing w:line="240" w:lineRule="auto"/>
        <w:ind w:firstLine="640" w:firstLineChars="200"/>
        <w:jc w:val="left"/>
        <w:rPr>
          <w:rFonts w:hint="eastAsia" w:ascii="黑体" w:hAnsi="华文楷体" w:eastAsia="黑体"/>
          <w:sz w:val="32"/>
          <w:szCs w:val="32"/>
          <w:lang w:eastAsia="zh-CN"/>
        </w:rPr>
      </w:pPr>
    </w:p>
    <w:p w14:paraId="3E5F7603">
      <w:pPr>
        <w:spacing w:line="600" w:lineRule="exact"/>
        <w:jc w:val="left"/>
        <w:rPr>
          <w:rFonts w:ascii="黑体" w:hAnsi="华文楷体" w:eastAsia="黑体"/>
          <w:sz w:val="32"/>
          <w:szCs w:val="32"/>
        </w:rPr>
      </w:pPr>
    </w:p>
    <w:p w14:paraId="11067EF6">
      <w:pPr>
        <w:spacing w:line="600" w:lineRule="exact"/>
        <w:jc w:val="left"/>
        <w:rPr>
          <w:rFonts w:ascii="黑体" w:hAnsi="华文楷体" w:eastAsia="黑体"/>
          <w:sz w:val="32"/>
          <w:szCs w:val="32"/>
        </w:rPr>
      </w:pPr>
    </w:p>
    <w:p w14:paraId="2ABEB161">
      <w:pPr>
        <w:spacing w:line="600" w:lineRule="exact"/>
        <w:jc w:val="left"/>
        <w:rPr>
          <w:rFonts w:ascii="黑体" w:hAnsi="华文楷体" w:eastAsia="黑体"/>
          <w:sz w:val="32"/>
          <w:szCs w:val="32"/>
        </w:rPr>
      </w:pPr>
    </w:p>
    <w:p w14:paraId="34F3C5E6">
      <w:pPr>
        <w:spacing w:line="600" w:lineRule="exact"/>
        <w:jc w:val="left"/>
        <w:rPr>
          <w:rFonts w:hint="eastAsia" w:ascii="黑体" w:hAnsi="华文楷体" w:eastAsia="黑体"/>
          <w:sz w:val="32"/>
          <w:szCs w:val="32"/>
          <w:lang w:eastAsia="zh-CN"/>
        </w:rPr>
      </w:pPr>
      <w:r>
        <w:drawing>
          <wp:anchor distT="0" distB="0" distL="114300" distR="114300" simplePos="0" relativeHeight="251662336" behindDoc="0" locked="0" layoutInCell="1" allowOverlap="1">
            <wp:simplePos x="0" y="0"/>
            <wp:positionH relativeFrom="column">
              <wp:posOffset>-15240</wp:posOffset>
            </wp:positionH>
            <wp:positionV relativeFrom="paragraph">
              <wp:posOffset>12700</wp:posOffset>
            </wp:positionV>
            <wp:extent cx="5598160" cy="2889250"/>
            <wp:effectExtent l="0" t="0" r="2540" b="6350"/>
            <wp:wrapNone/>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8"/>
                    <a:stretch>
                      <a:fillRect/>
                    </a:stretch>
                  </pic:blipFill>
                  <pic:spPr>
                    <a:xfrm>
                      <a:off x="0" y="0"/>
                      <a:ext cx="5598160" cy="2889250"/>
                    </a:xfrm>
                    <a:prstGeom prst="rect">
                      <a:avLst/>
                    </a:prstGeom>
                    <a:noFill/>
                    <a:ln>
                      <a:noFill/>
                    </a:ln>
                  </pic:spPr>
                </pic:pic>
              </a:graphicData>
            </a:graphic>
          </wp:anchor>
        </w:drawing>
      </w:r>
    </w:p>
    <w:p w14:paraId="5733A446">
      <w:pPr>
        <w:spacing w:line="600" w:lineRule="exact"/>
        <w:jc w:val="left"/>
        <w:rPr>
          <w:rFonts w:ascii="黑体" w:hAnsi="华文楷体" w:eastAsia="黑体"/>
          <w:sz w:val="32"/>
          <w:szCs w:val="32"/>
        </w:rPr>
      </w:pPr>
    </w:p>
    <w:p w14:paraId="0DEECC53">
      <w:pPr>
        <w:spacing w:line="600" w:lineRule="exact"/>
        <w:jc w:val="left"/>
        <w:rPr>
          <w:rFonts w:hint="eastAsia" w:ascii="黑体" w:hAnsi="华文楷体" w:eastAsia="黑体"/>
          <w:sz w:val="32"/>
          <w:szCs w:val="32"/>
          <w:lang w:eastAsia="zh-CN"/>
        </w:rPr>
      </w:pPr>
    </w:p>
    <w:p w14:paraId="14B5E16F">
      <w:pPr>
        <w:spacing w:line="600" w:lineRule="exact"/>
        <w:jc w:val="left"/>
        <w:rPr>
          <w:rFonts w:ascii="黑体" w:hAnsi="华文楷体" w:eastAsia="黑体"/>
          <w:sz w:val="32"/>
          <w:szCs w:val="32"/>
        </w:rPr>
      </w:pPr>
    </w:p>
    <w:p w14:paraId="687A42CE">
      <w:pPr>
        <w:spacing w:line="600" w:lineRule="exact"/>
        <w:jc w:val="left"/>
        <w:rPr>
          <w:rFonts w:ascii="黑体" w:hAnsi="华文楷体" w:eastAsia="黑体"/>
          <w:sz w:val="32"/>
          <w:szCs w:val="32"/>
        </w:rPr>
      </w:pPr>
    </w:p>
    <w:p w14:paraId="2E3AAD90">
      <w:pPr>
        <w:spacing w:line="600" w:lineRule="exact"/>
        <w:jc w:val="left"/>
        <w:rPr>
          <w:rFonts w:hint="eastAsia" w:ascii="黑体" w:hAnsi="华文楷体" w:eastAsia="黑体"/>
          <w:sz w:val="32"/>
          <w:szCs w:val="32"/>
          <w:lang w:eastAsia="zh-CN"/>
        </w:rPr>
      </w:pPr>
    </w:p>
    <w:p w14:paraId="5B889020">
      <w:pPr>
        <w:spacing w:line="600" w:lineRule="exact"/>
        <w:jc w:val="left"/>
        <w:rPr>
          <w:rFonts w:hint="eastAsia" w:ascii="黑体" w:hAnsi="华文楷体" w:eastAsia="黑体"/>
          <w:sz w:val="32"/>
          <w:szCs w:val="32"/>
          <w:lang w:eastAsia="zh-CN"/>
        </w:rPr>
      </w:pPr>
    </w:p>
    <w:p w14:paraId="501A1D44">
      <w:pPr>
        <w:spacing w:line="600" w:lineRule="exact"/>
        <w:jc w:val="left"/>
        <w:rPr>
          <w:rFonts w:ascii="黑体" w:hAnsi="华文楷体" w:eastAsia="黑体"/>
          <w:sz w:val="32"/>
          <w:szCs w:val="32"/>
        </w:rPr>
      </w:pPr>
    </w:p>
    <w:p w14:paraId="11B4C22B">
      <w:pPr>
        <w:spacing w:line="600" w:lineRule="exact"/>
        <w:jc w:val="left"/>
        <w:rPr>
          <w:rFonts w:ascii="黑体" w:hAnsi="华文楷体" w:eastAsia="黑体"/>
          <w:sz w:val="32"/>
          <w:szCs w:val="32"/>
        </w:rPr>
      </w:pPr>
    </w:p>
    <w:p w14:paraId="1E251D8F">
      <w:pPr>
        <w:spacing w:line="600" w:lineRule="exact"/>
        <w:jc w:val="left"/>
        <w:rPr>
          <w:rFonts w:ascii="黑体" w:hAnsi="华文楷体" w:eastAsia="黑体"/>
          <w:sz w:val="32"/>
          <w:szCs w:val="32"/>
        </w:rPr>
      </w:pPr>
    </w:p>
    <w:p w14:paraId="75F8FBF1">
      <w:pPr>
        <w:spacing w:line="600" w:lineRule="exact"/>
        <w:jc w:val="left"/>
        <w:rPr>
          <w:rFonts w:ascii="黑体" w:hAnsi="华文楷体" w:eastAsia="黑体"/>
          <w:sz w:val="32"/>
          <w:szCs w:val="32"/>
        </w:rPr>
      </w:pPr>
      <w:r>
        <w:drawing>
          <wp:anchor distT="0" distB="0" distL="114300" distR="114300" simplePos="0" relativeHeight="251663360" behindDoc="0" locked="0" layoutInCell="1" allowOverlap="1">
            <wp:simplePos x="0" y="0"/>
            <wp:positionH relativeFrom="column">
              <wp:posOffset>-72390</wp:posOffset>
            </wp:positionH>
            <wp:positionV relativeFrom="paragraph">
              <wp:posOffset>29845</wp:posOffset>
            </wp:positionV>
            <wp:extent cx="5702300" cy="1344930"/>
            <wp:effectExtent l="0" t="0" r="12700" b="7620"/>
            <wp:wrapNone/>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9"/>
                    <a:stretch>
                      <a:fillRect/>
                    </a:stretch>
                  </pic:blipFill>
                  <pic:spPr>
                    <a:xfrm>
                      <a:off x="0" y="0"/>
                      <a:ext cx="5702300" cy="1344930"/>
                    </a:xfrm>
                    <a:prstGeom prst="rect">
                      <a:avLst/>
                    </a:prstGeom>
                    <a:noFill/>
                    <a:ln>
                      <a:noFill/>
                    </a:ln>
                  </pic:spPr>
                </pic:pic>
              </a:graphicData>
            </a:graphic>
          </wp:anchor>
        </w:drawing>
      </w:r>
    </w:p>
    <w:p w14:paraId="6274F408">
      <w:pPr>
        <w:spacing w:line="600" w:lineRule="exact"/>
        <w:jc w:val="left"/>
        <w:rPr>
          <w:rFonts w:ascii="黑体" w:hAnsi="华文楷体" w:eastAsia="黑体"/>
          <w:sz w:val="32"/>
          <w:szCs w:val="32"/>
        </w:rPr>
      </w:pPr>
    </w:p>
    <w:p w14:paraId="190F13BD">
      <w:pPr>
        <w:spacing w:line="600" w:lineRule="exact"/>
        <w:jc w:val="left"/>
        <w:rPr>
          <w:rFonts w:ascii="黑体" w:hAnsi="华文楷体" w:eastAsia="黑体"/>
          <w:sz w:val="32"/>
          <w:szCs w:val="32"/>
        </w:rPr>
      </w:pPr>
    </w:p>
    <w:p w14:paraId="451DCD56">
      <w:pPr>
        <w:spacing w:line="600" w:lineRule="exact"/>
        <w:jc w:val="left"/>
        <w:rPr>
          <w:rFonts w:ascii="黑体" w:hAnsi="华文楷体" w:eastAsia="黑体"/>
          <w:sz w:val="32"/>
          <w:szCs w:val="32"/>
        </w:rPr>
      </w:pPr>
    </w:p>
    <w:p w14:paraId="34DB728C">
      <w:pPr>
        <w:spacing w:line="600" w:lineRule="exact"/>
        <w:jc w:val="left"/>
        <w:rPr>
          <w:rFonts w:ascii="黑体" w:hAnsi="华文楷体" w:eastAsia="黑体"/>
          <w:sz w:val="32"/>
          <w:szCs w:val="32"/>
        </w:rPr>
      </w:pPr>
    </w:p>
    <w:p w14:paraId="64E5B366">
      <w:pPr>
        <w:spacing w:line="600" w:lineRule="exact"/>
        <w:jc w:val="left"/>
        <w:rPr>
          <w:rFonts w:ascii="黑体" w:hAnsi="华文楷体" w:eastAsia="黑体"/>
          <w:sz w:val="32"/>
          <w:szCs w:val="32"/>
        </w:rPr>
      </w:pPr>
    </w:p>
    <w:p w14:paraId="6B91C37F">
      <w:pPr>
        <w:spacing w:line="600" w:lineRule="exact"/>
        <w:jc w:val="left"/>
        <w:rPr>
          <w:rFonts w:ascii="黑体" w:hAnsi="华文楷体" w:eastAsia="黑体"/>
          <w:sz w:val="32"/>
          <w:szCs w:val="32"/>
        </w:rPr>
      </w:pPr>
      <w:r>
        <w:drawing>
          <wp:anchor distT="0" distB="0" distL="114300" distR="114300" simplePos="0" relativeHeight="251664384" behindDoc="0" locked="0" layoutInCell="1" allowOverlap="1">
            <wp:simplePos x="0" y="0"/>
            <wp:positionH relativeFrom="column">
              <wp:posOffset>-299720</wp:posOffset>
            </wp:positionH>
            <wp:positionV relativeFrom="paragraph">
              <wp:posOffset>3810</wp:posOffset>
            </wp:positionV>
            <wp:extent cx="6003925" cy="1263015"/>
            <wp:effectExtent l="0" t="0" r="15875" b="13335"/>
            <wp:wrapNone/>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0"/>
                    <a:stretch>
                      <a:fillRect/>
                    </a:stretch>
                  </pic:blipFill>
                  <pic:spPr>
                    <a:xfrm>
                      <a:off x="0" y="0"/>
                      <a:ext cx="6003925" cy="1263015"/>
                    </a:xfrm>
                    <a:prstGeom prst="rect">
                      <a:avLst/>
                    </a:prstGeom>
                    <a:noFill/>
                    <a:ln>
                      <a:noFill/>
                    </a:ln>
                  </pic:spPr>
                </pic:pic>
              </a:graphicData>
            </a:graphic>
          </wp:anchor>
        </w:drawing>
      </w:r>
    </w:p>
    <w:p w14:paraId="05422E02">
      <w:pPr>
        <w:spacing w:line="600" w:lineRule="exact"/>
        <w:jc w:val="left"/>
        <w:rPr>
          <w:rFonts w:ascii="黑体" w:hAnsi="华文楷体" w:eastAsia="黑体"/>
          <w:sz w:val="32"/>
          <w:szCs w:val="32"/>
        </w:rPr>
      </w:pPr>
    </w:p>
    <w:p w14:paraId="41CD3A9D">
      <w:pPr>
        <w:spacing w:line="600" w:lineRule="exact"/>
        <w:jc w:val="left"/>
        <w:rPr>
          <w:rFonts w:ascii="黑体" w:hAnsi="华文楷体" w:eastAsia="黑体"/>
          <w:sz w:val="32"/>
          <w:szCs w:val="32"/>
        </w:rPr>
      </w:pPr>
    </w:p>
    <w:p w14:paraId="76DA51C6">
      <w:pPr>
        <w:spacing w:line="600" w:lineRule="exact"/>
        <w:jc w:val="left"/>
        <w:rPr>
          <w:rFonts w:ascii="黑体" w:hAnsi="华文楷体" w:eastAsia="黑体"/>
          <w:sz w:val="32"/>
          <w:szCs w:val="32"/>
        </w:rPr>
      </w:pPr>
    </w:p>
    <w:p w14:paraId="1FF5233F">
      <w:pPr>
        <w:spacing w:line="600" w:lineRule="exact"/>
        <w:jc w:val="left"/>
        <w:rPr>
          <w:rFonts w:ascii="黑体" w:hAnsi="华文楷体" w:eastAsia="黑体"/>
          <w:sz w:val="32"/>
          <w:szCs w:val="32"/>
        </w:rPr>
      </w:pPr>
    </w:p>
    <w:p w14:paraId="0B841D99">
      <w:pPr>
        <w:spacing w:line="600" w:lineRule="exact"/>
        <w:jc w:val="left"/>
        <w:rPr>
          <w:rFonts w:ascii="黑体" w:hAnsi="华文楷体" w:eastAsia="黑体"/>
          <w:sz w:val="32"/>
          <w:szCs w:val="32"/>
        </w:rPr>
      </w:pPr>
    </w:p>
    <w:p w14:paraId="7CFE9F20">
      <w:pPr>
        <w:spacing w:line="600" w:lineRule="exact"/>
        <w:jc w:val="left"/>
        <w:rPr>
          <w:rFonts w:ascii="黑体" w:hAnsi="华文楷体" w:eastAsia="黑体"/>
          <w:sz w:val="32"/>
          <w:szCs w:val="32"/>
        </w:rPr>
      </w:pPr>
    </w:p>
    <w:p w14:paraId="7D3789C8">
      <w:pPr>
        <w:spacing w:line="600" w:lineRule="exact"/>
        <w:jc w:val="left"/>
        <w:rPr>
          <w:rFonts w:ascii="黑体" w:hAnsi="华文楷体" w:eastAsia="黑体"/>
          <w:sz w:val="32"/>
          <w:szCs w:val="32"/>
        </w:rPr>
      </w:pPr>
      <w:r>
        <w:drawing>
          <wp:anchor distT="0" distB="0" distL="114300" distR="114300" simplePos="0" relativeHeight="251665408" behindDoc="0" locked="0" layoutInCell="1" allowOverlap="1">
            <wp:simplePos x="0" y="0"/>
            <wp:positionH relativeFrom="column">
              <wp:posOffset>-271145</wp:posOffset>
            </wp:positionH>
            <wp:positionV relativeFrom="paragraph">
              <wp:posOffset>142240</wp:posOffset>
            </wp:positionV>
            <wp:extent cx="5753100" cy="1273175"/>
            <wp:effectExtent l="0" t="0" r="0" b="3175"/>
            <wp:wrapNone/>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1"/>
                    <a:stretch>
                      <a:fillRect/>
                    </a:stretch>
                  </pic:blipFill>
                  <pic:spPr>
                    <a:xfrm>
                      <a:off x="0" y="0"/>
                      <a:ext cx="5753100" cy="1273175"/>
                    </a:xfrm>
                    <a:prstGeom prst="rect">
                      <a:avLst/>
                    </a:prstGeom>
                    <a:noFill/>
                    <a:ln>
                      <a:noFill/>
                    </a:ln>
                  </pic:spPr>
                </pic:pic>
              </a:graphicData>
            </a:graphic>
          </wp:anchor>
        </w:drawing>
      </w:r>
    </w:p>
    <w:p w14:paraId="7F8C595A">
      <w:pPr>
        <w:spacing w:line="600" w:lineRule="exact"/>
        <w:jc w:val="left"/>
        <w:rPr>
          <w:rFonts w:ascii="黑体" w:hAnsi="华文楷体" w:eastAsia="黑体"/>
          <w:sz w:val="32"/>
          <w:szCs w:val="32"/>
        </w:rPr>
      </w:pPr>
    </w:p>
    <w:p w14:paraId="371FCDDF">
      <w:pPr>
        <w:spacing w:line="600" w:lineRule="exact"/>
        <w:jc w:val="left"/>
        <w:rPr>
          <w:rFonts w:ascii="黑体" w:hAnsi="华文楷体" w:eastAsia="黑体"/>
          <w:sz w:val="32"/>
          <w:szCs w:val="32"/>
        </w:rPr>
      </w:pPr>
    </w:p>
    <w:p w14:paraId="72B45846">
      <w:pPr>
        <w:spacing w:line="600" w:lineRule="exact"/>
        <w:jc w:val="left"/>
        <w:rPr>
          <w:rFonts w:ascii="黑体" w:hAnsi="华文楷体" w:eastAsia="黑体"/>
          <w:sz w:val="32"/>
          <w:szCs w:val="32"/>
        </w:rPr>
      </w:pPr>
    </w:p>
    <w:p w14:paraId="33F2AC2A">
      <w:pPr>
        <w:spacing w:line="600" w:lineRule="exact"/>
        <w:jc w:val="left"/>
        <w:rPr>
          <w:rFonts w:ascii="黑体" w:hAnsi="华文楷体" w:eastAsia="黑体"/>
          <w:sz w:val="32"/>
          <w:szCs w:val="32"/>
        </w:rPr>
      </w:pPr>
    </w:p>
    <w:p w14:paraId="634B5A7A">
      <w:pPr>
        <w:spacing w:line="600" w:lineRule="exact"/>
        <w:jc w:val="left"/>
        <w:rPr>
          <w:rFonts w:ascii="黑体" w:hAnsi="华文楷体" w:eastAsia="黑体"/>
          <w:sz w:val="32"/>
          <w:szCs w:val="32"/>
        </w:rPr>
      </w:pPr>
    </w:p>
    <w:p w14:paraId="18C3818F">
      <w:pPr>
        <w:spacing w:line="600" w:lineRule="exact"/>
        <w:jc w:val="left"/>
        <w:rPr>
          <w:rFonts w:ascii="黑体" w:hAnsi="华文楷体" w:eastAsia="黑体"/>
          <w:sz w:val="32"/>
          <w:szCs w:val="32"/>
        </w:rPr>
      </w:pPr>
      <w:r>
        <w:drawing>
          <wp:anchor distT="0" distB="0" distL="114300" distR="114300" simplePos="0" relativeHeight="251666432" behindDoc="0" locked="0" layoutInCell="1" allowOverlap="1">
            <wp:simplePos x="0" y="0"/>
            <wp:positionH relativeFrom="column">
              <wp:posOffset>-241935</wp:posOffset>
            </wp:positionH>
            <wp:positionV relativeFrom="paragraph">
              <wp:posOffset>61595</wp:posOffset>
            </wp:positionV>
            <wp:extent cx="5822315" cy="1612900"/>
            <wp:effectExtent l="0" t="0" r="6985" b="6350"/>
            <wp:wrapNone/>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2"/>
                    <a:stretch>
                      <a:fillRect/>
                    </a:stretch>
                  </pic:blipFill>
                  <pic:spPr>
                    <a:xfrm>
                      <a:off x="0" y="0"/>
                      <a:ext cx="5822315" cy="1612900"/>
                    </a:xfrm>
                    <a:prstGeom prst="rect">
                      <a:avLst/>
                    </a:prstGeom>
                    <a:noFill/>
                    <a:ln>
                      <a:noFill/>
                    </a:ln>
                  </pic:spPr>
                </pic:pic>
              </a:graphicData>
            </a:graphic>
          </wp:anchor>
        </w:drawing>
      </w:r>
    </w:p>
    <w:p w14:paraId="2A74957F">
      <w:pPr>
        <w:spacing w:line="600" w:lineRule="exact"/>
        <w:jc w:val="left"/>
        <w:rPr>
          <w:rFonts w:ascii="黑体" w:hAnsi="华文楷体" w:eastAsia="黑体"/>
          <w:sz w:val="32"/>
          <w:szCs w:val="32"/>
        </w:rPr>
      </w:pPr>
    </w:p>
    <w:p w14:paraId="6310FC62">
      <w:pPr>
        <w:spacing w:line="600" w:lineRule="exact"/>
        <w:jc w:val="left"/>
        <w:rPr>
          <w:rFonts w:ascii="黑体" w:hAnsi="华文楷体" w:eastAsia="黑体"/>
          <w:sz w:val="32"/>
          <w:szCs w:val="32"/>
        </w:rPr>
      </w:pPr>
    </w:p>
    <w:p w14:paraId="00A416FD">
      <w:pPr>
        <w:spacing w:line="600" w:lineRule="exact"/>
        <w:jc w:val="left"/>
        <w:rPr>
          <w:rFonts w:ascii="黑体" w:hAnsi="华文楷体" w:eastAsia="黑体"/>
          <w:sz w:val="32"/>
          <w:szCs w:val="32"/>
        </w:rPr>
      </w:pPr>
    </w:p>
    <w:p w14:paraId="74C89822">
      <w:pPr>
        <w:spacing w:line="600" w:lineRule="exact"/>
        <w:jc w:val="left"/>
        <w:rPr>
          <w:rFonts w:ascii="黑体" w:hAnsi="华文楷体" w:eastAsia="黑体"/>
          <w:sz w:val="32"/>
          <w:szCs w:val="32"/>
        </w:rPr>
      </w:pPr>
    </w:p>
    <w:p w14:paraId="23B9BFBB">
      <w:pPr>
        <w:spacing w:line="600" w:lineRule="exact"/>
        <w:jc w:val="left"/>
        <w:rPr>
          <w:rFonts w:ascii="黑体" w:hAnsi="华文楷体" w:eastAsia="黑体"/>
          <w:sz w:val="32"/>
          <w:szCs w:val="32"/>
        </w:rPr>
      </w:pPr>
    </w:p>
    <w:p w14:paraId="54973D40">
      <w:pPr>
        <w:spacing w:line="600" w:lineRule="exact"/>
        <w:jc w:val="left"/>
        <w:rPr>
          <w:rFonts w:ascii="黑体" w:hAnsi="华文楷体" w:eastAsia="黑体"/>
          <w:sz w:val="32"/>
          <w:szCs w:val="32"/>
        </w:rPr>
      </w:pPr>
    </w:p>
    <w:p w14:paraId="27950C74">
      <w:pPr>
        <w:spacing w:line="600" w:lineRule="exact"/>
        <w:jc w:val="left"/>
        <w:rPr>
          <w:rFonts w:ascii="黑体" w:hAnsi="华文楷体" w:eastAsia="黑体"/>
          <w:sz w:val="32"/>
          <w:szCs w:val="32"/>
        </w:rPr>
      </w:pPr>
      <w:r>
        <w:drawing>
          <wp:anchor distT="0" distB="0" distL="114300" distR="114300" simplePos="0" relativeHeight="251667456" behindDoc="0" locked="0" layoutInCell="1" allowOverlap="1">
            <wp:simplePos x="0" y="0"/>
            <wp:positionH relativeFrom="column">
              <wp:posOffset>-256540</wp:posOffset>
            </wp:positionH>
            <wp:positionV relativeFrom="paragraph">
              <wp:posOffset>41275</wp:posOffset>
            </wp:positionV>
            <wp:extent cx="5843905" cy="728980"/>
            <wp:effectExtent l="0" t="0" r="4445" b="13970"/>
            <wp:wrapNone/>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3"/>
                    <a:stretch>
                      <a:fillRect/>
                    </a:stretch>
                  </pic:blipFill>
                  <pic:spPr>
                    <a:xfrm>
                      <a:off x="0" y="0"/>
                      <a:ext cx="5843905" cy="728980"/>
                    </a:xfrm>
                    <a:prstGeom prst="rect">
                      <a:avLst/>
                    </a:prstGeom>
                    <a:noFill/>
                    <a:ln>
                      <a:noFill/>
                    </a:ln>
                  </pic:spPr>
                </pic:pic>
              </a:graphicData>
            </a:graphic>
          </wp:anchor>
        </w:drawing>
      </w:r>
    </w:p>
    <w:p w14:paraId="22960DB9">
      <w:pPr>
        <w:spacing w:line="600" w:lineRule="exact"/>
        <w:jc w:val="left"/>
        <w:rPr>
          <w:rFonts w:ascii="黑体" w:hAnsi="华文楷体" w:eastAsia="黑体"/>
          <w:sz w:val="32"/>
          <w:szCs w:val="32"/>
        </w:rPr>
      </w:pPr>
    </w:p>
    <w:p w14:paraId="2D7570D0">
      <w:pPr>
        <w:spacing w:line="600" w:lineRule="exact"/>
        <w:jc w:val="left"/>
        <w:rPr>
          <w:rFonts w:ascii="黑体" w:hAnsi="华文楷体" w:eastAsia="黑体"/>
          <w:sz w:val="32"/>
          <w:szCs w:val="32"/>
        </w:rPr>
      </w:pPr>
    </w:p>
    <w:p w14:paraId="7B9F7F20">
      <w:pPr>
        <w:spacing w:line="600" w:lineRule="exact"/>
        <w:jc w:val="left"/>
        <w:rPr>
          <w:rFonts w:ascii="黑体" w:hAnsi="华文楷体" w:eastAsia="黑体"/>
          <w:sz w:val="32"/>
          <w:szCs w:val="32"/>
        </w:rPr>
      </w:pPr>
    </w:p>
    <w:p w14:paraId="1A8D1483">
      <w:pPr>
        <w:spacing w:line="600" w:lineRule="exact"/>
        <w:jc w:val="left"/>
        <w:rPr>
          <w:rFonts w:ascii="黑体" w:hAnsi="华文楷体" w:eastAsia="黑体"/>
          <w:sz w:val="32"/>
          <w:szCs w:val="32"/>
        </w:rPr>
      </w:pPr>
    </w:p>
    <w:p w14:paraId="264C7FEA">
      <w:pPr>
        <w:spacing w:line="600" w:lineRule="exact"/>
        <w:jc w:val="left"/>
        <w:rPr>
          <w:rFonts w:ascii="黑体" w:hAnsi="华文楷体" w:eastAsia="黑体"/>
          <w:sz w:val="32"/>
          <w:szCs w:val="32"/>
        </w:rPr>
      </w:pPr>
    </w:p>
    <w:p w14:paraId="360A461B">
      <w:pPr>
        <w:spacing w:line="600" w:lineRule="exact"/>
        <w:jc w:val="left"/>
        <w:rPr>
          <w:rFonts w:ascii="黑体" w:hAnsi="华文楷体" w:eastAsia="黑体"/>
          <w:sz w:val="32"/>
          <w:szCs w:val="32"/>
        </w:rPr>
      </w:pPr>
    </w:p>
    <w:p w14:paraId="69536D8F">
      <w:pPr>
        <w:spacing w:line="600" w:lineRule="exact"/>
        <w:jc w:val="left"/>
        <w:rPr>
          <w:rFonts w:ascii="黑体" w:hAnsi="华文楷体" w:eastAsia="黑体"/>
          <w:sz w:val="32"/>
          <w:szCs w:val="32"/>
        </w:rPr>
      </w:pPr>
    </w:p>
    <w:p w14:paraId="770C1E45">
      <w:pPr>
        <w:spacing w:line="600" w:lineRule="exact"/>
        <w:jc w:val="left"/>
        <w:rPr>
          <w:rFonts w:ascii="黑体" w:hAnsi="华文楷体" w:eastAsia="黑体"/>
          <w:sz w:val="32"/>
          <w:szCs w:val="32"/>
        </w:rPr>
      </w:pPr>
    </w:p>
    <w:p w14:paraId="36EE608A">
      <w:pPr>
        <w:spacing w:line="600" w:lineRule="exact"/>
        <w:jc w:val="left"/>
        <w:rPr>
          <w:rFonts w:ascii="黑体" w:hAnsi="华文楷体" w:eastAsia="黑体"/>
          <w:sz w:val="32"/>
          <w:szCs w:val="32"/>
        </w:rPr>
      </w:pPr>
    </w:p>
    <w:p w14:paraId="0A4095E5">
      <w:pPr>
        <w:pStyle w:val="3"/>
        <w:jc w:val="center"/>
        <w:outlineLvl w:val="0"/>
        <w:rPr>
          <w:rFonts w:ascii="黑体" w:hAnsi="华文楷体" w:eastAsia="黑体"/>
          <w:sz w:val="44"/>
          <w:szCs w:val="44"/>
        </w:rPr>
      </w:pPr>
      <w:r>
        <w:rPr>
          <w:rFonts w:hint="eastAsia" w:ascii="黑体" w:hAnsi="华文楷体" w:eastAsia="黑体"/>
          <w:sz w:val="44"/>
          <w:szCs w:val="44"/>
        </w:rPr>
        <w:t xml:space="preserve">第三部分 </w:t>
      </w:r>
      <w:r>
        <w:rPr>
          <w:rFonts w:hint="eastAsia" w:ascii="黑体" w:hAnsi="华文楷体" w:eastAsia="黑体"/>
          <w:sz w:val="44"/>
          <w:szCs w:val="44"/>
          <w:lang w:val="en-US" w:eastAsia="zh-CN"/>
        </w:rPr>
        <w:t>滦州市</w:t>
      </w:r>
      <w:r>
        <w:rPr>
          <w:rFonts w:hint="eastAsia" w:ascii="黑体" w:hAnsi="华文楷体" w:eastAsia="黑体"/>
          <w:sz w:val="44"/>
          <w:szCs w:val="44"/>
        </w:rPr>
        <w:t>消防救援大队</w:t>
      </w:r>
    </w:p>
    <w:p w14:paraId="1139BA7B">
      <w:pPr>
        <w:pStyle w:val="3"/>
        <w:jc w:val="center"/>
        <w:outlineLvl w:val="0"/>
        <w:rPr>
          <w:rFonts w:ascii="黑体" w:hAnsi="华文楷体" w:eastAsia="黑体"/>
          <w:sz w:val="44"/>
          <w:szCs w:val="44"/>
        </w:rPr>
      </w:pPr>
      <w:r>
        <w:rPr>
          <w:rFonts w:hint="eastAsia" w:ascii="黑体" w:hAnsi="华文楷体" w:eastAsia="黑体"/>
          <w:sz w:val="44"/>
          <w:szCs w:val="44"/>
        </w:rPr>
        <w:t>202</w:t>
      </w:r>
      <w:r>
        <w:rPr>
          <w:rFonts w:hint="eastAsia" w:ascii="黑体" w:hAnsi="华文楷体" w:eastAsia="黑体"/>
          <w:sz w:val="44"/>
          <w:szCs w:val="44"/>
          <w:lang w:val="en-US" w:eastAsia="zh-CN"/>
        </w:rPr>
        <w:t>6</w:t>
      </w:r>
      <w:r>
        <w:rPr>
          <w:rFonts w:hint="eastAsia" w:ascii="黑体" w:hAnsi="华文楷体" w:eastAsia="黑体"/>
          <w:sz w:val="44"/>
          <w:szCs w:val="44"/>
        </w:rPr>
        <w:t>年部门预算情况说明</w:t>
      </w:r>
    </w:p>
    <w:p w14:paraId="23DCB4CB">
      <w:pPr>
        <w:spacing w:line="600" w:lineRule="exact"/>
        <w:ind w:firstLine="640" w:firstLineChars="200"/>
        <w:outlineLvl w:val="0"/>
        <w:rPr>
          <w:rFonts w:ascii="黑体" w:hAnsi="华文楷体" w:eastAsia="黑体"/>
          <w:sz w:val="32"/>
          <w:szCs w:val="32"/>
        </w:rPr>
      </w:pPr>
      <w:r>
        <w:rPr>
          <w:rFonts w:hint="eastAsia" w:ascii="黑体" w:hAnsi="华文楷体" w:eastAsia="黑体"/>
          <w:sz w:val="32"/>
          <w:szCs w:val="32"/>
        </w:rPr>
        <w:t>一、关于</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w:t>
      </w:r>
      <w:r>
        <w:rPr>
          <w:rFonts w:hint="eastAsia" w:ascii="黑体" w:hAnsi="华文楷体" w:eastAsia="黑体"/>
          <w:sz w:val="32"/>
          <w:szCs w:val="32"/>
          <w:lang w:eastAsia="zh-CN"/>
        </w:rPr>
        <w:t>202</w:t>
      </w:r>
      <w:r>
        <w:rPr>
          <w:rFonts w:hint="eastAsia" w:ascii="黑体" w:hAnsi="华文楷体" w:eastAsia="黑体"/>
          <w:sz w:val="32"/>
          <w:szCs w:val="32"/>
          <w:lang w:val="en-US" w:eastAsia="zh-CN"/>
        </w:rPr>
        <w:t>6</w:t>
      </w:r>
      <w:r>
        <w:rPr>
          <w:rFonts w:hint="eastAsia" w:ascii="黑体" w:hAnsi="华文楷体" w:eastAsia="黑体"/>
          <w:sz w:val="32"/>
          <w:szCs w:val="32"/>
          <w:lang w:eastAsia="zh-CN"/>
        </w:rPr>
        <w:t>年</w:t>
      </w:r>
      <w:r>
        <w:rPr>
          <w:rFonts w:hint="eastAsia" w:ascii="黑体" w:hAnsi="华文楷体" w:eastAsia="黑体"/>
          <w:sz w:val="32"/>
          <w:szCs w:val="32"/>
        </w:rPr>
        <w:t>财政拨款收支预算情况的总体说明</w:t>
      </w:r>
    </w:p>
    <w:p w14:paraId="133689B8">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ascii="仿宋_GB2312" w:hAnsi="华文楷体" w:eastAsia="仿宋_GB2312"/>
          <w:sz w:val="32"/>
          <w:szCs w:val="32"/>
        </w:rPr>
        <w:t>预算收入包括：灾害防治及应急管理支出。地方财政拨款收入在“其他收入”中反映，主要包括消防救援</w:t>
      </w:r>
      <w:r>
        <w:rPr>
          <w:rFonts w:hint="eastAsia" w:ascii="仿宋_GB2312" w:hAnsi="华文楷体" w:eastAsia="仿宋_GB2312"/>
          <w:sz w:val="32"/>
          <w:szCs w:val="32"/>
        </w:rPr>
        <w:t>队伍</w:t>
      </w:r>
      <w:r>
        <w:rPr>
          <w:rFonts w:ascii="仿宋_GB2312" w:hAnsi="华文楷体" w:eastAsia="仿宋_GB2312"/>
          <w:sz w:val="32"/>
          <w:szCs w:val="32"/>
        </w:rPr>
        <w:t>开展消防宣传、火灾防治、灭火救援训练演练等业务经费</w:t>
      </w:r>
      <w:r>
        <w:rPr>
          <w:rFonts w:hint="eastAsia" w:ascii="仿宋_GB2312" w:hAnsi="华文楷体" w:eastAsia="仿宋_GB2312"/>
          <w:sz w:val="32"/>
          <w:szCs w:val="32"/>
        </w:rPr>
        <w:t>和专职人员工资保险等人员经费</w:t>
      </w:r>
      <w:r>
        <w:rPr>
          <w:rFonts w:ascii="仿宋_GB2312" w:hAnsi="华文楷体" w:eastAsia="仿宋_GB2312"/>
          <w:sz w:val="32"/>
          <w:szCs w:val="32"/>
        </w:rPr>
        <w:t>。</w:t>
      </w: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ascii="仿宋_GB2312" w:hAnsi="华文楷体" w:eastAsia="仿宋_GB2312"/>
          <w:sz w:val="32"/>
          <w:szCs w:val="32"/>
        </w:rPr>
        <w:t>收支总预算</w:t>
      </w:r>
      <w:r>
        <w:rPr>
          <w:rFonts w:hint="eastAsia" w:ascii="仿宋_GB2312" w:hAnsi="华文楷体" w:eastAsia="仿宋_GB2312"/>
          <w:sz w:val="32"/>
          <w:szCs w:val="32"/>
          <w:lang w:val="en-US" w:eastAsia="zh-CN"/>
        </w:rPr>
        <w:t>1555.05</w:t>
      </w:r>
      <w:r>
        <w:rPr>
          <w:rFonts w:ascii="仿宋_GB2312" w:hAnsi="华文楷体" w:eastAsia="仿宋_GB2312"/>
          <w:sz w:val="32"/>
          <w:szCs w:val="32"/>
        </w:rPr>
        <w:t>万元。</w:t>
      </w:r>
    </w:p>
    <w:p w14:paraId="554580CE">
      <w:pPr>
        <w:spacing w:line="600" w:lineRule="exact"/>
        <w:ind w:firstLine="640" w:firstLineChars="200"/>
        <w:outlineLvl w:val="0"/>
      </w:pPr>
      <w:r>
        <w:rPr>
          <w:rFonts w:ascii="黑体" w:hAnsi="华文楷体" w:eastAsia="黑体"/>
          <w:sz w:val="32"/>
          <w:szCs w:val="32"/>
        </w:rPr>
        <w:t>二、关于</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w:t>
      </w:r>
      <w:r>
        <w:rPr>
          <w:rFonts w:hint="eastAsia" w:ascii="黑体" w:hAnsi="华文楷体" w:eastAsia="黑体"/>
          <w:sz w:val="32"/>
          <w:szCs w:val="32"/>
          <w:lang w:eastAsia="zh-CN"/>
        </w:rPr>
        <w:t>202</w:t>
      </w:r>
      <w:r>
        <w:rPr>
          <w:rFonts w:hint="eastAsia" w:ascii="黑体" w:hAnsi="华文楷体" w:eastAsia="黑体"/>
          <w:sz w:val="32"/>
          <w:szCs w:val="32"/>
          <w:lang w:val="en-US" w:eastAsia="zh-CN"/>
        </w:rPr>
        <w:t>6</w:t>
      </w:r>
      <w:r>
        <w:rPr>
          <w:rFonts w:hint="eastAsia" w:ascii="黑体" w:hAnsi="华文楷体" w:eastAsia="黑体"/>
          <w:sz w:val="32"/>
          <w:szCs w:val="32"/>
          <w:lang w:eastAsia="zh-CN"/>
        </w:rPr>
        <w:t>年</w:t>
      </w:r>
      <w:r>
        <w:rPr>
          <w:rFonts w:ascii="黑体" w:hAnsi="华文楷体" w:eastAsia="黑体"/>
          <w:sz w:val="32"/>
          <w:szCs w:val="32"/>
        </w:rPr>
        <w:t>收入预算情况说明</w:t>
      </w:r>
    </w:p>
    <w:p w14:paraId="28308C2E">
      <w:pPr>
        <w:spacing w:line="600" w:lineRule="exact"/>
        <w:ind w:firstLine="640" w:firstLineChars="200"/>
        <w:rPr>
          <w:rFonts w:ascii="仿宋_GB2312" w:hAnsi="华文楷体" w:eastAsia="仿宋_GB2312"/>
          <w:color w:val="FF0000"/>
          <w:sz w:val="32"/>
          <w:szCs w:val="32"/>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ascii="仿宋_GB2312" w:hAnsi="华文楷体" w:eastAsia="仿宋_GB2312"/>
          <w:sz w:val="32"/>
          <w:szCs w:val="32"/>
        </w:rPr>
        <w:t>202</w:t>
      </w:r>
      <w:r>
        <w:rPr>
          <w:rFonts w:hint="eastAsia" w:ascii="仿宋_GB2312" w:hAnsi="华文楷体" w:eastAsia="仿宋_GB2312"/>
          <w:sz w:val="32"/>
          <w:szCs w:val="32"/>
          <w:lang w:val="en-US" w:eastAsia="zh-CN"/>
        </w:rPr>
        <w:t>6</w:t>
      </w:r>
      <w:r>
        <w:rPr>
          <w:rFonts w:ascii="仿宋_GB2312" w:hAnsi="华文楷体" w:eastAsia="仿宋_GB2312"/>
          <w:sz w:val="32"/>
          <w:szCs w:val="32"/>
        </w:rPr>
        <w:t>年收入预算</w:t>
      </w:r>
      <w:r>
        <w:rPr>
          <w:rFonts w:hint="eastAsia" w:ascii="仿宋_GB2312" w:hAnsi="华文楷体" w:eastAsia="仿宋_GB2312"/>
          <w:sz w:val="32"/>
          <w:szCs w:val="32"/>
          <w:lang w:val="en-US" w:eastAsia="zh-CN"/>
        </w:rPr>
        <w:t>1555.05</w:t>
      </w:r>
      <w:r>
        <w:rPr>
          <w:rFonts w:ascii="仿宋_GB2312" w:hAnsi="华文楷体" w:eastAsia="仿宋_GB2312"/>
          <w:sz w:val="32"/>
          <w:szCs w:val="32"/>
        </w:rPr>
        <w:t>万元，其中：一般公共预算拨款收入</w:t>
      </w:r>
      <w:r>
        <w:rPr>
          <w:rFonts w:hint="eastAsia" w:ascii="仿宋_GB2312" w:hAnsi="华文楷体" w:eastAsia="仿宋_GB2312"/>
          <w:sz w:val="32"/>
          <w:szCs w:val="32"/>
          <w:lang w:val="en-US" w:eastAsia="zh-CN"/>
        </w:rPr>
        <w:t>50.97</w:t>
      </w:r>
      <w:r>
        <w:rPr>
          <w:rFonts w:ascii="仿宋_GB2312" w:hAnsi="华文楷体" w:eastAsia="仿宋_GB2312"/>
          <w:sz w:val="32"/>
          <w:szCs w:val="32"/>
        </w:rPr>
        <w:t>万元，占</w:t>
      </w:r>
      <w:r>
        <w:rPr>
          <w:rFonts w:hint="eastAsia" w:ascii="仿宋_GB2312" w:hAnsi="华文楷体" w:eastAsia="仿宋_GB2312"/>
          <w:sz w:val="32"/>
          <w:szCs w:val="32"/>
          <w:lang w:val="en-US" w:eastAsia="zh-CN"/>
        </w:rPr>
        <w:t>3.28</w:t>
      </w:r>
      <w:r>
        <w:rPr>
          <w:rFonts w:ascii="仿宋_GB2312" w:hAnsi="华文楷体" w:eastAsia="仿宋_GB2312"/>
          <w:sz w:val="32"/>
          <w:szCs w:val="32"/>
        </w:rPr>
        <w:t>%；其他收入</w:t>
      </w:r>
      <w:r>
        <w:rPr>
          <w:rFonts w:hint="eastAsia" w:ascii="仿宋_GB2312" w:hAnsi="华文楷体" w:eastAsia="仿宋_GB2312"/>
          <w:sz w:val="32"/>
          <w:szCs w:val="32"/>
          <w:lang w:val="en-US" w:eastAsia="zh-CN"/>
        </w:rPr>
        <w:t>1504.08</w:t>
      </w:r>
      <w:r>
        <w:rPr>
          <w:rFonts w:ascii="仿宋_GB2312" w:hAnsi="华文楷体" w:eastAsia="仿宋_GB2312"/>
          <w:sz w:val="32"/>
          <w:szCs w:val="32"/>
        </w:rPr>
        <w:t>万元，占</w:t>
      </w:r>
      <w:r>
        <w:rPr>
          <w:rFonts w:hint="eastAsia" w:ascii="仿宋_GB2312" w:hAnsi="华文楷体" w:eastAsia="仿宋_GB2312"/>
          <w:sz w:val="32"/>
          <w:szCs w:val="32"/>
          <w:lang w:val="en-US" w:eastAsia="zh-CN"/>
        </w:rPr>
        <w:t>96.72</w:t>
      </w:r>
      <w:r>
        <w:rPr>
          <w:rFonts w:ascii="仿宋_GB2312" w:hAnsi="华文楷体" w:eastAsia="仿宋_GB2312"/>
          <w:sz w:val="32"/>
          <w:szCs w:val="32"/>
        </w:rPr>
        <w:t>%，主要是地方财政投入的消防经费。</w:t>
      </w:r>
    </w:p>
    <w:p w14:paraId="47A76A15">
      <w:pPr>
        <w:pStyle w:val="3"/>
        <w:spacing w:line="600" w:lineRule="exact"/>
        <w:ind w:firstLine="640" w:firstLineChars="200"/>
        <w:jc w:val="both"/>
        <w:outlineLvl w:val="0"/>
      </w:pPr>
      <w:r>
        <w:rPr>
          <w:rFonts w:ascii="黑体" w:hAnsi="华文楷体" w:eastAsia="黑体" w:cstheme="minorBidi"/>
          <w:kern w:val="2"/>
          <w:lang w:val="en-US" w:bidi="ar-SA"/>
        </w:rPr>
        <w:t>三、关于</w:t>
      </w:r>
      <w:r>
        <w:rPr>
          <w:rFonts w:hint="eastAsia" w:ascii="黑体" w:hAnsi="华文楷体" w:eastAsia="黑体"/>
          <w:lang w:val="en-US" w:eastAsia="zh-CN"/>
        </w:rPr>
        <w:t>滦州市</w:t>
      </w:r>
      <w:r>
        <w:rPr>
          <w:rFonts w:hint="eastAsia" w:ascii="黑体" w:hAnsi="华文楷体" w:eastAsia="黑体"/>
          <w:lang w:val="en-US"/>
        </w:rPr>
        <w:t>消防救援大队</w:t>
      </w:r>
      <w:r>
        <w:rPr>
          <w:rFonts w:hint="eastAsia" w:ascii="黑体" w:hAnsi="华文楷体" w:eastAsia="黑体" w:cstheme="minorBidi"/>
          <w:kern w:val="2"/>
          <w:lang w:val="en-US" w:eastAsia="zh-CN" w:bidi="ar-SA"/>
        </w:rPr>
        <w:t>2026年</w:t>
      </w:r>
      <w:r>
        <w:rPr>
          <w:rFonts w:ascii="黑体" w:hAnsi="华文楷体" w:eastAsia="黑体" w:cstheme="minorBidi"/>
          <w:kern w:val="2"/>
          <w:lang w:val="en-US" w:bidi="ar-SA"/>
        </w:rPr>
        <w:t>支出预算情况说明</w:t>
      </w:r>
    </w:p>
    <w:p w14:paraId="57786E53">
      <w:pPr>
        <w:pStyle w:val="3"/>
        <w:spacing w:line="600" w:lineRule="exact"/>
        <w:ind w:firstLine="640" w:firstLineChars="200"/>
        <w:jc w:val="both"/>
        <w:rPr>
          <w:rFonts w:ascii="仿宋_GB2312" w:hAnsi="华文楷体" w:eastAsia="仿宋_GB2312"/>
        </w:rPr>
      </w:pPr>
      <w:r>
        <w:rPr>
          <w:rFonts w:hint="eastAsia" w:ascii="仿宋_GB2312" w:hAnsi="华文楷体" w:eastAsia="仿宋_GB2312"/>
          <w:lang w:val="en-US" w:eastAsia="zh-CN"/>
        </w:rPr>
        <w:t>滦州市</w:t>
      </w:r>
      <w:r>
        <w:rPr>
          <w:rFonts w:hint="eastAsia" w:ascii="仿宋_GB2312" w:hAnsi="华文楷体" w:eastAsia="仿宋_GB2312"/>
          <w:lang w:val="en-US"/>
        </w:rPr>
        <w:t>消防救援大队</w:t>
      </w:r>
      <w:r>
        <w:rPr>
          <w:rFonts w:ascii="仿宋_GB2312" w:hAnsi="华文楷体" w:eastAsia="仿宋_GB2312" w:cstheme="minorBidi"/>
          <w:kern w:val="2"/>
          <w:lang w:val="en-US" w:bidi="ar-SA"/>
        </w:rPr>
        <w:t>202</w:t>
      </w:r>
      <w:r>
        <w:rPr>
          <w:rFonts w:hint="eastAsia" w:ascii="仿宋_GB2312" w:hAnsi="华文楷体" w:eastAsia="仿宋_GB2312" w:cstheme="minorBidi"/>
          <w:kern w:val="2"/>
          <w:lang w:val="en-US" w:eastAsia="zh-CN" w:bidi="ar-SA"/>
        </w:rPr>
        <w:t>6</w:t>
      </w:r>
      <w:r>
        <w:rPr>
          <w:rFonts w:ascii="仿宋_GB2312" w:hAnsi="华文楷体" w:eastAsia="仿宋_GB2312" w:cstheme="minorBidi"/>
          <w:kern w:val="2"/>
          <w:lang w:val="en-US" w:bidi="ar-SA"/>
        </w:rPr>
        <w:t>年支出预算</w:t>
      </w:r>
      <w:r>
        <w:rPr>
          <w:rFonts w:hint="eastAsia" w:ascii="仿宋_GB2312" w:hAnsi="华文楷体" w:eastAsia="仿宋_GB2312"/>
          <w:sz w:val="32"/>
          <w:szCs w:val="32"/>
          <w:lang w:val="en-US" w:eastAsia="zh-CN"/>
        </w:rPr>
        <w:t>1555.05</w:t>
      </w:r>
      <w:r>
        <w:rPr>
          <w:rFonts w:ascii="仿宋_GB2312" w:hAnsi="华文楷体" w:eastAsia="仿宋_GB2312" w:cstheme="minorBidi"/>
          <w:kern w:val="2"/>
          <w:lang w:val="en-US" w:bidi="ar-SA"/>
        </w:rPr>
        <w:t>万元，其中：基本</w:t>
      </w:r>
      <w:r>
        <w:rPr>
          <w:rFonts w:ascii="仿宋_GB2312" w:hAnsi="华文楷体" w:eastAsia="仿宋_GB2312"/>
        </w:rPr>
        <w:t>支出</w:t>
      </w:r>
      <w:r>
        <w:rPr>
          <w:rFonts w:hint="eastAsia" w:ascii="仿宋_GB2312" w:hAnsi="华文楷体" w:eastAsia="仿宋_GB2312"/>
          <w:lang w:val="en-US" w:eastAsia="zh-CN"/>
        </w:rPr>
        <w:t>1359.04</w:t>
      </w:r>
      <w:r>
        <w:rPr>
          <w:rFonts w:ascii="仿宋_GB2312" w:hAnsi="华文楷体" w:eastAsia="仿宋_GB2312"/>
        </w:rPr>
        <w:t>万元，占</w:t>
      </w:r>
      <w:r>
        <w:rPr>
          <w:rFonts w:hint="eastAsia" w:ascii="仿宋_GB2312" w:hAnsi="华文楷体" w:eastAsia="仿宋_GB2312"/>
          <w:lang w:val="en-US" w:eastAsia="zh-CN"/>
        </w:rPr>
        <w:t>87.40</w:t>
      </w:r>
      <w:r>
        <w:rPr>
          <w:rFonts w:ascii="仿宋_GB2312" w:hAnsi="华文楷体" w:eastAsia="仿宋_GB2312"/>
        </w:rPr>
        <w:t>%；项目支出</w:t>
      </w:r>
      <w:r>
        <w:rPr>
          <w:rFonts w:hint="eastAsia" w:ascii="仿宋_GB2312" w:hAnsi="华文楷体" w:eastAsia="仿宋_GB2312"/>
          <w:lang w:val="en-US" w:eastAsia="zh-CN"/>
        </w:rPr>
        <w:t>196.01</w:t>
      </w:r>
      <w:r>
        <w:rPr>
          <w:rFonts w:ascii="仿宋_GB2312" w:hAnsi="华文楷体" w:eastAsia="仿宋_GB2312"/>
        </w:rPr>
        <w:t>万元，占</w:t>
      </w:r>
      <w:r>
        <w:rPr>
          <w:rFonts w:hint="eastAsia" w:ascii="仿宋_GB2312" w:hAnsi="华文楷体" w:eastAsia="仿宋_GB2312"/>
          <w:lang w:val="en-US" w:eastAsia="zh-CN"/>
        </w:rPr>
        <w:t>12.60</w:t>
      </w:r>
      <w:r>
        <w:rPr>
          <w:rFonts w:ascii="仿宋_GB2312" w:hAnsi="华文楷体" w:eastAsia="仿宋_GB2312"/>
        </w:rPr>
        <w:t>%。</w:t>
      </w:r>
    </w:p>
    <w:p w14:paraId="260DFFC5">
      <w:pPr>
        <w:pStyle w:val="3"/>
        <w:spacing w:line="600" w:lineRule="exact"/>
        <w:ind w:firstLine="640" w:firstLineChars="200"/>
        <w:jc w:val="both"/>
        <w:outlineLvl w:val="0"/>
        <w:rPr>
          <w:rFonts w:ascii="黑体" w:hAnsi="华文楷体" w:eastAsia="黑体" w:cstheme="minorBidi"/>
          <w:kern w:val="2"/>
          <w:lang w:val="en-US" w:bidi="ar-SA"/>
        </w:rPr>
      </w:pPr>
      <w:r>
        <w:rPr>
          <w:rFonts w:ascii="黑体" w:hAnsi="华文楷体" w:eastAsia="黑体" w:cstheme="minorBidi"/>
          <w:kern w:val="2"/>
          <w:lang w:val="en-US" w:bidi="ar-SA"/>
        </w:rPr>
        <w:t>四、关于</w:t>
      </w:r>
      <w:r>
        <w:rPr>
          <w:rFonts w:hint="eastAsia" w:ascii="黑体" w:hAnsi="华文楷体" w:eastAsia="黑体"/>
          <w:lang w:val="en-US" w:eastAsia="zh-CN"/>
        </w:rPr>
        <w:t>滦州市</w:t>
      </w:r>
      <w:r>
        <w:rPr>
          <w:rFonts w:hint="eastAsia" w:ascii="黑体" w:hAnsi="华文楷体" w:eastAsia="黑体"/>
          <w:lang w:val="en-US"/>
        </w:rPr>
        <w:t>消防救援大队</w:t>
      </w:r>
      <w:r>
        <w:rPr>
          <w:rFonts w:hint="eastAsia" w:ascii="黑体" w:hAnsi="华文楷体" w:eastAsia="黑体" w:cstheme="minorBidi"/>
          <w:kern w:val="2"/>
          <w:lang w:val="en-US" w:eastAsia="zh-CN" w:bidi="ar-SA"/>
        </w:rPr>
        <w:t>2026年</w:t>
      </w:r>
      <w:r>
        <w:rPr>
          <w:rFonts w:ascii="黑体" w:hAnsi="华文楷体" w:eastAsia="黑体" w:cstheme="minorBidi"/>
          <w:kern w:val="2"/>
          <w:lang w:val="en-US" w:bidi="ar-SA"/>
        </w:rPr>
        <w:t>财政拨款收支预算情况总体说明</w:t>
      </w:r>
    </w:p>
    <w:p w14:paraId="7D984B9E">
      <w:pPr>
        <w:pStyle w:val="3"/>
        <w:spacing w:line="600" w:lineRule="exact"/>
        <w:ind w:firstLine="640" w:firstLineChars="200"/>
        <w:jc w:val="both"/>
        <w:rPr>
          <w:color w:val="FF0000"/>
        </w:rPr>
      </w:pPr>
      <w:r>
        <w:rPr>
          <w:rFonts w:hint="eastAsia" w:ascii="仿宋_GB2312" w:hAnsi="华文楷体" w:eastAsia="仿宋_GB2312"/>
          <w:lang w:val="en-US" w:eastAsia="zh-CN"/>
        </w:rPr>
        <w:t>滦州市</w:t>
      </w:r>
      <w:r>
        <w:rPr>
          <w:rFonts w:hint="eastAsia" w:ascii="仿宋_GB2312" w:hAnsi="华文楷体" w:eastAsia="仿宋_GB2312"/>
          <w:lang w:val="en-US"/>
        </w:rPr>
        <w:t>消防救援大队</w:t>
      </w:r>
      <w:r>
        <w:rPr>
          <w:rFonts w:hint="eastAsia" w:ascii="仿宋_GB2312" w:hAnsi="华文楷体" w:eastAsia="仿宋_GB2312" w:cstheme="minorBidi"/>
          <w:kern w:val="2"/>
          <w:lang w:val="en-US" w:eastAsia="zh-CN" w:bidi="ar-SA"/>
        </w:rPr>
        <w:t>2026</w:t>
      </w:r>
      <w:r>
        <w:rPr>
          <w:rFonts w:ascii="仿宋_GB2312" w:hAnsi="华文楷体" w:eastAsia="仿宋_GB2312" w:cstheme="minorBidi"/>
          <w:kern w:val="2"/>
          <w:lang w:val="en-US" w:bidi="ar-SA"/>
        </w:rPr>
        <w:t>年财政拨款收支总预算</w:t>
      </w:r>
      <w:r>
        <w:rPr>
          <w:rFonts w:hint="eastAsia" w:ascii="仿宋_GB2312" w:hAnsi="华文楷体" w:eastAsia="仿宋_GB2312" w:cstheme="minorBidi"/>
          <w:kern w:val="2"/>
          <w:lang w:val="en-US" w:eastAsia="zh-CN" w:bidi="ar-SA"/>
        </w:rPr>
        <w:t>50.97</w:t>
      </w:r>
      <w:r>
        <w:rPr>
          <w:rFonts w:ascii="仿宋_GB2312" w:hAnsi="华文楷体" w:eastAsia="仿宋_GB2312" w:cstheme="minorBidi"/>
          <w:kern w:val="2"/>
          <w:lang w:val="en-US" w:bidi="ar-SA"/>
        </w:rPr>
        <w:t>万元。收入全部为一般公共预算拨款，包括：一般公共预算拨款本年收入</w:t>
      </w:r>
      <w:r>
        <w:rPr>
          <w:rFonts w:hint="eastAsia" w:ascii="仿宋_GB2312" w:hAnsi="华文楷体" w:eastAsia="仿宋_GB2312" w:cstheme="minorBidi"/>
          <w:kern w:val="2"/>
          <w:lang w:val="en-US" w:eastAsia="zh-CN" w:bidi="ar-SA"/>
        </w:rPr>
        <w:t>50.97</w:t>
      </w:r>
      <w:r>
        <w:rPr>
          <w:rFonts w:ascii="仿宋_GB2312" w:hAnsi="华文楷体" w:eastAsia="仿宋_GB2312" w:cstheme="minorBidi"/>
          <w:kern w:val="2"/>
          <w:lang w:val="en-US" w:bidi="ar-SA"/>
        </w:rPr>
        <w:t>万元。支出包括：灾害防治及应急管理支出</w:t>
      </w:r>
      <w:r>
        <w:rPr>
          <w:rFonts w:hint="eastAsia" w:ascii="仿宋_GB2312" w:hAnsi="华文楷体" w:eastAsia="仿宋_GB2312" w:cstheme="minorBidi"/>
          <w:kern w:val="2"/>
          <w:lang w:val="en-US" w:eastAsia="zh-CN" w:bidi="ar-SA"/>
        </w:rPr>
        <w:t>50.97</w:t>
      </w:r>
      <w:r>
        <w:rPr>
          <w:rFonts w:ascii="仿宋_GB2312" w:hAnsi="华文楷体" w:eastAsia="仿宋_GB2312" w:cstheme="minorBidi"/>
          <w:kern w:val="2"/>
          <w:lang w:val="en-US" w:bidi="ar-SA"/>
        </w:rPr>
        <w:t>万元。</w:t>
      </w:r>
    </w:p>
    <w:p w14:paraId="3E5A4926">
      <w:pPr>
        <w:spacing w:line="600" w:lineRule="exact"/>
        <w:ind w:firstLine="640" w:firstLineChars="200"/>
        <w:jc w:val="left"/>
        <w:outlineLvl w:val="0"/>
        <w:rPr>
          <w:rFonts w:ascii="仿宋_GB2312" w:hAnsi="华文楷体" w:eastAsia="仿宋_GB2312"/>
          <w:sz w:val="32"/>
          <w:szCs w:val="32"/>
        </w:rPr>
      </w:pPr>
      <w:r>
        <w:rPr>
          <w:rFonts w:hint="eastAsia" w:ascii="黑体" w:hAnsi="华文楷体" w:eastAsia="黑体"/>
          <w:sz w:val="32"/>
          <w:szCs w:val="32"/>
        </w:rPr>
        <w:t>五、关于</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w:t>
      </w:r>
      <w:r>
        <w:rPr>
          <w:rFonts w:hint="eastAsia" w:ascii="黑体" w:hAnsi="华文楷体" w:eastAsia="黑体"/>
          <w:sz w:val="32"/>
          <w:szCs w:val="32"/>
          <w:lang w:eastAsia="zh-CN"/>
        </w:rPr>
        <w:t>202</w:t>
      </w:r>
      <w:r>
        <w:rPr>
          <w:rFonts w:hint="eastAsia" w:ascii="黑体" w:hAnsi="华文楷体" w:eastAsia="黑体"/>
          <w:sz w:val="32"/>
          <w:szCs w:val="32"/>
          <w:lang w:val="en-US" w:eastAsia="zh-CN"/>
        </w:rPr>
        <w:t>6</w:t>
      </w:r>
      <w:r>
        <w:rPr>
          <w:rFonts w:hint="eastAsia" w:ascii="黑体" w:hAnsi="华文楷体" w:eastAsia="黑体"/>
          <w:sz w:val="32"/>
          <w:szCs w:val="32"/>
          <w:lang w:eastAsia="zh-CN"/>
        </w:rPr>
        <w:t>年</w:t>
      </w:r>
      <w:r>
        <w:rPr>
          <w:rFonts w:hint="eastAsia" w:ascii="黑体" w:hAnsi="华文楷体" w:eastAsia="黑体"/>
          <w:sz w:val="32"/>
          <w:szCs w:val="32"/>
        </w:rPr>
        <w:t>一般公共预算当年拨款情况说明</w:t>
      </w:r>
    </w:p>
    <w:p w14:paraId="409C3D82">
      <w:pPr>
        <w:spacing w:line="60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（一）一般公共预算当年拨款规模变化情况说明。</w:t>
      </w:r>
    </w:p>
    <w:p w14:paraId="1EE70DE5">
      <w:pPr>
        <w:spacing w:line="600" w:lineRule="exact"/>
        <w:ind w:firstLine="640" w:firstLineChars="200"/>
        <w:rPr>
          <w:rFonts w:ascii="仿宋_GB2312" w:hAnsi="华文楷体" w:eastAsia="仿宋_GB2312"/>
          <w:color w:val="FF0000"/>
          <w:sz w:val="32"/>
          <w:szCs w:val="32"/>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一般公共预算当年拨款</w:t>
      </w:r>
      <w:r>
        <w:rPr>
          <w:rFonts w:hint="eastAsia" w:ascii="仿宋_GB2312" w:hAnsi="华文楷体" w:eastAsia="仿宋_GB2312"/>
          <w:sz w:val="32"/>
          <w:szCs w:val="32"/>
          <w:lang w:val="en-US" w:eastAsia="zh-CN"/>
        </w:rPr>
        <w:t>50.97</w:t>
      </w:r>
      <w:r>
        <w:rPr>
          <w:rFonts w:hint="eastAsia" w:ascii="仿宋_GB2312" w:hAnsi="华文楷体" w:eastAsia="仿宋_GB2312"/>
          <w:sz w:val="32"/>
          <w:szCs w:val="32"/>
        </w:rPr>
        <w:t>万元，比202</w:t>
      </w:r>
      <w:r>
        <w:rPr>
          <w:rFonts w:hint="eastAsia" w:ascii="仿宋_GB2312" w:hAnsi="华文楷体" w:eastAsia="仿宋_GB2312"/>
          <w:sz w:val="32"/>
          <w:szCs w:val="32"/>
          <w:lang w:val="en-US" w:eastAsia="zh-CN"/>
        </w:rPr>
        <w:t>5</w:t>
      </w:r>
      <w:r>
        <w:rPr>
          <w:rFonts w:hint="eastAsia" w:ascii="仿宋_GB2312" w:hAnsi="华文楷体" w:eastAsia="仿宋_GB2312"/>
          <w:sz w:val="32"/>
          <w:szCs w:val="32"/>
        </w:rPr>
        <w:t>年</w:t>
      </w:r>
      <w:r>
        <w:rPr>
          <w:rFonts w:hint="eastAsia" w:ascii="仿宋_GB2312" w:hAnsi="华文楷体" w:eastAsia="仿宋_GB2312"/>
          <w:sz w:val="32"/>
          <w:szCs w:val="32"/>
          <w:lang w:val="en-US" w:eastAsia="zh-CN"/>
        </w:rPr>
        <w:t>多14.37</w:t>
      </w:r>
      <w:r>
        <w:rPr>
          <w:rFonts w:hint="eastAsia" w:ascii="仿宋_GB2312" w:hAnsi="华文楷体" w:eastAsia="仿宋_GB2312"/>
          <w:sz w:val="32"/>
          <w:szCs w:val="32"/>
        </w:rPr>
        <w:t>万元。</w:t>
      </w:r>
      <w:r>
        <w:rPr>
          <w:rFonts w:ascii="仿宋_GB2312" w:hAnsi="华文楷体" w:eastAsia="仿宋_GB2312"/>
          <w:sz w:val="32"/>
          <w:szCs w:val="32"/>
        </w:rPr>
        <w:t>按照党中央、国务院关于过紧日子的有关要求，厉行节约办一切事业，严控一般性支出</w:t>
      </w:r>
      <w:r>
        <w:rPr>
          <w:rFonts w:hint="eastAsia" w:ascii="仿宋_GB2312" w:hAnsi="华文楷体" w:eastAsia="仿宋_GB2312"/>
          <w:sz w:val="32"/>
          <w:szCs w:val="32"/>
        </w:rPr>
        <w:t>。</w:t>
      </w:r>
    </w:p>
    <w:p w14:paraId="6B286F91">
      <w:pPr>
        <w:spacing w:line="600" w:lineRule="exact"/>
        <w:ind w:firstLine="640" w:firstLineChars="200"/>
        <w:rPr>
          <w:rFonts w:ascii="仿宋_GB2312" w:hAnsi="华文楷体" w:eastAsia="仿宋_GB2312"/>
          <w:sz w:val="32"/>
          <w:szCs w:val="32"/>
        </w:rPr>
      </w:pPr>
      <w:r>
        <w:rPr>
          <w:rFonts w:hint="eastAsia" w:ascii="华文楷体" w:hAnsi="华文楷体" w:eastAsia="华文楷体"/>
          <w:sz w:val="32"/>
          <w:szCs w:val="32"/>
        </w:rPr>
        <w:t>（二）一般公共预算当年拨款结构情况说明。</w:t>
      </w:r>
    </w:p>
    <w:p w14:paraId="7BC93AB2">
      <w:pPr>
        <w:spacing w:line="600" w:lineRule="exact"/>
        <w:ind w:firstLine="640" w:firstLineChars="200"/>
        <w:rPr>
          <w:rFonts w:ascii="仿宋_GB2312" w:hAnsi="华文楷体" w:eastAsia="仿宋_GB2312"/>
          <w:sz w:val="32"/>
          <w:szCs w:val="32"/>
        </w:rPr>
      </w:pPr>
      <w:r>
        <w:rPr>
          <w:rFonts w:ascii="仿宋_GB2312" w:hAnsi="华文楷体" w:eastAsia="仿宋_GB2312"/>
          <w:sz w:val="32"/>
          <w:szCs w:val="32"/>
        </w:rPr>
        <w:t>灾害防治及应急管理支出</w:t>
      </w:r>
      <w:r>
        <w:rPr>
          <w:rFonts w:hint="eastAsia" w:ascii="仿宋_GB2312" w:hAnsi="华文楷体" w:eastAsia="仿宋_GB2312"/>
          <w:sz w:val="32"/>
          <w:szCs w:val="32"/>
          <w:lang w:val="en-US" w:eastAsia="zh-CN"/>
        </w:rPr>
        <w:t>50.97</w:t>
      </w:r>
      <w:r>
        <w:rPr>
          <w:rFonts w:ascii="仿宋_GB2312" w:hAnsi="华文楷体" w:eastAsia="仿宋_GB2312"/>
          <w:sz w:val="32"/>
          <w:szCs w:val="32"/>
        </w:rPr>
        <w:t>万元</w:t>
      </w:r>
      <w:r>
        <w:rPr>
          <w:rFonts w:hint="eastAsia" w:ascii="仿宋_GB2312" w:hAnsi="华文楷体" w:eastAsia="仿宋_GB2312"/>
          <w:sz w:val="32"/>
          <w:szCs w:val="32"/>
        </w:rPr>
        <w:t>，</w:t>
      </w:r>
      <w:r>
        <w:rPr>
          <w:rFonts w:ascii="仿宋_GB2312" w:hAnsi="华文楷体" w:eastAsia="仿宋_GB2312"/>
          <w:sz w:val="32"/>
          <w:szCs w:val="32"/>
        </w:rPr>
        <w:t>占</w:t>
      </w:r>
      <w:r>
        <w:rPr>
          <w:rFonts w:hint="eastAsia" w:ascii="仿宋_GB2312" w:hAnsi="华文楷体" w:eastAsia="仿宋_GB2312"/>
          <w:sz w:val="32"/>
          <w:szCs w:val="32"/>
        </w:rPr>
        <w:t>100%。</w:t>
      </w:r>
    </w:p>
    <w:p w14:paraId="4D59E3F3">
      <w:pPr>
        <w:spacing w:line="600" w:lineRule="exact"/>
        <w:ind w:firstLine="640" w:firstLineChars="200"/>
        <w:rPr>
          <w:rFonts w:ascii="仿宋_GB2312" w:hAnsi="华文楷体" w:eastAsia="仿宋_GB2312"/>
          <w:sz w:val="32"/>
          <w:szCs w:val="32"/>
        </w:rPr>
      </w:pPr>
      <w:r>
        <w:rPr>
          <w:rFonts w:hint="eastAsia" w:ascii="华文楷体" w:hAnsi="华文楷体" w:eastAsia="华文楷体"/>
          <w:sz w:val="32"/>
          <w:szCs w:val="32"/>
        </w:rPr>
        <w:t>（三）一般公共预算按照支出功能分类情况说明。</w:t>
      </w:r>
    </w:p>
    <w:p w14:paraId="5F0DCF69">
      <w:pPr>
        <w:spacing w:line="600" w:lineRule="exact"/>
        <w:ind w:firstLine="640" w:firstLineChars="200"/>
        <w:rPr>
          <w:rFonts w:ascii="仿宋_GB2312" w:hAnsi="华文楷体" w:eastAsia="仿宋_GB2312"/>
          <w:color w:val="FF0000"/>
          <w:sz w:val="32"/>
          <w:szCs w:val="32"/>
        </w:rPr>
      </w:pPr>
      <w:r>
        <w:rPr>
          <w:rFonts w:hint="eastAsia" w:ascii="仿宋_GB2312" w:hAnsi="华文楷体" w:eastAsia="仿宋_GB2312"/>
          <w:sz w:val="32"/>
          <w:szCs w:val="32"/>
        </w:rPr>
        <w:t>按照支出功能分类</w:t>
      </w:r>
      <w:r>
        <w:rPr>
          <w:rFonts w:ascii="仿宋_GB2312" w:hAnsi="华文楷体" w:eastAsia="仿宋_GB2312"/>
          <w:sz w:val="32"/>
          <w:szCs w:val="32"/>
        </w:rPr>
        <w:t>灾害防治及应急管理方面的支出占部门支出总额的比重较高，主要是：22402 消防事务科目，</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ascii="仿宋_GB2312" w:hAnsi="华文楷体" w:eastAsia="仿宋_GB2312"/>
          <w:sz w:val="32"/>
          <w:szCs w:val="32"/>
        </w:rPr>
        <w:t>预算数为</w:t>
      </w:r>
      <w:r>
        <w:rPr>
          <w:rFonts w:hint="eastAsia" w:ascii="仿宋_GB2312" w:hAnsi="华文楷体" w:eastAsia="仿宋_GB2312"/>
          <w:sz w:val="32"/>
          <w:szCs w:val="32"/>
          <w:lang w:val="en-US" w:eastAsia="zh-CN"/>
        </w:rPr>
        <w:t>50.97</w:t>
      </w:r>
      <w:r>
        <w:rPr>
          <w:rFonts w:ascii="仿宋_GB2312" w:hAnsi="华文楷体" w:eastAsia="仿宋_GB2312"/>
          <w:sz w:val="32"/>
          <w:szCs w:val="32"/>
        </w:rPr>
        <w:t>万元，占一般公共预算支出的</w:t>
      </w:r>
      <w:r>
        <w:rPr>
          <w:rFonts w:hint="eastAsia" w:ascii="仿宋_GB2312" w:hAnsi="华文楷体" w:eastAsia="仿宋_GB2312"/>
          <w:sz w:val="32"/>
          <w:szCs w:val="32"/>
        </w:rPr>
        <w:t>100%</w:t>
      </w:r>
      <w:r>
        <w:rPr>
          <w:rFonts w:ascii="仿宋_GB2312" w:hAnsi="华文楷体" w:eastAsia="仿宋_GB2312"/>
          <w:sz w:val="32"/>
          <w:szCs w:val="32"/>
        </w:rPr>
        <w:t>，主要为用于消防救援队伍行政运行以及消防救援人员伙食费项目等方面的支出</w:t>
      </w:r>
      <w:r>
        <w:rPr>
          <w:rFonts w:hint="eastAsia" w:ascii="仿宋_GB2312" w:hAnsi="华文楷体" w:eastAsia="仿宋_GB2312"/>
          <w:sz w:val="32"/>
          <w:szCs w:val="32"/>
        </w:rPr>
        <w:t>。</w:t>
      </w:r>
    </w:p>
    <w:p w14:paraId="3D2DB0FE">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rPr>
        <w:t>1、灾害防治及应急管理支出（类）消防救援事务（款）行政运行（项）202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rPr>
        <w:t>年预算数为</w:t>
      </w:r>
      <w:r>
        <w:rPr>
          <w:rFonts w:hint="eastAsia" w:ascii="仿宋_GB2312" w:hAnsi="华文楷体" w:eastAsia="仿宋_GB2312"/>
          <w:sz w:val="32"/>
          <w:szCs w:val="32"/>
          <w:lang w:val="en-US" w:eastAsia="zh-CN"/>
        </w:rPr>
        <w:t>50.97</w:t>
      </w:r>
      <w:r>
        <w:rPr>
          <w:rFonts w:hint="eastAsia" w:ascii="仿宋_GB2312" w:hAnsi="华文楷体" w:eastAsia="仿宋_GB2312"/>
          <w:sz w:val="32"/>
          <w:szCs w:val="32"/>
        </w:rPr>
        <w:t>万元，比 202</w:t>
      </w:r>
      <w:r>
        <w:rPr>
          <w:rFonts w:hint="eastAsia" w:ascii="仿宋_GB2312" w:hAnsi="华文楷体" w:eastAsia="仿宋_GB2312"/>
          <w:sz w:val="32"/>
          <w:szCs w:val="32"/>
          <w:lang w:val="en-US" w:eastAsia="zh-CN"/>
        </w:rPr>
        <w:t>5</w:t>
      </w:r>
      <w:r>
        <w:rPr>
          <w:rFonts w:hint="eastAsia" w:ascii="仿宋_GB2312" w:hAnsi="华文楷体" w:eastAsia="仿宋_GB2312"/>
          <w:sz w:val="32"/>
          <w:szCs w:val="32"/>
        </w:rPr>
        <w:t>年执行数</w:t>
      </w:r>
      <w:r>
        <w:rPr>
          <w:rFonts w:hint="eastAsia" w:ascii="仿宋_GB2312" w:hAnsi="华文楷体" w:eastAsia="仿宋_GB2312"/>
          <w:sz w:val="32"/>
          <w:szCs w:val="32"/>
          <w:lang w:val="en-US" w:eastAsia="zh-CN"/>
        </w:rPr>
        <w:t>增加14.37</w:t>
      </w:r>
      <w:r>
        <w:rPr>
          <w:rFonts w:hint="eastAsia" w:ascii="仿宋_GB2312" w:hAnsi="华文楷体" w:eastAsia="仿宋_GB2312"/>
          <w:sz w:val="32"/>
          <w:szCs w:val="32"/>
        </w:rPr>
        <w:t>万元，</w:t>
      </w:r>
      <w:r>
        <w:rPr>
          <w:rFonts w:hint="eastAsia" w:ascii="仿宋_GB2312" w:hAnsi="华文楷体" w:eastAsia="仿宋_GB2312"/>
          <w:sz w:val="32"/>
          <w:szCs w:val="32"/>
          <w:lang w:val="en-US" w:eastAsia="zh-CN"/>
        </w:rPr>
        <w:t>增加139.26</w:t>
      </w:r>
      <w:r>
        <w:rPr>
          <w:rFonts w:hint="eastAsia" w:ascii="仿宋_GB2312" w:hAnsi="华文楷体" w:eastAsia="仿宋_GB2312"/>
          <w:sz w:val="32"/>
          <w:szCs w:val="32"/>
        </w:rPr>
        <w:t>%，主要是</w:t>
      </w:r>
      <w:r>
        <w:rPr>
          <w:rFonts w:hint="eastAsia" w:ascii="仿宋_GB2312" w:hAnsi="华文楷体" w:eastAsia="仿宋_GB2312"/>
          <w:sz w:val="32"/>
          <w:szCs w:val="32"/>
          <w:lang w:val="en-US" w:eastAsia="zh-CN"/>
        </w:rPr>
        <w:t>本年人员有增加，导致经费增加</w:t>
      </w:r>
      <w:r>
        <w:rPr>
          <w:rFonts w:hint="eastAsia" w:ascii="仿宋_GB2312" w:hAnsi="华文楷体" w:eastAsia="仿宋_GB2312"/>
          <w:sz w:val="32"/>
          <w:szCs w:val="32"/>
        </w:rPr>
        <w:t>。</w:t>
      </w:r>
    </w:p>
    <w:p w14:paraId="200A10ED">
      <w:pPr>
        <w:spacing w:line="600" w:lineRule="exact"/>
        <w:ind w:firstLine="640" w:firstLineChars="200"/>
        <w:rPr>
          <w:rFonts w:ascii="仿宋_GB2312" w:hAnsi="华文楷体" w:eastAsia="仿宋_GB2312"/>
          <w:color w:val="FF0000"/>
          <w:sz w:val="32"/>
          <w:szCs w:val="32"/>
        </w:rPr>
      </w:pPr>
      <w:r>
        <w:rPr>
          <w:rFonts w:hint="eastAsia" w:ascii="仿宋_GB2312" w:hAnsi="华文楷体" w:eastAsia="仿宋_GB2312"/>
          <w:sz w:val="32"/>
          <w:szCs w:val="32"/>
        </w:rPr>
        <w:t>2、灾害防治及应急管理支出（类）消防救援事务（款）消防应急救援（项）</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预算数为</w:t>
      </w:r>
      <w:r>
        <w:rPr>
          <w:rFonts w:hint="eastAsia" w:ascii="仿宋_GB2312" w:hAnsi="华文楷体" w:eastAsia="仿宋_GB2312"/>
          <w:sz w:val="32"/>
          <w:szCs w:val="32"/>
          <w:lang w:val="en-US" w:eastAsia="zh-CN"/>
        </w:rPr>
        <w:t>50.97</w:t>
      </w:r>
      <w:r>
        <w:rPr>
          <w:rFonts w:hint="eastAsia" w:ascii="仿宋_GB2312" w:hAnsi="华文楷体" w:eastAsia="仿宋_GB2312"/>
          <w:sz w:val="32"/>
          <w:szCs w:val="32"/>
        </w:rPr>
        <w:t>万元，比 202</w:t>
      </w:r>
      <w:r>
        <w:rPr>
          <w:rFonts w:hint="eastAsia" w:ascii="仿宋_GB2312" w:hAnsi="华文楷体" w:eastAsia="仿宋_GB2312"/>
          <w:sz w:val="32"/>
          <w:szCs w:val="32"/>
          <w:lang w:val="en-US" w:eastAsia="zh-CN"/>
        </w:rPr>
        <w:t>5</w:t>
      </w:r>
      <w:r>
        <w:rPr>
          <w:rFonts w:hint="eastAsia" w:ascii="仿宋_GB2312" w:hAnsi="华文楷体" w:eastAsia="仿宋_GB2312"/>
          <w:sz w:val="32"/>
          <w:szCs w:val="32"/>
        </w:rPr>
        <w:t>年执行数</w:t>
      </w:r>
      <w:r>
        <w:rPr>
          <w:rFonts w:hint="eastAsia" w:ascii="仿宋_GB2312" w:hAnsi="华文楷体" w:eastAsia="仿宋_GB2312"/>
          <w:sz w:val="32"/>
          <w:szCs w:val="32"/>
          <w:lang w:val="en-US" w:eastAsia="zh-CN"/>
        </w:rPr>
        <w:t>增加4.49</w:t>
      </w:r>
      <w:r>
        <w:rPr>
          <w:rFonts w:hint="eastAsia" w:ascii="仿宋_GB2312" w:hAnsi="华文楷体" w:eastAsia="仿宋_GB2312"/>
          <w:sz w:val="32"/>
          <w:szCs w:val="32"/>
        </w:rPr>
        <w:t>万元，</w:t>
      </w:r>
      <w:r>
        <w:rPr>
          <w:rFonts w:hint="eastAsia" w:ascii="仿宋_GB2312" w:hAnsi="华文楷体" w:eastAsia="仿宋_GB2312"/>
          <w:sz w:val="32"/>
          <w:szCs w:val="32"/>
          <w:lang w:val="en-US" w:eastAsia="zh-CN"/>
        </w:rPr>
        <w:t>增加17.14</w:t>
      </w:r>
      <w:r>
        <w:rPr>
          <w:rFonts w:hint="eastAsia" w:ascii="仿宋_GB2312" w:hAnsi="华文楷体" w:eastAsia="仿宋_GB2312"/>
          <w:sz w:val="32"/>
          <w:szCs w:val="32"/>
        </w:rPr>
        <w:t>%，主要是</w:t>
      </w:r>
      <w:r>
        <w:rPr>
          <w:rFonts w:hint="eastAsia" w:ascii="仿宋_GB2312" w:hAnsi="华文楷体" w:eastAsia="仿宋_GB2312"/>
          <w:sz w:val="32"/>
          <w:szCs w:val="32"/>
          <w:lang w:val="en-US" w:eastAsia="zh-CN"/>
        </w:rPr>
        <w:t>伙食费标准的增加，导致增加</w:t>
      </w:r>
      <w:r>
        <w:rPr>
          <w:rFonts w:hint="eastAsia" w:ascii="仿宋_GB2312" w:hAnsi="华文楷体" w:eastAsia="仿宋_GB2312"/>
          <w:sz w:val="32"/>
          <w:szCs w:val="32"/>
        </w:rPr>
        <w:t>。</w:t>
      </w:r>
    </w:p>
    <w:p w14:paraId="161C0C36">
      <w:pPr>
        <w:spacing w:line="600" w:lineRule="exact"/>
        <w:ind w:firstLine="640" w:firstLineChars="200"/>
        <w:jc w:val="left"/>
        <w:outlineLvl w:val="0"/>
        <w:rPr>
          <w:rFonts w:ascii="黑体" w:hAnsi="华文楷体" w:eastAsia="黑体"/>
          <w:sz w:val="32"/>
          <w:szCs w:val="32"/>
        </w:rPr>
      </w:pPr>
      <w:r>
        <w:rPr>
          <w:rFonts w:hint="eastAsia" w:ascii="黑体" w:hAnsi="华文楷体" w:eastAsia="黑体"/>
          <w:sz w:val="32"/>
          <w:szCs w:val="32"/>
        </w:rPr>
        <w:t>六、关于</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w:t>
      </w:r>
      <w:r>
        <w:rPr>
          <w:rFonts w:hint="eastAsia" w:ascii="黑体" w:hAnsi="华文楷体" w:eastAsia="黑体"/>
          <w:sz w:val="32"/>
          <w:szCs w:val="32"/>
          <w:lang w:eastAsia="zh-CN"/>
        </w:rPr>
        <w:t>202</w:t>
      </w:r>
      <w:r>
        <w:rPr>
          <w:rFonts w:hint="eastAsia" w:ascii="黑体" w:hAnsi="华文楷体" w:eastAsia="黑体"/>
          <w:sz w:val="32"/>
          <w:szCs w:val="32"/>
          <w:lang w:val="en-US" w:eastAsia="zh-CN"/>
        </w:rPr>
        <w:t>6</w:t>
      </w:r>
      <w:r>
        <w:rPr>
          <w:rFonts w:hint="eastAsia" w:ascii="黑体" w:hAnsi="华文楷体" w:eastAsia="黑体"/>
          <w:sz w:val="32"/>
          <w:szCs w:val="32"/>
          <w:lang w:eastAsia="zh-CN"/>
        </w:rPr>
        <w:t>年</w:t>
      </w:r>
      <w:r>
        <w:rPr>
          <w:rFonts w:hint="eastAsia" w:ascii="黑体" w:hAnsi="华文楷体" w:eastAsia="黑体"/>
          <w:sz w:val="32"/>
          <w:szCs w:val="32"/>
        </w:rPr>
        <w:t>一般公共预算基本支出情况说明</w:t>
      </w:r>
    </w:p>
    <w:p w14:paraId="079B6419">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一般公共预算基本支出</w:t>
      </w:r>
      <w:r>
        <w:rPr>
          <w:rFonts w:hint="eastAsia" w:ascii="仿宋_GB2312" w:hAnsi="华文楷体" w:eastAsia="仿宋_GB2312"/>
          <w:sz w:val="32"/>
          <w:szCs w:val="32"/>
          <w:lang w:val="en-US" w:eastAsia="zh-CN"/>
        </w:rPr>
        <w:t>20.28</w:t>
      </w:r>
      <w:r>
        <w:rPr>
          <w:rFonts w:hint="eastAsia" w:ascii="仿宋_GB2312" w:hAnsi="华文楷体" w:eastAsia="仿宋_GB2312"/>
          <w:sz w:val="32"/>
          <w:szCs w:val="32"/>
        </w:rPr>
        <w:t>万元，其中：</w:t>
      </w:r>
    </w:p>
    <w:p w14:paraId="3A63EB3A">
      <w:pPr>
        <w:spacing w:line="600" w:lineRule="exact"/>
        <w:ind w:firstLine="640" w:firstLineChars="200"/>
        <w:rPr>
          <w:rFonts w:ascii="仿宋_GB2312" w:hAnsi="华文楷体" w:eastAsia="仿宋_GB2312"/>
          <w:color w:val="FF0000"/>
          <w:sz w:val="32"/>
          <w:szCs w:val="32"/>
        </w:rPr>
      </w:pPr>
      <w:r>
        <w:rPr>
          <w:rFonts w:hint="eastAsia" w:ascii="仿宋_GB2312" w:hAnsi="华文楷体" w:eastAsia="仿宋_GB2312"/>
          <w:sz w:val="32"/>
          <w:szCs w:val="32"/>
        </w:rPr>
        <w:t>（一）日常公用经费</w:t>
      </w:r>
      <w:r>
        <w:rPr>
          <w:rFonts w:hint="eastAsia" w:ascii="仿宋_GB2312" w:hAnsi="华文楷体" w:eastAsia="仿宋_GB2312"/>
          <w:sz w:val="32"/>
          <w:szCs w:val="32"/>
          <w:lang w:val="en-US" w:eastAsia="zh-CN"/>
        </w:rPr>
        <w:t>20.28</w:t>
      </w:r>
      <w:r>
        <w:rPr>
          <w:rFonts w:hint="eastAsia" w:ascii="仿宋_GB2312" w:hAnsi="华文楷体" w:eastAsia="仿宋_GB2312"/>
          <w:sz w:val="32"/>
          <w:szCs w:val="32"/>
        </w:rPr>
        <w:t>万元，主要包括：其他商品和服务支出。</w:t>
      </w:r>
    </w:p>
    <w:p w14:paraId="6BF44202">
      <w:pPr>
        <w:spacing w:line="600" w:lineRule="exact"/>
        <w:ind w:firstLine="640" w:firstLineChars="200"/>
        <w:outlineLvl w:val="0"/>
        <w:rPr>
          <w:rFonts w:ascii="仿宋_GB2312" w:hAnsi="华文楷体" w:eastAsia="仿宋_GB2312"/>
          <w:sz w:val="32"/>
          <w:szCs w:val="32"/>
        </w:rPr>
      </w:pPr>
      <w:r>
        <w:rPr>
          <w:rFonts w:hint="eastAsia" w:ascii="黑体" w:hAnsi="华文楷体" w:eastAsia="黑体"/>
          <w:sz w:val="32"/>
          <w:szCs w:val="32"/>
        </w:rPr>
        <w:t>七、关于</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w:t>
      </w:r>
      <w:r>
        <w:rPr>
          <w:rFonts w:hint="eastAsia" w:ascii="黑体" w:hAnsi="华文楷体" w:eastAsia="黑体"/>
          <w:sz w:val="32"/>
          <w:szCs w:val="32"/>
          <w:lang w:eastAsia="zh-CN"/>
        </w:rPr>
        <w:t>202</w:t>
      </w:r>
      <w:r>
        <w:rPr>
          <w:rFonts w:hint="eastAsia" w:ascii="黑体" w:hAnsi="华文楷体" w:eastAsia="黑体"/>
          <w:sz w:val="32"/>
          <w:szCs w:val="32"/>
          <w:lang w:val="en-US" w:eastAsia="zh-CN"/>
        </w:rPr>
        <w:t>6</w:t>
      </w:r>
      <w:r>
        <w:rPr>
          <w:rFonts w:hint="eastAsia" w:ascii="黑体" w:hAnsi="华文楷体" w:eastAsia="黑体"/>
          <w:sz w:val="32"/>
          <w:szCs w:val="32"/>
          <w:lang w:eastAsia="zh-CN"/>
        </w:rPr>
        <w:t>年</w:t>
      </w:r>
      <w:r>
        <w:rPr>
          <w:rFonts w:hint="eastAsia" w:ascii="黑体" w:hAnsi="华文楷体" w:eastAsia="黑体"/>
          <w:sz w:val="32"/>
          <w:szCs w:val="32"/>
        </w:rPr>
        <w:t>“三公”经费预算情况说明</w:t>
      </w:r>
    </w:p>
    <w:p w14:paraId="7153CAD8">
      <w:pPr>
        <w:spacing w:line="600" w:lineRule="exact"/>
        <w:ind w:firstLine="640" w:firstLineChars="200"/>
        <w:rPr>
          <w:rFonts w:ascii="仿宋_GB2312" w:hAnsi="华文楷体" w:eastAsia="仿宋_GB2312"/>
          <w:color w:val="FF0000"/>
          <w:sz w:val="32"/>
          <w:szCs w:val="32"/>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hint="eastAsia" w:ascii="仿宋_GB2312" w:hAnsi="华文楷体" w:eastAsia="仿宋_GB2312"/>
          <w:kern w:val="0"/>
          <w:sz w:val="32"/>
          <w:szCs w:val="32"/>
          <w:lang w:eastAsia="zh-CN"/>
        </w:rPr>
        <w:t>202</w:t>
      </w:r>
      <w:r>
        <w:rPr>
          <w:rFonts w:hint="eastAsia" w:ascii="仿宋_GB2312" w:hAnsi="华文楷体" w:eastAsia="仿宋_GB2312"/>
          <w:kern w:val="0"/>
          <w:sz w:val="32"/>
          <w:szCs w:val="32"/>
          <w:lang w:val="en-US" w:eastAsia="zh-CN"/>
        </w:rPr>
        <w:t>6</w:t>
      </w:r>
      <w:r>
        <w:rPr>
          <w:rFonts w:hint="eastAsia" w:ascii="仿宋_GB2312" w:hAnsi="华文楷体" w:eastAsia="仿宋_GB2312"/>
          <w:kern w:val="0"/>
          <w:sz w:val="32"/>
          <w:szCs w:val="32"/>
          <w:lang w:eastAsia="zh-CN"/>
        </w:rPr>
        <w:t>年</w:t>
      </w:r>
      <w:r>
        <w:rPr>
          <w:rFonts w:hint="eastAsia" w:ascii="仿宋_GB2312" w:hAnsi="华文楷体" w:eastAsia="仿宋_GB2312"/>
          <w:kern w:val="0"/>
          <w:sz w:val="32"/>
          <w:szCs w:val="32"/>
        </w:rPr>
        <w:t>没有使用“三公”经费财政拨款预算拨款安排支出。</w:t>
      </w:r>
    </w:p>
    <w:p w14:paraId="475A5A1C">
      <w:pPr>
        <w:spacing w:line="600" w:lineRule="exact"/>
        <w:ind w:firstLine="640" w:firstLineChars="200"/>
        <w:outlineLvl w:val="0"/>
        <w:rPr>
          <w:rFonts w:ascii="仿宋_GB2312" w:hAnsi="华文楷体" w:eastAsia="仿宋_GB2312"/>
          <w:sz w:val="32"/>
          <w:szCs w:val="32"/>
        </w:rPr>
      </w:pPr>
      <w:r>
        <w:rPr>
          <w:rFonts w:hint="eastAsia" w:ascii="黑体" w:hAnsi="华文楷体" w:eastAsia="黑体"/>
          <w:sz w:val="32"/>
          <w:szCs w:val="32"/>
        </w:rPr>
        <w:t>八、关于</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w:t>
      </w:r>
      <w:r>
        <w:rPr>
          <w:rFonts w:hint="eastAsia" w:ascii="黑体" w:hAnsi="华文楷体" w:eastAsia="黑体"/>
          <w:sz w:val="32"/>
          <w:szCs w:val="32"/>
          <w:lang w:eastAsia="zh-CN"/>
        </w:rPr>
        <w:t>202</w:t>
      </w:r>
      <w:r>
        <w:rPr>
          <w:rFonts w:hint="eastAsia" w:ascii="黑体" w:hAnsi="华文楷体" w:eastAsia="黑体"/>
          <w:sz w:val="32"/>
          <w:szCs w:val="32"/>
          <w:lang w:val="en-US" w:eastAsia="zh-CN"/>
        </w:rPr>
        <w:t>6</w:t>
      </w:r>
      <w:r>
        <w:rPr>
          <w:rFonts w:hint="eastAsia" w:ascii="黑体" w:hAnsi="华文楷体" w:eastAsia="黑体"/>
          <w:sz w:val="32"/>
          <w:szCs w:val="32"/>
          <w:lang w:eastAsia="zh-CN"/>
        </w:rPr>
        <w:t>年</w:t>
      </w:r>
      <w:r>
        <w:rPr>
          <w:rFonts w:hint="eastAsia" w:ascii="黑体" w:hAnsi="华文楷体" w:eastAsia="黑体"/>
          <w:sz w:val="32"/>
          <w:szCs w:val="32"/>
        </w:rPr>
        <w:t>政府性基金预算支出情况的说明</w:t>
      </w:r>
    </w:p>
    <w:p w14:paraId="0792E51C">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没有使用政府性基金预算拨款安排支出。</w:t>
      </w:r>
    </w:p>
    <w:p w14:paraId="11724E48">
      <w:pPr>
        <w:spacing w:line="600" w:lineRule="exact"/>
        <w:ind w:firstLine="640" w:firstLineChars="200"/>
        <w:outlineLvl w:val="0"/>
        <w:rPr>
          <w:rFonts w:ascii="仿宋_GB2312" w:hAnsi="华文楷体" w:eastAsia="仿宋_GB2312"/>
          <w:sz w:val="32"/>
          <w:szCs w:val="32"/>
        </w:rPr>
      </w:pPr>
      <w:r>
        <w:rPr>
          <w:rFonts w:hint="eastAsia" w:ascii="黑体" w:hAnsi="华文楷体" w:eastAsia="黑体"/>
          <w:sz w:val="32"/>
          <w:szCs w:val="32"/>
        </w:rPr>
        <w:t>九、关于</w:t>
      </w:r>
      <w:r>
        <w:rPr>
          <w:rFonts w:hint="eastAsia" w:ascii="黑体" w:hAnsi="华文楷体" w:eastAsia="黑体"/>
          <w:sz w:val="32"/>
          <w:szCs w:val="32"/>
          <w:lang w:val="en-US" w:eastAsia="zh-CN"/>
        </w:rPr>
        <w:t>滦州市</w:t>
      </w:r>
      <w:r>
        <w:rPr>
          <w:rFonts w:hint="eastAsia" w:ascii="黑体" w:hAnsi="华文楷体" w:eastAsia="黑体"/>
          <w:sz w:val="32"/>
          <w:szCs w:val="32"/>
        </w:rPr>
        <w:t>消防救援大队</w:t>
      </w:r>
      <w:r>
        <w:rPr>
          <w:rFonts w:hint="eastAsia" w:ascii="黑体" w:hAnsi="华文楷体" w:eastAsia="黑体"/>
          <w:sz w:val="32"/>
          <w:szCs w:val="32"/>
          <w:lang w:eastAsia="zh-CN"/>
        </w:rPr>
        <w:t>202</w:t>
      </w:r>
      <w:r>
        <w:rPr>
          <w:rFonts w:hint="eastAsia" w:ascii="黑体" w:hAnsi="华文楷体" w:eastAsia="黑体"/>
          <w:sz w:val="32"/>
          <w:szCs w:val="32"/>
          <w:lang w:val="en-US" w:eastAsia="zh-CN"/>
        </w:rPr>
        <w:t>6</w:t>
      </w:r>
      <w:r>
        <w:rPr>
          <w:rFonts w:hint="eastAsia" w:ascii="黑体" w:hAnsi="华文楷体" w:eastAsia="黑体"/>
          <w:sz w:val="32"/>
          <w:szCs w:val="32"/>
          <w:lang w:eastAsia="zh-CN"/>
        </w:rPr>
        <w:t>年</w:t>
      </w:r>
      <w:r>
        <w:rPr>
          <w:rFonts w:hint="eastAsia" w:ascii="黑体" w:hAnsi="华文楷体" w:eastAsia="黑体"/>
          <w:sz w:val="32"/>
          <w:szCs w:val="32"/>
        </w:rPr>
        <w:t>国有资本经营预算情况的说明</w:t>
      </w:r>
    </w:p>
    <w:p w14:paraId="5823368F">
      <w:pPr>
        <w:spacing w:line="600" w:lineRule="exact"/>
        <w:ind w:firstLine="640" w:firstLineChars="200"/>
        <w:rPr>
          <w:rFonts w:ascii="仿宋_GB2312" w:hAnsi="华文楷体" w:eastAsia="仿宋_GB2312"/>
          <w:color w:val="FF0000"/>
          <w:sz w:val="32"/>
          <w:szCs w:val="32"/>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没有使用国有资本经营预算拨款安排支出。</w:t>
      </w:r>
    </w:p>
    <w:p w14:paraId="6256B48D">
      <w:pPr>
        <w:spacing w:line="600" w:lineRule="exact"/>
        <w:ind w:firstLine="640" w:firstLineChars="200"/>
        <w:outlineLvl w:val="0"/>
        <w:rPr>
          <w:rFonts w:ascii="仿宋_GB2312" w:hAnsi="华文楷体" w:eastAsia="仿宋_GB2312"/>
          <w:sz w:val="32"/>
          <w:szCs w:val="32"/>
        </w:rPr>
      </w:pPr>
      <w:r>
        <w:rPr>
          <w:rFonts w:hint="eastAsia" w:ascii="黑体" w:hAnsi="华文楷体" w:eastAsia="黑体"/>
          <w:sz w:val="32"/>
          <w:szCs w:val="32"/>
        </w:rPr>
        <w:t>十、其他重要事项的情况说明</w:t>
      </w:r>
    </w:p>
    <w:p w14:paraId="452070D8">
      <w:pPr>
        <w:spacing w:line="60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（一）政府采购情况。</w:t>
      </w:r>
    </w:p>
    <w:p w14:paraId="4323E4D8">
      <w:pPr>
        <w:spacing w:line="600" w:lineRule="exact"/>
        <w:ind w:firstLine="640" w:firstLineChars="200"/>
        <w:rPr>
          <w:rFonts w:hint="default" w:ascii="仿宋_GB2312" w:hAnsi="华文楷体" w:eastAsia="仿宋_GB2312"/>
          <w:sz w:val="32"/>
          <w:szCs w:val="32"/>
          <w:lang w:val="en-US" w:eastAsia="zh-CN"/>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政府采购预算</w:t>
      </w:r>
      <w:r>
        <w:rPr>
          <w:rFonts w:hint="eastAsia" w:ascii="仿宋_GB2312" w:hAnsi="华文楷体" w:eastAsia="仿宋_GB2312"/>
          <w:sz w:val="32"/>
          <w:szCs w:val="32"/>
          <w:lang w:val="en-US" w:eastAsia="zh-CN"/>
        </w:rPr>
        <w:t>180.19万元，其中财政资金30.69万元，用于购买服务；地方财政资金1648.75万元，其中21.05万元用于购买货物，128.45万元用于购买服务。</w:t>
      </w:r>
    </w:p>
    <w:p w14:paraId="75EF9F16">
      <w:pPr>
        <w:spacing w:line="60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（二）国有资产占有使用情况。</w:t>
      </w:r>
    </w:p>
    <w:p w14:paraId="5DCD9C30">
      <w:pPr>
        <w:spacing w:line="600" w:lineRule="exact"/>
        <w:ind w:firstLine="640" w:firstLineChars="200"/>
        <w:rPr>
          <w:rFonts w:hint="eastAsia" w:ascii="仿宋_GB2312" w:hAnsi="华文楷体" w:eastAsia="仿宋_GB2312"/>
          <w:sz w:val="32"/>
          <w:szCs w:val="32"/>
        </w:rPr>
      </w:pPr>
      <w:r>
        <w:rPr>
          <w:rFonts w:hint="eastAsia" w:ascii="仿宋_GB2312" w:hAnsi="华文楷体" w:eastAsia="仿宋_GB2312"/>
          <w:sz w:val="32"/>
          <w:szCs w:val="32"/>
        </w:rPr>
        <w:t>截至</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lang w:val="en-US" w:eastAsia="zh-CN"/>
        </w:rPr>
        <w:t>4</w:t>
      </w:r>
      <w:r>
        <w:rPr>
          <w:rFonts w:hint="eastAsia" w:ascii="仿宋_GB2312" w:hAnsi="华文楷体" w:eastAsia="仿宋_GB2312"/>
          <w:sz w:val="32"/>
          <w:szCs w:val="32"/>
        </w:rPr>
        <w:t>月</w:t>
      </w:r>
      <w:r>
        <w:rPr>
          <w:rFonts w:hint="eastAsia" w:ascii="仿宋_GB2312" w:hAnsi="华文楷体" w:eastAsia="仿宋_GB2312"/>
          <w:sz w:val="32"/>
          <w:szCs w:val="32"/>
          <w:lang w:val="en-US" w:eastAsia="zh-CN"/>
        </w:rPr>
        <w:t>30</w:t>
      </w:r>
      <w:r>
        <w:rPr>
          <w:rFonts w:hint="eastAsia" w:ascii="仿宋_GB2312" w:hAnsi="华文楷体" w:eastAsia="仿宋_GB2312"/>
          <w:sz w:val="32"/>
          <w:szCs w:val="32"/>
        </w:rPr>
        <w:t>日，共有车辆</w:t>
      </w:r>
      <w:r>
        <w:rPr>
          <w:rFonts w:hint="eastAsia" w:ascii="仿宋_GB2312" w:hAnsi="华文楷体" w:eastAsia="仿宋_GB2312"/>
          <w:sz w:val="32"/>
          <w:szCs w:val="32"/>
          <w:lang w:val="en-US" w:eastAsia="zh-CN"/>
        </w:rPr>
        <w:t>9</w:t>
      </w:r>
      <w:r>
        <w:rPr>
          <w:rFonts w:hint="eastAsia" w:ascii="仿宋_GB2312" w:hAnsi="华文楷体" w:eastAsia="仿宋_GB2312"/>
          <w:sz w:val="32"/>
          <w:szCs w:val="32"/>
        </w:rPr>
        <w:t>辆，其中，特种专业技术用车</w:t>
      </w:r>
      <w:r>
        <w:rPr>
          <w:rFonts w:hint="eastAsia" w:ascii="仿宋_GB2312" w:hAnsi="华文楷体" w:eastAsia="仿宋_GB2312"/>
          <w:sz w:val="32"/>
          <w:szCs w:val="32"/>
          <w:lang w:val="en-US" w:eastAsia="zh-CN"/>
        </w:rPr>
        <w:t>9</w:t>
      </w:r>
      <w:r>
        <w:rPr>
          <w:rFonts w:hint="eastAsia" w:ascii="仿宋_GB2312" w:hAnsi="华文楷体" w:eastAsia="仿宋_GB2312"/>
          <w:sz w:val="32"/>
          <w:szCs w:val="32"/>
        </w:rPr>
        <w:t>辆。</w:t>
      </w:r>
    </w:p>
    <w:p w14:paraId="578578BD">
      <w:pPr>
        <w:spacing w:line="600" w:lineRule="exact"/>
        <w:ind w:firstLine="640" w:firstLineChars="200"/>
        <w:rPr>
          <w:rFonts w:ascii="仿宋_GB2312" w:hAnsi="华文楷体" w:eastAsia="仿宋_GB2312"/>
          <w:sz w:val="32"/>
          <w:szCs w:val="32"/>
        </w:rPr>
      </w:pPr>
      <w:r>
        <w:rPr>
          <w:rFonts w:hint="eastAsia" w:ascii="华文楷体" w:hAnsi="华文楷体" w:eastAsia="华文楷体"/>
          <w:sz w:val="32"/>
          <w:szCs w:val="32"/>
        </w:rPr>
        <w:t>（三）机关运行经费。</w:t>
      </w:r>
    </w:p>
    <w:p w14:paraId="4DF89129">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机关运行经费财政拨款预算</w:t>
      </w:r>
      <w:r>
        <w:rPr>
          <w:rFonts w:hint="eastAsia" w:ascii="仿宋_GB2312" w:hAnsi="华文楷体" w:eastAsia="仿宋_GB2312"/>
          <w:sz w:val="32"/>
          <w:szCs w:val="32"/>
          <w:lang w:val="en-US" w:eastAsia="zh-CN"/>
        </w:rPr>
        <w:t>20.28</w:t>
      </w:r>
      <w:r>
        <w:rPr>
          <w:rFonts w:hint="eastAsia" w:ascii="仿宋_GB2312" w:hAnsi="华文楷体" w:eastAsia="仿宋_GB2312"/>
          <w:sz w:val="32"/>
          <w:szCs w:val="32"/>
        </w:rPr>
        <w:t>万元，比202</w:t>
      </w:r>
      <w:r>
        <w:rPr>
          <w:rFonts w:hint="eastAsia" w:ascii="仿宋_GB2312" w:hAnsi="华文楷体" w:eastAsia="仿宋_GB2312"/>
          <w:sz w:val="32"/>
          <w:szCs w:val="32"/>
          <w:lang w:val="en-US" w:eastAsia="zh-CN"/>
        </w:rPr>
        <w:t>5</w:t>
      </w:r>
      <w:r>
        <w:rPr>
          <w:rFonts w:hint="eastAsia" w:ascii="仿宋_GB2312" w:hAnsi="华文楷体" w:eastAsia="仿宋_GB2312"/>
          <w:sz w:val="32"/>
          <w:szCs w:val="32"/>
        </w:rPr>
        <w:t>年预算</w:t>
      </w:r>
      <w:r>
        <w:rPr>
          <w:rFonts w:hint="eastAsia" w:ascii="仿宋_GB2312" w:hAnsi="华文楷体" w:eastAsia="仿宋_GB2312"/>
          <w:sz w:val="32"/>
          <w:szCs w:val="32"/>
          <w:lang w:val="en-US" w:eastAsia="zh-CN"/>
        </w:rPr>
        <w:t>增加9.88</w:t>
      </w:r>
      <w:r>
        <w:rPr>
          <w:rFonts w:hint="eastAsia" w:ascii="仿宋_GB2312" w:hAnsi="华文楷体" w:eastAsia="仿宋_GB2312"/>
          <w:sz w:val="32"/>
          <w:szCs w:val="32"/>
        </w:rPr>
        <w:t>万元，</w:t>
      </w:r>
      <w:r>
        <w:rPr>
          <w:rFonts w:hint="eastAsia" w:ascii="仿宋_GB2312" w:hAnsi="华文楷体" w:eastAsia="仿宋_GB2312"/>
          <w:sz w:val="32"/>
          <w:szCs w:val="32"/>
          <w:lang w:val="en-US" w:eastAsia="zh-CN"/>
        </w:rPr>
        <w:t>增加95</w:t>
      </w:r>
      <w:r>
        <w:rPr>
          <w:rFonts w:hint="eastAsia" w:ascii="仿宋_GB2312" w:hAnsi="华文楷体" w:eastAsia="仿宋_GB2312"/>
          <w:sz w:val="32"/>
          <w:szCs w:val="32"/>
        </w:rPr>
        <w:t>%。主要原因是：</w:t>
      </w:r>
      <w:r>
        <w:rPr>
          <w:rFonts w:hint="eastAsia" w:ascii="仿宋_GB2312" w:hAnsi="华文楷体" w:eastAsia="仿宋_GB2312"/>
          <w:sz w:val="32"/>
          <w:szCs w:val="32"/>
          <w:lang w:val="en-US" w:eastAsia="zh-CN"/>
        </w:rPr>
        <w:t>人员增加导致经费的增加</w:t>
      </w:r>
      <w:r>
        <w:rPr>
          <w:rFonts w:hint="eastAsia" w:ascii="仿宋_GB2312" w:hAnsi="华文楷体" w:eastAsia="仿宋_GB2312"/>
          <w:sz w:val="32"/>
          <w:szCs w:val="32"/>
        </w:rPr>
        <w:t>。</w:t>
      </w:r>
    </w:p>
    <w:p w14:paraId="12A96833">
      <w:pPr>
        <w:spacing w:line="600" w:lineRule="exact"/>
        <w:ind w:firstLine="640" w:firstLineChars="200"/>
        <w:rPr>
          <w:rFonts w:ascii="华文楷体" w:hAnsi="华文楷体" w:eastAsia="华文楷体"/>
          <w:sz w:val="32"/>
          <w:szCs w:val="32"/>
        </w:rPr>
      </w:pPr>
      <w:r>
        <w:rPr>
          <w:rFonts w:hint="eastAsia" w:ascii="华文楷体" w:hAnsi="华文楷体" w:eastAsia="华文楷体"/>
          <w:sz w:val="32"/>
          <w:szCs w:val="32"/>
        </w:rPr>
        <w:t>（四）预算绩效情况</w:t>
      </w:r>
    </w:p>
    <w:p w14:paraId="30381736">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对唐山市消防救援支队</w:t>
      </w:r>
      <w:r>
        <w:rPr>
          <w:rFonts w:hint="eastAsia" w:ascii="仿宋_GB2312" w:hAnsi="华文楷体" w:eastAsia="仿宋_GB2312"/>
          <w:sz w:val="32"/>
          <w:szCs w:val="32"/>
          <w:lang w:val="en-US" w:eastAsia="zh-CN"/>
        </w:rPr>
        <w:t>滦州</w:t>
      </w:r>
      <w:r>
        <w:rPr>
          <w:rFonts w:hint="eastAsia" w:ascii="仿宋_GB2312" w:hAnsi="华文楷体" w:eastAsia="仿宋_GB2312"/>
          <w:sz w:val="32"/>
          <w:szCs w:val="32"/>
        </w:rPr>
        <w:t>大队项目支出全面实施绩效目标管理，涉及一般公共预算拨款</w:t>
      </w:r>
      <w:r>
        <w:rPr>
          <w:rFonts w:hint="eastAsia" w:ascii="仿宋_GB2312" w:hAnsi="华文楷体" w:eastAsia="仿宋_GB2312"/>
          <w:sz w:val="32"/>
          <w:szCs w:val="32"/>
          <w:lang w:val="en-US" w:eastAsia="zh-CN"/>
        </w:rPr>
        <w:t>30.69</w:t>
      </w:r>
      <w:r>
        <w:rPr>
          <w:rFonts w:hint="eastAsia" w:ascii="仿宋_GB2312" w:hAnsi="华文楷体" w:eastAsia="仿宋_GB2312"/>
          <w:sz w:val="32"/>
          <w:szCs w:val="32"/>
        </w:rPr>
        <w:t>万元。</w:t>
      </w:r>
    </w:p>
    <w:p w14:paraId="1F57CEA5">
      <w:pPr>
        <w:spacing w:line="600" w:lineRule="exact"/>
        <w:ind w:firstLine="640" w:firstLineChars="200"/>
        <w:rPr>
          <w:rFonts w:ascii="黑体" w:hAnsi="华文楷体" w:eastAsia="黑体"/>
          <w:sz w:val="32"/>
          <w:szCs w:val="32"/>
        </w:rPr>
      </w:pP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消防救援大队在</w:t>
      </w:r>
      <w:r>
        <w:rPr>
          <w:rFonts w:hint="eastAsia" w:ascii="仿宋_GB2312" w:hAnsi="华文楷体" w:eastAsia="仿宋_GB2312"/>
          <w:sz w:val="32"/>
          <w:szCs w:val="32"/>
          <w:lang w:eastAsia="zh-CN"/>
        </w:rPr>
        <w:t>202</w:t>
      </w:r>
      <w:r>
        <w:rPr>
          <w:rFonts w:hint="eastAsia" w:ascii="仿宋_GB2312" w:hAnsi="华文楷体" w:eastAsia="仿宋_GB2312"/>
          <w:sz w:val="32"/>
          <w:szCs w:val="32"/>
          <w:lang w:val="en-US" w:eastAsia="zh-CN"/>
        </w:rPr>
        <w:t>6</w:t>
      </w:r>
      <w:r>
        <w:rPr>
          <w:rFonts w:hint="eastAsia" w:ascii="仿宋_GB2312" w:hAnsi="华文楷体" w:eastAsia="仿宋_GB2312"/>
          <w:sz w:val="32"/>
          <w:szCs w:val="32"/>
          <w:lang w:eastAsia="zh-CN"/>
        </w:rPr>
        <w:t>年</w:t>
      </w:r>
      <w:r>
        <w:rPr>
          <w:rFonts w:hint="eastAsia" w:ascii="仿宋_GB2312" w:hAnsi="华文楷体" w:eastAsia="仿宋_GB2312"/>
          <w:sz w:val="32"/>
          <w:szCs w:val="32"/>
        </w:rPr>
        <w:t>度部门预算中伙食补助费1个二级项目绩效目标表，见“第五部分 附件”。</w:t>
      </w:r>
    </w:p>
    <w:p w14:paraId="10F9384D">
      <w:pPr>
        <w:pStyle w:val="3"/>
        <w:rPr>
          <w:color w:val="FF0000"/>
          <w:sz w:val="20"/>
        </w:rPr>
      </w:pPr>
    </w:p>
    <w:p w14:paraId="1CAB31DF">
      <w:pPr>
        <w:pStyle w:val="3"/>
        <w:rPr>
          <w:color w:val="FF0000"/>
          <w:sz w:val="20"/>
        </w:rPr>
      </w:pPr>
    </w:p>
    <w:p w14:paraId="76CF05F3">
      <w:pPr>
        <w:pStyle w:val="3"/>
        <w:jc w:val="center"/>
        <w:rPr>
          <w:rFonts w:ascii="黑体" w:hAnsi="华文楷体" w:eastAsia="黑体"/>
          <w:sz w:val="44"/>
          <w:szCs w:val="44"/>
        </w:rPr>
      </w:pPr>
    </w:p>
    <w:p w14:paraId="6C2B8836">
      <w:pPr>
        <w:pStyle w:val="3"/>
        <w:jc w:val="center"/>
        <w:rPr>
          <w:rFonts w:ascii="黑体" w:hAnsi="华文楷体" w:eastAsia="黑体"/>
          <w:sz w:val="44"/>
          <w:szCs w:val="44"/>
        </w:rPr>
      </w:pPr>
    </w:p>
    <w:p w14:paraId="1F5C3332">
      <w:pPr>
        <w:pStyle w:val="3"/>
        <w:jc w:val="center"/>
        <w:rPr>
          <w:rFonts w:ascii="黑体" w:hAnsi="华文楷体" w:eastAsia="黑体"/>
          <w:sz w:val="44"/>
          <w:szCs w:val="44"/>
        </w:rPr>
      </w:pPr>
    </w:p>
    <w:p w14:paraId="5CBCCEC3">
      <w:pPr>
        <w:pStyle w:val="3"/>
        <w:jc w:val="center"/>
        <w:rPr>
          <w:rFonts w:ascii="黑体" w:hAnsi="华文楷体" w:eastAsia="黑体"/>
          <w:sz w:val="44"/>
          <w:szCs w:val="44"/>
        </w:rPr>
      </w:pPr>
    </w:p>
    <w:p w14:paraId="7B65A4FE">
      <w:pPr>
        <w:pStyle w:val="3"/>
        <w:jc w:val="center"/>
        <w:rPr>
          <w:rFonts w:ascii="黑体" w:hAnsi="华文楷体" w:eastAsia="黑体"/>
          <w:sz w:val="44"/>
          <w:szCs w:val="44"/>
        </w:rPr>
      </w:pPr>
    </w:p>
    <w:p w14:paraId="7D3AC708">
      <w:pPr>
        <w:pStyle w:val="3"/>
        <w:jc w:val="center"/>
        <w:rPr>
          <w:rFonts w:ascii="黑体" w:hAnsi="华文楷体" w:eastAsia="黑体"/>
          <w:sz w:val="44"/>
          <w:szCs w:val="44"/>
        </w:rPr>
      </w:pPr>
    </w:p>
    <w:p w14:paraId="2DEB9668">
      <w:pPr>
        <w:pStyle w:val="3"/>
        <w:jc w:val="both"/>
        <w:rPr>
          <w:rFonts w:ascii="黑体" w:hAnsi="华文楷体" w:eastAsia="黑体"/>
          <w:sz w:val="44"/>
          <w:szCs w:val="44"/>
        </w:rPr>
      </w:pPr>
    </w:p>
    <w:p w14:paraId="5B25AC5B">
      <w:pPr>
        <w:pStyle w:val="3"/>
        <w:jc w:val="both"/>
        <w:rPr>
          <w:rFonts w:ascii="黑体" w:hAnsi="华文楷体" w:eastAsia="黑体"/>
          <w:sz w:val="44"/>
          <w:szCs w:val="44"/>
        </w:rPr>
      </w:pPr>
    </w:p>
    <w:p w14:paraId="7E613FE8">
      <w:pPr>
        <w:pStyle w:val="3"/>
        <w:jc w:val="both"/>
        <w:rPr>
          <w:rFonts w:ascii="黑体" w:hAnsi="华文楷体" w:eastAsia="黑体"/>
          <w:sz w:val="44"/>
          <w:szCs w:val="44"/>
        </w:rPr>
      </w:pPr>
    </w:p>
    <w:p w14:paraId="0ED457C0">
      <w:pPr>
        <w:pStyle w:val="3"/>
        <w:jc w:val="both"/>
        <w:rPr>
          <w:rFonts w:ascii="黑体" w:hAnsi="华文楷体" w:eastAsia="黑体"/>
          <w:sz w:val="44"/>
          <w:szCs w:val="44"/>
        </w:rPr>
      </w:pPr>
    </w:p>
    <w:p w14:paraId="5940B37C">
      <w:pPr>
        <w:pStyle w:val="3"/>
        <w:jc w:val="center"/>
        <w:outlineLvl w:val="0"/>
        <w:rPr>
          <w:rFonts w:hint="eastAsia" w:ascii="黑体" w:hAnsi="华文楷体" w:eastAsia="黑体"/>
          <w:sz w:val="44"/>
          <w:szCs w:val="44"/>
        </w:rPr>
      </w:pPr>
    </w:p>
    <w:p w14:paraId="3240AA21">
      <w:pPr>
        <w:pStyle w:val="3"/>
        <w:jc w:val="center"/>
        <w:outlineLvl w:val="0"/>
        <w:rPr>
          <w:rFonts w:ascii="黑体" w:hAnsi="华文楷体" w:eastAsia="黑体"/>
          <w:sz w:val="10"/>
          <w:szCs w:val="10"/>
        </w:rPr>
      </w:pPr>
      <w:r>
        <w:rPr>
          <w:rFonts w:hint="eastAsia" w:ascii="黑体" w:hAnsi="华文楷体" w:eastAsia="黑体"/>
          <w:sz w:val="44"/>
          <w:szCs w:val="44"/>
        </w:rPr>
        <w:t>第四部分 名词解释</w:t>
      </w:r>
    </w:p>
    <w:p w14:paraId="010BB23E">
      <w:pPr>
        <w:pStyle w:val="3"/>
        <w:jc w:val="center"/>
        <w:rPr>
          <w:color w:val="FF0000"/>
          <w:sz w:val="10"/>
          <w:szCs w:val="10"/>
        </w:rPr>
      </w:pPr>
    </w:p>
    <w:p w14:paraId="4D27FA9C">
      <w:pPr>
        <w:spacing w:line="600" w:lineRule="exact"/>
        <w:ind w:firstLine="640" w:firstLineChars="200"/>
        <w:outlineLvl w:val="0"/>
        <w:rPr>
          <w:rFonts w:ascii="黑体" w:hAnsi="华文楷体" w:eastAsia="黑体"/>
          <w:sz w:val="32"/>
          <w:szCs w:val="32"/>
        </w:rPr>
      </w:pPr>
      <w:r>
        <w:rPr>
          <w:rFonts w:hint="eastAsia" w:ascii="黑体" w:hAnsi="华文楷体" w:eastAsia="黑体"/>
          <w:sz w:val="32"/>
          <w:szCs w:val="32"/>
        </w:rPr>
        <w:t>一、收入类</w:t>
      </w:r>
    </w:p>
    <w:p w14:paraId="7F87D272">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rPr>
        <w:t>（一）一般公共预算拨款收入：指中央财政当年拨付的资金。</w:t>
      </w:r>
    </w:p>
    <w:p w14:paraId="26343619">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rPr>
        <w:t>（二）其他收入：指除上述“一般公共预算拨款收入”以外的收入。主要是地方财政拨款收入、存款利息收入等。</w:t>
      </w:r>
    </w:p>
    <w:p w14:paraId="17E6F53C">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rPr>
        <w:t>（三）上年结转：指以前年度尚未完成、结转到本年仍按原规定用途继续使用的资金。</w:t>
      </w:r>
    </w:p>
    <w:p w14:paraId="68B4FA27">
      <w:pPr>
        <w:spacing w:line="600" w:lineRule="exact"/>
        <w:ind w:firstLine="640" w:firstLineChars="200"/>
        <w:outlineLvl w:val="0"/>
        <w:rPr>
          <w:rFonts w:ascii="黑体" w:hAnsi="华文楷体" w:eastAsia="黑体"/>
          <w:sz w:val="32"/>
          <w:szCs w:val="32"/>
        </w:rPr>
      </w:pPr>
      <w:r>
        <w:rPr>
          <w:rFonts w:hint="eastAsia" w:ascii="黑体" w:hAnsi="华文楷体" w:eastAsia="黑体"/>
          <w:sz w:val="32"/>
          <w:szCs w:val="32"/>
        </w:rPr>
        <w:t>二、支出类</w:t>
      </w:r>
    </w:p>
    <w:p w14:paraId="02A0097A">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rPr>
        <w:t>（一）灾害防治及应急管理支出（类）消防事务（款）行政运行（项）：指</w:t>
      </w:r>
      <w:r>
        <w:rPr>
          <w:rFonts w:hint="eastAsia" w:ascii="仿宋_GB2312" w:hAnsi="华文楷体" w:eastAsia="仿宋_GB2312"/>
          <w:sz w:val="32"/>
          <w:szCs w:val="32"/>
          <w:lang w:val="en-US" w:eastAsia="zh-CN"/>
        </w:rPr>
        <w:t>滦州市</w:t>
      </w:r>
      <w:r>
        <w:rPr>
          <w:rFonts w:hint="eastAsia" w:ascii="仿宋_GB2312" w:hAnsi="华文楷体" w:eastAsia="仿宋_GB2312"/>
          <w:sz w:val="32"/>
          <w:szCs w:val="32"/>
        </w:rPr>
        <w:t>消防救援大队用于保障机构正常运行、开展日常工作的基本支出。</w:t>
      </w:r>
    </w:p>
    <w:p w14:paraId="51977802">
      <w:pPr>
        <w:spacing w:line="600" w:lineRule="exact"/>
        <w:ind w:firstLine="640" w:firstLineChars="200"/>
        <w:rPr>
          <w:rFonts w:ascii="仿宋_GB2312" w:hAnsi="华文楷体" w:eastAsia="仿宋_GB2312"/>
          <w:b/>
          <w:sz w:val="32"/>
          <w:szCs w:val="32"/>
        </w:rPr>
      </w:pPr>
      <w:r>
        <w:rPr>
          <w:rFonts w:hint="eastAsia" w:ascii="仿宋_GB2312" w:hAnsi="华文楷体" w:eastAsia="仿宋_GB2312"/>
          <w:sz w:val="32"/>
          <w:szCs w:val="32"/>
        </w:rPr>
        <w:t>（二）灾害防治及应急管理支出（类）消防事务（款）消防应急救援（项）：指</w:t>
      </w:r>
      <w:r>
        <w:rPr>
          <w:rFonts w:hint="eastAsia" w:ascii="仿宋_GB2312" w:hAnsi="华文楷体" w:eastAsia="仿宋_GB2312"/>
          <w:sz w:val="32"/>
          <w:szCs w:val="32"/>
          <w:lang w:eastAsia="zh-CN"/>
        </w:rPr>
        <w:t>滦州市</w:t>
      </w:r>
      <w:r>
        <w:rPr>
          <w:rFonts w:hint="eastAsia" w:ascii="仿宋_GB2312" w:hAnsi="华文楷体" w:eastAsia="仿宋_GB2312"/>
          <w:sz w:val="32"/>
          <w:szCs w:val="32"/>
        </w:rPr>
        <w:t>消防救援大队开展消防应急救援方面的支出。</w:t>
      </w:r>
    </w:p>
    <w:p w14:paraId="30C51976">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rPr>
        <w:t>（三）基本支出：指为保障机构正常运转、完成日常工作任务而发生的人员支出和公用支出。</w:t>
      </w:r>
    </w:p>
    <w:p w14:paraId="35EB9642">
      <w:pPr>
        <w:spacing w:line="600" w:lineRule="exact"/>
        <w:ind w:firstLine="640" w:firstLineChars="200"/>
        <w:rPr>
          <w:rFonts w:ascii="仿宋_GB2312" w:hAnsi="华文楷体" w:eastAsia="仿宋_GB2312"/>
          <w:sz w:val="32"/>
          <w:szCs w:val="32"/>
        </w:rPr>
      </w:pPr>
      <w:r>
        <w:rPr>
          <w:rFonts w:hint="eastAsia" w:ascii="仿宋_GB2312" w:hAnsi="华文楷体" w:eastAsia="仿宋_GB2312"/>
          <w:sz w:val="32"/>
          <w:szCs w:val="32"/>
        </w:rPr>
        <w:t>（四）项目支出：指在基本支出之外为完成特定行政任务和事业发展目标所发生的支出。</w:t>
      </w:r>
    </w:p>
    <w:p w14:paraId="495D0E74">
      <w:pPr>
        <w:spacing w:line="600" w:lineRule="exact"/>
        <w:ind w:firstLine="640" w:firstLineChars="200"/>
        <w:jc w:val="left"/>
        <w:rPr>
          <w:rFonts w:ascii="仿宋_GB2312" w:hAnsi="华文楷体" w:eastAsia="仿宋_GB2312"/>
          <w:sz w:val="32"/>
          <w:szCs w:val="32"/>
        </w:rPr>
      </w:pPr>
      <w:r>
        <w:rPr>
          <w:rFonts w:hint="eastAsia" w:ascii="仿宋_GB2312" w:hAnsi="华文楷体" w:eastAsia="仿宋_GB2312"/>
          <w:sz w:val="32"/>
          <w:szCs w:val="32"/>
        </w:rPr>
        <w:t>（五）机关运行经费：为保障行政单位运行用于购买货物和服务的各项资金，包括办公以及其他费用。</w:t>
      </w:r>
    </w:p>
    <w:p w14:paraId="296F39C9">
      <w:pPr>
        <w:pStyle w:val="3"/>
        <w:outlineLvl w:val="0"/>
        <w:rPr>
          <w:rFonts w:ascii="仿宋_GB2312" w:hAnsi="华文楷体" w:eastAsia="仿宋_GB2312" w:cstheme="minorBidi"/>
          <w:kern w:val="2"/>
          <w:lang w:val="en-US" w:bidi="ar-SA"/>
        </w:rPr>
      </w:pPr>
    </w:p>
    <w:p w14:paraId="5CA04C0D">
      <w:pPr>
        <w:pStyle w:val="3"/>
        <w:jc w:val="center"/>
        <w:outlineLvl w:val="0"/>
        <w:rPr>
          <w:rFonts w:ascii="黑体" w:hAnsi="华文楷体" w:eastAsia="黑体"/>
          <w:sz w:val="44"/>
          <w:szCs w:val="44"/>
        </w:rPr>
      </w:pPr>
      <w:r>
        <w:rPr>
          <w:rFonts w:hint="eastAsia" w:ascii="黑体" w:hAnsi="华文楷体" w:eastAsia="黑体"/>
          <w:sz w:val="44"/>
          <w:szCs w:val="44"/>
        </w:rPr>
        <w:t>第五部分 附件</w:t>
      </w:r>
    </w:p>
    <w:p w14:paraId="1EEAA7C6">
      <w:pPr>
        <w:rPr>
          <w:rFonts w:ascii="黑体" w:hAnsi="华文楷体" w:eastAsia="黑体"/>
          <w:sz w:val="44"/>
          <w:szCs w:val="44"/>
        </w:rPr>
      </w:pPr>
      <w:r>
        <w:drawing>
          <wp:anchor distT="0" distB="0" distL="114300" distR="114300" simplePos="0" relativeHeight="251668480" behindDoc="0" locked="0" layoutInCell="1" allowOverlap="1">
            <wp:simplePos x="0" y="0"/>
            <wp:positionH relativeFrom="column">
              <wp:posOffset>-234315</wp:posOffset>
            </wp:positionH>
            <wp:positionV relativeFrom="paragraph">
              <wp:posOffset>64135</wp:posOffset>
            </wp:positionV>
            <wp:extent cx="5272405" cy="4525645"/>
            <wp:effectExtent l="0" t="0" r="4445" b="8255"/>
            <wp:wrapNone/>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4"/>
                    <a:stretch>
                      <a:fillRect/>
                    </a:stretch>
                  </pic:blipFill>
                  <pic:spPr>
                    <a:xfrm>
                      <a:off x="0" y="0"/>
                      <a:ext cx="5272405" cy="4525645"/>
                    </a:xfrm>
                    <a:prstGeom prst="rect">
                      <a:avLst/>
                    </a:prstGeom>
                    <a:noFill/>
                    <a:ln>
                      <a:noFill/>
                    </a:ln>
                  </pic:spPr>
                </pic:pic>
              </a:graphicData>
            </a:graphic>
          </wp:anchor>
        </w:drawing>
      </w:r>
    </w:p>
    <w:p w14:paraId="3F1FDC4C">
      <w:pPr>
        <w:rPr>
          <w:rFonts w:hint="eastAsia" w:ascii="黑体" w:hAnsi="华文楷体" w:eastAsia="黑体"/>
          <w:sz w:val="44"/>
          <w:szCs w:val="44"/>
          <w:lang w:eastAsia="zh-CN"/>
        </w:rPr>
      </w:pPr>
    </w:p>
    <w:p w14:paraId="410AED78">
      <w:pPr>
        <w:rPr>
          <w:rFonts w:ascii="黑体" w:hAnsi="华文楷体" w:eastAsia="黑体"/>
          <w:sz w:val="44"/>
          <w:szCs w:val="4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NDA2YjU0YWE2YzJmOTE1NzdlOTBhM2I3NTc3ZjAifQ=="/>
  </w:docVars>
  <w:rsids>
    <w:rsidRoot w:val="0079181B"/>
    <w:rsid w:val="00015722"/>
    <w:rsid w:val="000556C0"/>
    <w:rsid w:val="00065345"/>
    <w:rsid w:val="00087903"/>
    <w:rsid w:val="000902C4"/>
    <w:rsid w:val="00092588"/>
    <w:rsid w:val="0009392D"/>
    <w:rsid w:val="000B04FF"/>
    <w:rsid w:val="000B446E"/>
    <w:rsid w:val="000E4737"/>
    <w:rsid w:val="001129B7"/>
    <w:rsid w:val="00117D1C"/>
    <w:rsid w:val="00157DBA"/>
    <w:rsid w:val="00161232"/>
    <w:rsid w:val="0017796F"/>
    <w:rsid w:val="0018187B"/>
    <w:rsid w:val="001A05E6"/>
    <w:rsid w:val="001A37A5"/>
    <w:rsid w:val="001B2043"/>
    <w:rsid w:val="001D54D2"/>
    <w:rsid w:val="001D56C5"/>
    <w:rsid w:val="00201506"/>
    <w:rsid w:val="00204665"/>
    <w:rsid w:val="00233614"/>
    <w:rsid w:val="00241209"/>
    <w:rsid w:val="002570B6"/>
    <w:rsid w:val="00266331"/>
    <w:rsid w:val="002826A2"/>
    <w:rsid w:val="00291CFE"/>
    <w:rsid w:val="003004E6"/>
    <w:rsid w:val="00362E7C"/>
    <w:rsid w:val="003B077F"/>
    <w:rsid w:val="00416A91"/>
    <w:rsid w:val="00426DCB"/>
    <w:rsid w:val="00460CD3"/>
    <w:rsid w:val="00475CF5"/>
    <w:rsid w:val="00481D64"/>
    <w:rsid w:val="004935F5"/>
    <w:rsid w:val="004C44A8"/>
    <w:rsid w:val="004C729C"/>
    <w:rsid w:val="004D10A5"/>
    <w:rsid w:val="004E6C0F"/>
    <w:rsid w:val="00510640"/>
    <w:rsid w:val="005153F2"/>
    <w:rsid w:val="005168EE"/>
    <w:rsid w:val="005275E9"/>
    <w:rsid w:val="00543293"/>
    <w:rsid w:val="00556A39"/>
    <w:rsid w:val="00560088"/>
    <w:rsid w:val="0056407F"/>
    <w:rsid w:val="00566B59"/>
    <w:rsid w:val="00571F69"/>
    <w:rsid w:val="005762C2"/>
    <w:rsid w:val="00583A84"/>
    <w:rsid w:val="005D558B"/>
    <w:rsid w:val="005E26D2"/>
    <w:rsid w:val="005E45B3"/>
    <w:rsid w:val="0060126C"/>
    <w:rsid w:val="0061028A"/>
    <w:rsid w:val="00610345"/>
    <w:rsid w:val="00610BC8"/>
    <w:rsid w:val="00647B8B"/>
    <w:rsid w:val="0065281A"/>
    <w:rsid w:val="006623F8"/>
    <w:rsid w:val="006B3A00"/>
    <w:rsid w:val="006E153D"/>
    <w:rsid w:val="006F361F"/>
    <w:rsid w:val="006F4CA1"/>
    <w:rsid w:val="00746685"/>
    <w:rsid w:val="00752B98"/>
    <w:rsid w:val="00755272"/>
    <w:rsid w:val="00755DDE"/>
    <w:rsid w:val="00771AF5"/>
    <w:rsid w:val="00774D79"/>
    <w:rsid w:val="0079181B"/>
    <w:rsid w:val="007B5E16"/>
    <w:rsid w:val="007C7355"/>
    <w:rsid w:val="00811511"/>
    <w:rsid w:val="00822E6C"/>
    <w:rsid w:val="00842E62"/>
    <w:rsid w:val="00886773"/>
    <w:rsid w:val="00891743"/>
    <w:rsid w:val="00894E59"/>
    <w:rsid w:val="00897A81"/>
    <w:rsid w:val="008A167C"/>
    <w:rsid w:val="008B469F"/>
    <w:rsid w:val="008E369D"/>
    <w:rsid w:val="008E6779"/>
    <w:rsid w:val="008F0B29"/>
    <w:rsid w:val="008F2A71"/>
    <w:rsid w:val="00912FFB"/>
    <w:rsid w:val="00923B23"/>
    <w:rsid w:val="00926E76"/>
    <w:rsid w:val="00976B7B"/>
    <w:rsid w:val="009B0CE7"/>
    <w:rsid w:val="009F0262"/>
    <w:rsid w:val="00A07FC2"/>
    <w:rsid w:val="00A81843"/>
    <w:rsid w:val="00AC57C2"/>
    <w:rsid w:val="00AC6105"/>
    <w:rsid w:val="00AD54E6"/>
    <w:rsid w:val="00AD5C74"/>
    <w:rsid w:val="00AD5DC3"/>
    <w:rsid w:val="00AE2DDA"/>
    <w:rsid w:val="00B03F28"/>
    <w:rsid w:val="00B12F68"/>
    <w:rsid w:val="00B31E84"/>
    <w:rsid w:val="00B57E6D"/>
    <w:rsid w:val="00B744E3"/>
    <w:rsid w:val="00B90DC9"/>
    <w:rsid w:val="00B92E5C"/>
    <w:rsid w:val="00BC4DBF"/>
    <w:rsid w:val="00BD1EBA"/>
    <w:rsid w:val="00C50195"/>
    <w:rsid w:val="00C90DA5"/>
    <w:rsid w:val="00C91BDF"/>
    <w:rsid w:val="00CA4DB8"/>
    <w:rsid w:val="00CC272F"/>
    <w:rsid w:val="00CF56C2"/>
    <w:rsid w:val="00D634A1"/>
    <w:rsid w:val="00DB01BA"/>
    <w:rsid w:val="00DC3FD9"/>
    <w:rsid w:val="00DD425A"/>
    <w:rsid w:val="00DE683E"/>
    <w:rsid w:val="00DF06BD"/>
    <w:rsid w:val="00DF43D3"/>
    <w:rsid w:val="00E4752A"/>
    <w:rsid w:val="00EA517B"/>
    <w:rsid w:val="00EB72BF"/>
    <w:rsid w:val="00EC6EA5"/>
    <w:rsid w:val="00EF5E40"/>
    <w:rsid w:val="00F20C1E"/>
    <w:rsid w:val="00F50C7F"/>
    <w:rsid w:val="00F52BF9"/>
    <w:rsid w:val="00F53463"/>
    <w:rsid w:val="00F65BE8"/>
    <w:rsid w:val="00F7698E"/>
    <w:rsid w:val="00F9055B"/>
    <w:rsid w:val="00F94533"/>
    <w:rsid w:val="00F951F1"/>
    <w:rsid w:val="00F95ECA"/>
    <w:rsid w:val="00FA0EAE"/>
    <w:rsid w:val="00FA4060"/>
    <w:rsid w:val="00FA4645"/>
    <w:rsid w:val="00FA729E"/>
    <w:rsid w:val="00FF101B"/>
    <w:rsid w:val="00FF23EE"/>
    <w:rsid w:val="061E3D27"/>
    <w:rsid w:val="0ABE73A7"/>
    <w:rsid w:val="0D9E6544"/>
    <w:rsid w:val="0F9E7F28"/>
    <w:rsid w:val="0FF225F9"/>
    <w:rsid w:val="146A1515"/>
    <w:rsid w:val="16B26FFE"/>
    <w:rsid w:val="18273A1C"/>
    <w:rsid w:val="189A7B3F"/>
    <w:rsid w:val="190815C0"/>
    <w:rsid w:val="1B1A06B4"/>
    <w:rsid w:val="1E79317C"/>
    <w:rsid w:val="21A41515"/>
    <w:rsid w:val="26105AEF"/>
    <w:rsid w:val="2AE86CE6"/>
    <w:rsid w:val="2F0731E2"/>
    <w:rsid w:val="2FB94330"/>
    <w:rsid w:val="31C94CF6"/>
    <w:rsid w:val="36FB0D5B"/>
    <w:rsid w:val="38D83031"/>
    <w:rsid w:val="3AF72484"/>
    <w:rsid w:val="3B490482"/>
    <w:rsid w:val="3B8123D0"/>
    <w:rsid w:val="3BE51D20"/>
    <w:rsid w:val="405D1C87"/>
    <w:rsid w:val="443E2F47"/>
    <w:rsid w:val="444B13EE"/>
    <w:rsid w:val="45AF4E50"/>
    <w:rsid w:val="461A1F33"/>
    <w:rsid w:val="46B26477"/>
    <w:rsid w:val="49B71458"/>
    <w:rsid w:val="4A007126"/>
    <w:rsid w:val="4A316A4D"/>
    <w:rsid w:val="4A8D2035"/>
    <w:rsid w:val="4D8C1650"/>
    <w:rsid w:val="4DFD286B"/>
    <w:rsid w:val="52321D00"/>
    <w:rsid w:val="53152F66"/>
    <w:rsid w:val="54FC355F"/>
    <w:rsid w:val="558F48B1"/>
    <w:rsid w:val="5664456A"/>
    <w:rsid w:val="580035E2"/>
    <w:rsid w:val="58382C96"/>
    <w:rsid w:val="59FE5684"/>
    <w:rsid w:val="5D731EE5"/>
    <w:rsid w:val="60F3258C"/>
    <w:rsid w:val="613D03A2"/>
    <w:rsid w:val="62052D55"/>
    <w:rsid w:val="62BC166F"/>
    <w:rsid w:val="648E742E"/>
    <w:rsid w:val="664408C2"/>
    <w:rsid w:val="67E67E83"/>
    <w:rsid w:val="6926728F"/>
    <w:rsid w:val="6C2F1787"/>
    <w:rsid w:val="6F6338B3"/>
    <w:rsid w:val="6FE01845"/>
    <w:rsid w:val="74E651D7"/>
    <w:rsid w:val="7623358F"/>
    <w:rsid w:val="76406534"/>
    <w:rsid w:val="76FA6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semiHidden/>
    <w:unhideWhenUsed/>
    <w:qFormat/>
    <w:uiPriority w:val="99"/>
    <w:rPr>
      <w:rFonts w:ascii="宋体" w:eastAsia="宋体"/>
      <w:sz w:val="18"/>
      <w:szCs w:val="18"/>
    </w:rPr>
  </w:style>
  <w:style w:type="paragraph" w:styleId="3">
    <w:name w:val="Body Text"/>
    <w:basedOn w:val="1"/>
    <w:link w:val="12"/>
    <w:qFormat/>
    <w:uiPriority w:val="1"/>
    <w:pPr>
      <w:autoSpaceDE w:val="0"/>
      <w:autoSpaceDN w:val="0"/>
      <w:jc w:val="left"/>
    </w:pPr>
    <w:rPr>
      <w:rFonts w:ascii="宋体" w:hAnsi="宋体" w:eastAsia="宋体" w:cs="宋体"/>
      <w:kern w:val="0"/>
      <w:sz w:val="32"/>
      <w:szCs w:val="32"/>
      <w:lang w:val="zh-CN" w:bidi="zh-CN"/>
    </w:r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character" w:customStyle="1" w:styleId="12">
    <w:name w:val="正文文本 Char"/>
    <w:basedOn w:val="9"/>
    <w:link w:val="3"/>
    <w:qFormat/>
    <w:uiPriority w:val="1"/>
    <w:rPr>
      <w:rFonts w:ascii="宋体" w:hAnsi="宋体" w:eastAsia="宋体" w:cs="宋体"/>
      <w:kern w:val="0"/>
      <w:sz w:val="32"/>
      <w:szCs w:val="32"/>
      <w:lang w:val="zh-CN" w:bidi="zh-CN"/>
    </w:rPr>
  </w:style>
  <w:style w:type="paragraph" w:customStyle="1" w:styleId="13">
    <w:name w:val="Table Paragraph"/>
    <w:basedOn w:val="1"/>
    <w:qFormat/>
    <w:uiPriority w:val="1"/>
    <w:pPr>
      <w:autoSpaceDE w:val="0"/>
      <w:autoSpaceDN w:val="0"/>
      <w:spacing w:before="52"/>
      <w:ind w:left="1628" w:right="1621"/>
      <w:jc w:val="center"/>
    </w:pPr>
    <w:rPr>
      <w:rFonts w:ascii="宋体" w:hAnsi="宋体" w:eastAsia="宋体" w:cs="宋体"/>
      <w:kern w:val="0"/>
      <w:sz w:val="22"/>
      <w:lang w:val="zh-CN" w:bidi="zh-CN"/>
    </w:rPr>
  </w:style>
  <w:style w:type="character" w:customStyle="1" w:styleId="14">
    <w:name w:val="批注框文本 Char"/>
    <w:basedOn w:val="9"/>
    <w:link w:val="4"/>
    <w:semiHidden/>
    <w:qFormat/>
    <w:uiPriority w:val="99"/>
    <w:rPr>
      <w:kern w:val="2"/>
      <w:sz w:val="18"/>
      <w:szCs w:val="18"/>
    </w:rPr>
  </w:style>
  <w:style w:type="character" w:customStyle="1" w:styleId="15">
    <w:name w:val="文档结构图 Char"/>
    <w:basedOn w:val="9"/>
    <w:link w:val="2"/>
    <w:semiHidden/>
    <w:qFormat/>
    <w:uiPriority w:val="99"/>
    <w:rPr>
      <w:rFonts w:ascii="宋体"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2621</Words>
  <Characters>2903</Characters>
  <Lines>22</Lines>
  <Paragraphs>6</Paragraphs>
  <TotalTime>46</TotalTime>
  <ScaleCrop>false</ScaleCrop>
  <LinksUpToDate>false</LinksUpToDate>
  <CharactersWithSpaces>2923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2023-07-18T02:30:00Z</dcterms:created>
  <dc:creator>lcy</dc:creator>
  <cp:lastModifiedBy>胖胖胖的胖子℡</cp:lastModifiedBy>
  <cp:lastPrinted>2025-06-25T06:52:00Z</cp:lastPrinted>
  <dcterms:modified xsi:type="dcterms:W3CDTF">2026-04-27T13:03:12Z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6D704B06B9E947D29626470DA6A1F197_13</vt:lpwstr>
  </property>
  <property fmtid="{D5CDD505-2E9C-101B-9397-08002B2CF9AE}" pid="4" name="KSOTemplateDocerSaveRecord">
    <vt:lpwstr>eyJoZGlkIjoiYzAyNmE5MDg5YTQ1MDFkNTI1OTI4NmVjOTYxY2M0NTMiLCJ1c2VySWQiOiIxMDI2NDAyOTk3In0=</vt:lpwstr>
  </property>
</Properties>
</file>