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3B7AC">
      <w:pPr>
        <w:shd w:val="clear"/>
        <w:ind w:left="0" w:leftChars="0" w:firstLine="0" w:firstLineChars="0"/>
        <w:rPr>
          <w:rFonts w:hint="default" w:ascii="Times New Roman" w:hAnsi="Times New Roman" w:eastAsia="仿宋_GB2312" w:cs="Times New Roman"/>
          <w:color w:val="auto"/>
          <w:sz w:val="30"/>
          <w:szCs w:val="30"/>
          <w:highlight w:val="none"/>
        </w:rPr>
      </w:pPr>
      <w:bookmarkStart w:id="8" w:name="_GoBack"/>
      <w:bookmarkEnd w:id="8"/>
    </w:p>
    <w:p w14:paraId="7D12F4D1">
      <w:pPr>
        <w:shd w:val="clear"/>
        <w:rPr>
          <w:rFonts w:hint="default" w:ascii="Times New Roman" w:hAnsi="Times New Roman" w:eastAsia="仿宋_GB2312" w:cs="Times New Roman"/>
          <w:color w:val="auto"/>
          <w:sz w:val="36"/>
          <w:szCs w:val="36"/>
          <w:highlight w:val="none"/>
        </w:rPr>
      </w:pPr>
    </w:p>
    <w:p w14:paraId="4115E2B4">
      <w:pPr>
        <w:shd w:val="clear"/>
        <w:rPr>
          <w:rFonts w:hint="default" w:ascii="Times New Roman" w:hAnsi="Times New Roman" w:eastAsia="仿宋_GB2312" w:cs="Times New Roman"/>
          <w:color w:val="auto"/>
          <w:sz w:val="36"/>
          <w:szCs w:val="36"/>
          <w:highlight w:val="none"/>
        </w:rPr>
      </w:pPr>
    </w:p>
    <w:p w14:paraId="2BBA9DAA">
      <w:pPr>
        <w:shd w:val="clear"/>
        <w:rPr>
          <w:rFonts w:hint="default" w:ascii="Times New Roman" w:hAnsi="Times New Roman" w:eastAsia="仿宋_GB2312" w:cs="Times New Roman"/>
          <w:color w:val="auto"/>
          <w:sz w:val="36"/>
          <w:szCs w:val="36"/>
          <w:highlight w:val="none"/>
        </w:rPr>
      </w:pPr>
    </w:p>
    <w:p w14:paraId="61B09FC9">
      <w:pPr>
        <w:pStyle w:val="48"/>
        <w:shd w:val="clea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建设项目环境影响报告表</w:t>
      </w:r>
    </w:p>
    <w:p w14:paraId="07D5A91C">
      <w:pPr>
        <w:keepNext w:val="0"/>
        <w:keepLines w:val="0"/>
        <w:pageBreakBefore w:val="0"/>
        <w:widowControl w:val="0"/>
        <w:shd w:val="clear"/>
        <w:kinsoku/>
        <w:wordWrap/>
        <w:overflowPunct/>
        <w:topLinePunct w:val="0"/>
        <w:autoSpaceDE/>
        <w:autoSpaceDN/>
        <w:bidi w:val="0"/>
        <w:adjustRightInd w:val="0"/>
        <w:snapToGrid w:val="0"/>
        <w:spacing w:before="192" w:beforeLines="80"/>
        <w:ind w:firstLine="0" w:firstLineChars="0"/>
        <w:jc w:val="center"/>
        <w:textAlignment w:val="auto"/>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56ACEDBD">
      <w:pPr>
        <w:keepNext w:val="0"/>
        <w:keepLines w:val="0"/>
        <w:pageBreakBefore w:val="0"/>
        <w:widowControl w:val="0"/>
        <w:shd w:val="clear"/>
        <w:kinsoku/>
        <w:wordWrap/>
        <w:overflowPunct/>
        <w:topLinePunct w:val="0"/>
        <w:autoSpaceDE/>
        <w:autoSpaceDN/>
        <w:bidi w:val="0"/>
        <w:adjustRightInd w:val="0"/>
        <w:snapToGrid w:val="0"/>
        <w:spacing w:before="192" w:beforeLines="80"/>
        <w:ind w:firstLine="0" w:firstLineChars="0"/>
        <w:jc w:val="center"/>
        <w:textAlignment w:val="auto"/>
        <w:rPr>
          <w:rFonts w:hint="eastAsia" w:ascii="Times New Roman" w:hAnsi="Times New Roman" w:eastAsia="楷体_GB2312" w:cs="Times New Roman"/>
          <w:bCs/>
          <w:color w:val="auto"/>
          <w:sz w:val="48"/>
          <w:szCs w:val="48"/>
          <w:highlight w:val="none"/>
          <w:lang w:eastAsia="zh-CN"/>
        </w:rPr>
      </w:pPr>
    </w:p>
    <w:p w14:paraId="4C505F6B">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2D153793">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1DA0C22F">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711A0674">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6CCCC711">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65B4E001">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6BC1AD39">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10F997D2">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p>
    <w:p w14:paraId="3F9445D4">
      <w:pPr>
        <w:shd w:val="clear"/>
        <w:rPr>
          <w:rFonts w:hint="default" w:ascii="Times New Roman" w:hAnsi="Times New Roman" w:cs="Times New Roman"/>
          <w:color w:val="auto"/>
          <w:highlight w:val="none"/>
        </w:rPr>
      </w:pPr>
    </w:p>
    <w:p w14:paraId="0903CC14">
      <w:pPr>
        <w:shd w:val="clear"/>
        <w:rPr>
          <w:rFonts w:hint="default" w:ascii="Times New Roman" w:hAnsi="Times New Roman" w:cs="Times New Roman"/>
          <w:color w:val="auto"/>
          <w:highlight w:val="none"/>
        </w:rPr>
      </w:pPr>
    </w:p>
    <w:p w14:paraId="491D4867">
      <w:pPr>
        <w:shd w:val="clear"/>
        <w:rPr>
          <w:rFonts w:hint="default" w:ascii="Times New Roman" w:hAnsi="Times New Roman" w:cs="Times New Roman"/>
          <w:color w:val="auto"/>
          <w:highlight w:val="none"/>
        </w:rPr>
      </w:pP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14:paraId="1F411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157404E9">
            <w:pPr>
              <w:keepNext w:val="0"/>
              <w:keepLines w:val="0"/>
              <w:pageBreakBefore w:val="0"/>
              <w:widowControl w:val="0"/>
              <w:shd w:val="clear"/>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Times New Roman" w:hAnsi="Times New Roman" w:eastAsia="仿宋_GB2312" w:cs="Times New Roman"/>
                <w:color w:val="auto"/>
                <w:sz w:val="36"/>
                <w:szCs w:val="36"/>
                <w:highlight w:val="none"/>
                <w:u w:val="none"/>
                <w:vertAlign w:val="baseline"/>
                <w:lang w:val="en-US"/>
              </w:rPr>
            </w:pPr>
            <w:r>
              <w:rPr>
                <w:rFonts w:hint="default" w:ascii="Times New Roman" w:hAnsi="Times New Roman" w:eastAsia="仿宋_GB2312" w:cs="Times New Roman"/>
                <w:color w:val="auto"/>
                <w:sz w:val="36"/>
                <w:szCs w:val="36"/>
                <w:highlight w:val="none"/>
                <w:u w:val="none"/>
              </w:rPr>
              <w:t>项目名称：</w:t>
            </w:r>
            <w:r>
              <w:rPr>
                <w:rFonts w:hint="eastAsia" w:eastAsia="仿宋_GB2312" w:cs="Times New Roman"/>
                <w:color w:val="auto"/>
                <w:spacing w:val="0"/>
                <w:sz w:val="36"/>
                <w:szCs w:val="36"/>
                <w:highlight w:val="none"/>
                <w:u w:val="single"/>
                <w:lang w:val="en-US" w:eastAsia="zh-CN"/>
              </w:rPr>
              <w:t>滦州市耀隆宝峰矿业有限公司新增破碎筛分设备技术改造项目</w:t>
            </w:r>
          </w:p>
        </w:tc>
      </w:tr>
      <w:tr w14:paraId="7950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0145E0CF">
            <w:pPr>
              <w:keepNext w:val="0"/>
              <w:keepLines w:val="0"/>
              <w:pageBreakBefore w:val="0"/>
              <w:widowControl w:val="0"/>
              <w:shd w:val="clear"/>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Times New Roman" w:hAnsi="Times New Roman" w:eastAsia="仿宋_GB2312" w:cs="Times New Roman"/>
                <w:color w:val="auto"/>
                <w:sz w:val="36"/>
                <w:szCs w:val="36"/>
                <w:highlight w:val="none"/>
                <w:u w:val="none"/>
                <w:vertAlign w:val="baseline"/>
                <w:lang w:val="en-US"/>
              </w:rPr>
            </w:pPr>
            <w:r>
              <w:rPr>
                <w:rFonts w:hint="default" w:ascii="Times New Roman" w:hAnsi="Times New Roman" w:eastAsia="仿宋_GB2312" w:cs="Times New Roman"/>
                <w:color w:val="auto"/>
                <w:sz w:val="36"/>
                <w:szCs w:val="36"/>
                <w:highlight w:val="none"/>
                <w:u w:val="none"/>
              </w:rPr>
              <w:t>建设单位（盖章）：</w:t>
            </w:r>
            <w:r>
              <w:rPr>
                <w:rFonts w:hint="eastAsia" w:eastAsia="仿宋_GB2312" w:cs="Times New Roman"/>
                <w:color w:val="auto"/>
                <w:spacing w:val="-11"/>
                <w:sz w:val="36"/>
                <w:szCs w:val="36"/>
                <w:highlight w:val="none"/>
                <w:u w:val="single"/>
                <w:lang w:val="en-US" w:eastAsia="zh-CN"/>
              </w:rPr>
              <w:t xml:space="preserve">滦州市耀隆宝峰矿业有限公司        </w:t>
            </w:r>
          </w:p>
        </w:tc>
      </w:tr>
      <w:tr w14:paraId="58B0C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54BA2D2D">
            <w:pPr>
              <w:keepNext w:val="0"/>
              <w:keepLines w:val="0"/>
              <w:pageBreakBefore w:val="0"/>
              <w:widowControl w:val="0"/>
              <w:shd w:val="clear"/>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Times New Roman" w:hAnsi="Times New Roman" w:eastAsia="仿宋_GB2312" w:cs="Times New Roman"/>
                <w:color w:val="auto"/>
                <w:sz w:val="36"/>
                <w:szCs w:val="36"/>
                <w:highlight w:val="none"/>
                <w:u w:val="none"/>
                <w:vertAlign w:val="baseline"/>
                <w:lang w:val="en-US"/>
              </w:rPr>
            </w:pPr>
            <w:r>
              <w:rPr>
                <w:rFonts w:hint="default" w:ascii="Times New Roman" w:hAnsi="Times New Roman" w:eastAsia="仿宋_GB2312" w:cs="Times New Roman"/>
                <w:color w:val="auto"/>
                <w:sz w:val="36"/>
                <w:szCs w:val="36"/>
                <w:highlight w:val="none"/>
                <w:u w:val="none"/>
              </w:rPr>
              <w:t>编制日期：</w:t>
            </w:r>
            <w:r>
              <w:rPr>
                <w:rFonts w:hint="eastAsia" w:eastAsia="仿宋_GB2312" w:cs="Times New Roman"/>
                <w:color w:val="auto"/>
                <w:spacing w:val="-6"/>
                <w:sz w:val="36"/>
                <w:szCs w:val="36"/>
                <w:highlight w:val="none"/>
                <w:u w:val="single"/>
                <w:lang w:val="en-US" w:eastAsia="zh-CN"/>
              </w:rPr>
              <w:t xml:space="preserve">               </w:t>
            </w:r>
            <w:r>
              <w:rPr>
                <w:rFonts w:hint="default" w:ascii="Times New Roman" w:hAnsi="Times New Roman" w:eastAsia="仿宋_GB2312" w:cs="Times New Roman"/>
                <w:color w:val="auto"/>
                <w:spacing w:val="-6"/>
                <w:sz w:val="36"/>
                <w:szCs w:val="36"/>
                <w:highlight w:val="none"/>
                <w:u w:val="single"/>
                <w:lang w:val="en-US" w:eastAsia="zh-CN"/>
              </w:rPr>
              <w:t>202</w:t>
            </w:r>
            <w:r>
              <w:rPr>
                <w:rFonts w:hint="eastAsia" w:eastAsia="仿宋_GB2312" w:cs="Times New Roman"/>
                <w:color w:val="auto"/>
                <w:spacing w:val="-6"/>
                <w:sz w:val="36"/>
                <w:szCs w:val="36"/>
                <w:highlight w:val="none"/>
                <w:u w:val="single"/>
                <w:lang w:val="en-US" w:eastAsia="zh-CN"/>
              </w:rPr>
              <w:t>6</w:t>
            </w:r>
            <w:r>
              <w:rPr>
                <w:rFonts w:hint="default" w:ascii="Times New Roman" w:hAnsi="Times New Roman" w:eastAsia="仿宋_GB2312" w:cs="Times New Roman"/>
                <w:color w:val="auto"/>
                <w:spacing w:val="-6"/>
                <w:sz w:val="36"/>
                <w:szCs w:val="36"/>
                <w:highlight w:val="none"/>
                <w:u w:val="single"/>
                <w:lang w:val="en-US" w:eastAsia="zh-CN"/>
              </w:rPr>
              <w:t>年</w:t>
            </w:r>
            <w:r>
              <w:rPr>
                <w:rFonts w:hint="eastAsia" w:eastAsia="仿宋_GB2312" w:cs="Times New Roman"/>
                <w:color w:val="auto"/>
                <w:spacing w:val="-6"/>
                <w:sz w:val="36"/>
                <w:szCs w:val="36"/>
                <w:highlight w:val="none"/>
                <w:u w:val="single"/>
                <w:lang w:val="en-US" w:eastAsia="zh-CN"/>
              </w:rPr>
              <w:t>4</w:t>
            </w:r>
            <w:r>
              <w:rPr>
                <w:rFonts w:hint="default" w:ascii="Times New Roman" w:hAnsi="Times New Roman" w:eastAsia="仿宋_GB2312" w:cs="Times New Roman"/>
                <w:color w:val="auto"/>
                <w:spacing w:val="-6"/>
                <w:sz w:val="36"/>
                <w:szCs w:val="36"/>
                <w:highlight w:val="none"/>
                <w:u w:val="single"/>
                <w:lang w:val="en-US" w:eastAsia="zh-CN"/>
              </w:rPr>
              <w:t>月</w:t>
            </w:r>
            <w:r>
              <w:rPr>
                <w:rFonts w:hint="eastAsia" w:eastAsia="仿宋_GB2312" w:cs="Times New Roman"/>
                <w:color w:val="auto"/>
                <w:spacing w:val="-6"/>
                <w:sz w:val="36"/>
                <w:szCs w:val="36"/>
                <w:highlight w:val="none"/>
                <w:u w:val="single"/>
                <w:lang w:val="en-US" w:eastAsia="zh-CN"/>
              </w:rPr>
              <w:t xml:space="preserve">                </w:t>
            </w:r>
          </w:p>
        </w:tc>
      </w:tr>
    </w:tbl>
    <w:p w14:paraId="5AAE9CA5">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auto"/>
          <w:sz w:val="36"/>
          <w:szCs w:val="36"/>
          <w:highlight w:val="none"/>
          <w:u w:val="single"/>
          <w:lang w:val="en-US" w:eastAsia="zh-CN"/>
        </w:rPr>
      </w:pPr>
      <w:bookmarkStart w:id="0" w:name="_Hlk57884087"/>
    </w:p>
    <w:p w14:paraId="2082C0E9">
      <w:pPr>
        <w:shd w:val="clea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bookmarkEnd w:id="0"/>
    <w:p w14:paraId="2BBF706D">
      <w:pPr>
        <w:keepNext w:val="0"/>
        <w:keepLines w:val="0"/>
        <w:pageBreakBefore w:val="0"/>
        <w:widowControl w:val="0"/>
        <w:shd w:val="clear"/>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7EFBFE3B">
      <w:pPr>
        <w:shd w:val="clea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br w:type="page"/>
      </w:r>
    </w:p>
    <w:p w14:paraId="1C24BB37">
      <w:pPr>
        <w:shd w:val="clear"/>
        <w:adjustRightInd w:val="0"/>
        <w:snapToGrid w:val="0"/>
        <w:spacing w:line="288" w:lineRule="auto"/>
        <w:jc w:val="center"/>
        <w:rPr>
          <w:rFonts w:hint="default" w:ascii="Times New Roman" w:hAnsi="Times New Roman" w:eastAsia="仿宋_GB2312" w:cs="Times New Roman"/>
          <w:color w:val="auto"/>
          <w:sz w:val="36"/>
          <w:szCs w:val="36"/>
          <w:highlight w:val="none"/>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hint="default" w:ascii="Times New Roman" w:hAnsi="Times New Roman" w:eastAsia="仿宋_GB2312" w:cs="Times New Roman"/>
          <w:color w:val="auto"/>
          <w:sz w:val="36"/>
          <w:szCs w:val="36"/>
          <w:highlight w:val="none"/>
        </w:rPr>
        <w:br w:type="page"/>
      </w:r>
    </w:p>
    <w:p w14:paraId="254A9EE1">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32"/>
        <w:tblW w:w="9071"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571"/>
        <w:gridCol w:w="2018"/>
        <w:gridCol w:w="2168"/>
        <w:gridCol w:w="3314"/>
      </w:tblGrid>
      <w:tr w14:paraId="7A71051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970" w:hRule="atLeast"/>
          <w:jc w:val="center"/>
        </w:trPr>
        <w:tc>
          <w:tcPr>
            <w:tcW w:w="1571" w:type="dxa"/>
            <w:tcBorders>
              <w:tl2br w:val="nil"/>
              <w:tr2bl w:val="nil"/>
            </w:tcBorders>
            <w:noWrap w:val="0"/>
            <w:tcMar>
              <w:top w:w="16" w:type="dxa"/>
              <w:left w:w="16" w:type="dxa"/>
              <w:right w:w="16" w:type="dxa"/>
            </w:tcMar>
            <w:vAlign w:val="center"/>
          </w:tcPr>
          <w:p w14:paraId="0A753F3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建设项目名称</w:t>
            </w:r>
          </w:p>
        </w:tc>
        <w:tc>
          <w:tcPr>
            <w:tcW w:w="7500" w:type="dxa"/>
            <w:gridSpan w:val="3"/>
            <w:tcBorders>
              <w:tl2br w:val="nil"/>
              <w:tr2bl w:val="nil"/>
            </w:tcBorders>
            <w:noWrap w:val="0"/>
            <w:vAlign w:val="center"/>
          </w:tcPr>
          <w:p w14:paraId="60052ADC">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shd w:val="clear"/>
                <w:lang w:val="en-US" w:eastAsia="zh-CN"/>
              </w:rPr>
              <w:t>滦州市耀隆宝峰矿业有限公司新增破碎筛分设备技术改造项目</w:t>
            </w:r>
          </w:p>
        </w:tc>
      </w:tr>
      <w:tr w14:paraId="02311D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5B68C4B0">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项目代码</w:t>
            </w:r>
          </w:p>
        </w:tc>
        <w:tc>
          <w:tcPr>
            <w:tcW w:w="7500" w:type="dxa"/>
            <w:gridSpan w:val="3"/>
            <w:tcBorders>
              <w:tl2br w:val="nil"/>
              <w:tr2bl w:val="nil"/>
            </w:tcBorders>
            <w:noWrap w:val="0"/>
            <w:vAlign w:val="center"/>
          </w:tcPr>
          <w:p w14:paraId="3556D54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2602-130223-89-02-335466</w:t>
            </w:r>
          </w:p>
        </w:tc>
      </w:tr>
      <w:tr w14:paraId="7D10AE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68392B6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shd w:val="clear"/>
              </w:rPr>
              <w:t>建设单位联系人</w:t>
            </w:r>
          </w:p>
        </w:tc>
        <w:tc>
          <w:tcPr>
            <w:tcW w:w="2018" w:type="dxa"/>
            <w:tcBorders>
              <w:tl2br w:val="nil"/>
              <w:tr2bl w:val="nil"/>
            </w:tcBorders>
            <w:noWrap w:val="0"/>
            <w:vAlign w:val="center"/>
          </w:tcPr>
          <w:p w14:paraId="118123BF">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杨凤杰</w:t>
            </w:r>
          </w:p>
        </w:tc>
        <w:tc>
          <w:tcPr>
            <w:tcW w:w="2168" w:type="dxa"/>
            <w:tcBorders>
              <w:tl2br w:val="nil"/>
              <w:tr2bl w:val="nil"/>
            </w:tcBorders>
            <w:noWrap w:val="0"/>
            <w:vAlign w:val="center"/>
          </w:tcPr>
          <w:p w14:paraId="632F0561">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联系方式</w:t>
            </w:r>
          </w:p>
        </w:tc>
        <w:tc>
          <w:tcPr>
            <w:tcW w:w="3314" w:type="dxa"/>
            <w:tcBorders>
              <w:tl2br w:val="nil"/>
              <w:tr2bl w:val="nil"/>
            </w:tcBorders>
            <w:noWrap w:val="0"/>
            <w:vAlign w:val="center"/>
          </w:tcPr>
          <w:p w14:paraId="394D6E0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13903150729</w:t>
            </w:r>
          </w:p>
        </w:tc>
      </w:tr>
      <w:tr w14:paraId="447ACF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55A8CA7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w:t>
            </w:r>
          </w:p>
        </w:tc>
        <w:tc>
          <w:tcPr>
            <w:tcW w:w="7500" w:type="dxa"/>
            <w:gridSpan w:val="3"/>
            <w:tcBorders>
              <w:tl2br w:val="nil"/>
              <w:tr2bl w:val="nil"/>
            </w:tcBorders>
            <w:noWrap w:val="0"/>
            <w:vAlign w:val="center"/>
          </w:tcPr>
          <w:p w14:paraId="4D4E01E3">
            <w:pPr>
              <w:pStyle w:val="43"/>
              <w:pageBreakBefore w:val="0"/>
              <w:shd w:val="clear"/>
              <w:kinsoku/>
              <w:overflowPunct/>
              <w:topLinePunct w:val="0"/>
              <w:bidi w:val="0"/>
              <w:spacing w:before="0" w:after="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河北省唐山市滦州市雷庄镇耀隆宝峰矿业有限公司院内</w:t>
            </w:r>
          </w:p>
        </w:tc>
      </w:tr>
      <w:tr w14:paraId="3076FCA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5417D83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地理坐标</w:t>
            </w:r>
          </w:p>
        </w:tc>
        <w:tc>
          <w:tcPr>
            <w:tcW w:w="7500" w:type="dxa"/>
            <w:gridSpan w:val="3"/>
            <w:tcBorders>
              <w:tl2br w:val="nil"/>
              <w:tr2bl w:val="nil"/>
            </w:tcBorders>
            <w:noWrap w:val="0"/>
            <w:vAlign w:val="center"/>
          </w:tcPr>
          <w:p w14:paraId="3372400C">
            <w:pPr>
              <w:pStyle w:val="43"/>
              <w:pageBreakBefore w:val="0"/>
              <w:shd w:val="clear"/>
              <w:kinsoku/>
              <w:overflowPunct/>
              <w:topLinePunct w:val="0"/>
              <w:bidi w:val="0"/>
              <w:spacing w:before="0" w:after="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shd w:val="clear"/>
                <w:lang w:val="en-US" w:eastAsia="zh-CN"/>
              </w:rPr>
              <w:t>东经：118°35'2.11</w:t>
            </w:r>
            <w:r>
              <w:rPr>
                <w:rFonts w:hint="eastAsia" w:cs="Times New Roman"/>
                <w:color w:val="auto"/>
                <w:sz w:val="24"/>
                <w:szCs w:val="24"/>
                <w:highlight w:val="none"/>
                <w:shd w:val="clear"/>
                <w:lang w:val="en-US" w:eastAsia="zh-CN"/>
              </w:rPr>
              <w:t>0</w:t>
            </w:r>
            <w:r>
              <w:rPr>
                <w:rFonts w:hint="default" w:ascii="Times New Roman" w:hAnsi="Times New Roman" w:cs="Times New Roman"/>
                <w:color w:val="auto"/>
                <w:sz w:val="24"/>
                <w:szCs w:val="24"/>
                <w:highlight w:val="none"/>
                <w:shd w:val="clear"/>
                <w:lang w:val="en-US" w:eastAsia="zh-CN"/>
              </w:rPr>
              <w:t>"</w:t>
            </w:r>
            <w:r>
              <w:rPr>
                <w:rFonts w:hint="default" w:ascii="Times New Roman" w:hAnsi="Times New Roman" w:cs="Times New Roman"/>
                <w:color w:val="auto"/>
                <w:sz w:val="24"/>
                <w:szCs w:val="24"/>
                <w:highlight w:val="none"/>
                <w:shd w:val="clear"/>
                <w:lang w:eastAsia="zh-CN"/>
              </w:rPr>
              <w:t>；</w:t>
            </w:r>
            <w:r>
              <w:rPr>
                <w:rFonts w:hint="default" w:ascii="Times New Roman" w:hAnsi="Times New Roman" w:cs="Times New Roman"/>
                <w:color w:val="auto"/>
                <w:sz w:val="24"/>
                <w:szCs w:val="24"/>
                <w:highlight w:val="none"/>
                <w:shd w:val="clear"/>
                <w:lang w:val="en-US" w:eastAsia="zh-CN"/>
              </w:rPr>
              <w:t>北纬：</w:t>
            </w:r>
            <w:r>
              <w:rPr>
                <w:rFonts w:hint="default" w:ascii="Times New Roman" w:hAnsi="Times New Roman" w:cs="Times New Roman"/>
                <w:color w:val="auto"/>
                <w:sz w:val="24"/>
                <w:szCs w:val="24"/>
                <w:highlight w:val="none"/>
                <w:shd w:val="clear"/>
                <w:lang w:eastAsia="zh-CN"/>
              </w:rPr>
              <w:t>39°45'48.66</w:t>
            </w:r>
            <w:r>
              <w:rPr>
                <w:rFonts w:hint="eastAsia" w:cs="Times New Roman"/>
                <w:color w:val="auto"/>
                <w:sz w:val="24"/>
                <w:szCs w:val="24"/>
                <w:highlight w:val="none"/>
                <w:shd w:val="clear"/>
                <w:lang w:val="en-US" w:eastAsia="zh-CN"/>
              </w:rPr>
              <w:t>0</w:t>
            </w:r>
            <w:r>
              <w:rPr>
                <w:rFonts w:hint="default" w:ascii="Times New Roman" w:hAnsi="Times New Roman" w:cs="Times New Roman"/>
                <w:color w:val="auto"/>
                <w:sz w:val="24"/>
                <w:szCs w:val="24"/>
                <w:highlight w:val="none"/>
                <w:shd w:val="clear"/>
                <w:lang w:eastAsia="zh-CN"/>
              </w:rPr>
              <w:t>"</w:t>
            </w:r>
          </w:p>
        </w:tc>
      </w:tr>
      <w:tr w14:paraId="4C25500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922" w:hRule="atLeast"/>
          <w:jc w:val="center"/>
        </w:trPr>
        <w:tc>
          <w:tcPr>
            <w:tcW w:w="1571" w:type="dxa"/>
            <w:tcBorders>
              <w:tl2br w:val="nil"/>
              <w:tr2bl w:val="nil"/>
            </w:tcBorders>
            <w:noWrap w:val="0"/>
            <w:tcMar>
              <w:top w:w="16" w:type="dxa"/>
              <w:left w:w="16" w:type="dxa"/>
              <w:right w:w="16" w:type="dxa"/>
            </w:tcMar>
            <w:vAlign w:val="center"/>
          </w:tcPr>
          <w:p w14:paraId="3D8FE7DC">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国民经济</w:t>
            </w:r>
          </w:p>
          <w:p w14:paraId="31DF72B9">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行业类别</w:t>
            </w:r>
          </w:p>
        </w:tc>
        <w:tc>
          <w:tcPr>
            <w:tcW w:w="2018" w:type="dxa"/>
            <w:tcBorders>
              <w:tl2br w:val="nil"/>
              <w:tr2bl w:val="nil"/>
            </w:tcBorders>
            <w:noWrap w:val="0"/>
            <w:vAlign w:val="center"/>
          </w:tcPr>
          <w:p w14:paraId="2597C636">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其他非金属矿物制品制造</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C3</w:t>
            </w:r>
            <w:r>
              <w:rPr>
                <w:rFonts w:hint="eastAsia" w:cs="Times New Roman"/>
                <w:color w:val="auto"/>
                <w:sz w:val="24"/>
                <w:szCs w:val="24"/>
                <w:highlight w:val="none"/>
                <w:lang w:val="en-US" w:eastAsia="zh-CN"/>
              </w:rPr>
              <w:t>099</w:t>
            </w:r>
          </w:p>
        </w:tc>
        <w:tc>
          <w:tcPr>
            <w:tcW w:w="2168" w:type="dxa"/>
            <w:tcBorders>
              <w:tl2br w:val="nil"/>
              <w:tr2bl w:val="nil"/>
            </w:tcBorders>
            <w:noWrap w:val="0"/>
            <w:vAlign w:val="center"/>
          </w:tcPr>
          <w:p w14:paraId="671D24AB">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bookmarkStart w:id="1" w:name="_Hlk49843745"/>
            <w:r>
              <w:rPr>
                <w:rFonts w:hint="default" w:ascii="Times New Roman" w:hAnsi="Times New Roman" w:cs="Times New Roman"/>
                <w:color w:val="auto"/>
                <w:sz w:val="24"/>
                <w:szCs w:val="24"/>
                <w:highlight w:val="none"/>
                <w:lang w:val="en-US" w:eastAsia="zh-CN"/>
              </w:rPr>
              <w:t>建设项目</w:t>
            </w:r>
          </w:p>
          <w:p w14:paraId="0C795270">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行业类别</w:t>
            </w:r>
            <w:bookmarkEnd w:id="1"/>
          </w:p>
        </w:tc>
        <w:tc>
          <w:tcPr>
            <w:tcW w:w="3314" w:type="dxa"/>
            <w:tcBorders>
              <w:tl2br w:val="nil"/>
              <w:tr2bl w:val="nil"/>
            </w:tcBorders>
            <w:noWrap w:val="0"/>
            <w:vAlign w:val="center"/>
          </w:tcPr>
          <w:p w14:paraId="6C104CF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kern w:val="1"/>
                <w:sz w:val="24"/>
                <w:szCs w:val="24"/>
                <w:highlight w:val="none"/>
                <w:lang w:val="en-US" w:eastAsia="zh-CN" w:bidi="ar-SA"/>
              </w:rPr>
            </w:pPr>
            <w:r>
              <w:rPr>
                <w:rFonts w:hint="default" w:ascii="Times New Roman" w:hAnsi="Times New Roman" w:eastAsia="宋体" w:cs="Times New Roman"/>
                <w:color w:val="auto"/>
                <w:kern w:val="1"/>
                <w:sz w:val="24"/>
                <w:szCs w:val="24"/>
                <w:highlight w:val="none"/>
                <w:lang w:val="en-US" w:eastAsia="zh-CN" w:bidi="ar-SA"/>
              </w:rPr>
              <w:t>二十七、非金属矿物制品业30-6</w:t>
            </w:r>
            <w:r>
              <w:rPr>
                <w:rFonts w:hint="eastAsia" w:cs="Times New Roman"/>
                <w:color w:val="auto"/>
                <w:kern w:val="1"/>
                <w:sz w:val="24"/>
                <w:szCs w:val="24"/>
                <w:highlight w:val="none"/>
                <w:lang w:val="en-US" w:eastAsia="zh-CN" w:bidi="ar-SA"/>
              </w:rPr>
              <w:t>0</w:t>
            </w:r>
            <w:r>
              <w:rPr>
                <w:rFonts w:hint="default" w:ascii="Times New Roman" w:hAnsi="Times New Roman" w:eastAsia="宋体" w:cs="Times New Roman"/>
                <w:color w:val="auto"/>
                <w:kern w:val="1"/>
                <w:sz w:val="24"/>
                <w:szCs w:val="24"/>
                <w:highlight w:val="none"/>
                <w:lang w:val="en-US" w:eastAsia="zh-CN" w:bidi="ar-SA"/>
              </w:rPr>
              <w:t>石墨及其他非金</w:t>
            </w:r>
          </w:p>
          <w:p w14:paraId="0B2A72E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color w:val="auto"/>
                <w:lang w:val="en-US" w:eastAsia="zh-CN"/>
              </w:rPr>
            </w:pPr>
            <w:r>
              <w:rPr>
                <w:rFonts w:hint="default" w:ascii="Times New Roman" w:hAnsi="Times New Roman" w:eastAsia="宋体" w:cs="Times New Roman"/>
                <w:color w:val="auto"/>
                <w:kern w:val="1"/>
                <w:sz w:val="24"/>
                <w:szCs w:val="24"/>
                <w:highlight w:val="none"/>
                <w:lang w:val="en-US" w:eastAsia="zh-CN" w:bidi="ar-SA"/>
              </w:rPr>
              <w:t>属矿物制品制造309-其他</w:t>
            </w:r>
          </w:p>
        </w:tc>
      </w:tr>
      <w:tr w14:paraId="199B198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869" w:hRule="atLeast"/>
          <w:jc w:val="center"/>
        </w:trPr>
        <w:tc>
          <w:tcPr>
            <w:tcW w:w="1571" w:type="dxa"/>
            <w:tcBorders>
              <w:tl2br w:val="nil"/>
              <w:tr2bl w:val="nil"/>
            </w:tcBorders>
            <w:noWrap w:val="0"/>
            <w:tcMar>
              <w:top w:w="16" w:type="dxa"/>
              <w:left w:w="16" w:type="dxa"/>
              <w:right w:w="16" w:type="dxa"/>
            </w:tcMar>
            <w:vAlign w:val="center"/>
          </w:tcPr>
          <w:p w14:paraId="41FDF3C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建设性质</w:t>
            </w:r>
          </w:p>
        </w:tc>
        <w:tc>
          <w:tcPr>
            <w:tcW w:w="2018" w:type="dxa"/>
            <w:tcBorders>
              <w:tl2br w:val="nil"/>
              <w:tr2bl w:val="nil"/>
            </w:tcBorders>
            <w:noWrap w:val="0"/>
            <w:vAlign w:val="center"/>
          </w:tcPr>
          <w:p w14:paraId="7D126698">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b w:val="0"/>
                <w:bCs w:val="0"/>
                <w:color w:val="auto"/>
                <w:sz w:val="24"/>
                <w:szCs w:val="24"/>
                <w:highlight w:val="none"/>
              </w:rPr>
              <w:t>新建（迁建）</w:t>
            </w:r>
          </w:p>
          <w:p w14:paraId="7B8C348B">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b w:val="0"/>
                <w:bCs w:val="0"/>
                <w:color w:val="auto"/>
                <w:sz w:val="24"/>
                <w:szCs w:val="24"/>
                <w:highlight w:val="none"/>
              </w:rPr>
              <w:t>改建</w:t>
            </w:r>
          </w:p>
          <w:p w14:paraId="264203A7">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b w:val="0"/>
                <w:bCs w:val="0"/>
                <w:color w:val="auto"/>
                <w:sz w:val="24"/>
                <w:szCs w:val="24"/>
                <w:highlight w:val="none"/>
              </w:rPr>
              <w:t>扩建</w:t>
            </w:r>
          </w:p>
          <w:p w14:paraId="725A39DD">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rPr>
              <w:sym w:font="Wingdings 2" w:char="0052"/>
            </w:r>
            <w:r>
              <w:rPr>
                <w:rFonts w:hint="default" w:ascii="Times New Roman" w:hAnsi="Times New Roman" w:cs="Times New Roman"/>
                <w:b w:val="0"/>
                <w:bCs w:val="0"/>
                <w:color w:val="auto"/>
                <w:sz w:val="24"/>
                <w:szCs w:val="24"/>
                <w:highlight w:val="none"/>
              </w:rPr>
              <w:t>技术改造</w:t>
            </w:r>
          </w:p>
        </w:tc>
        <w:tc>
          <w:tcPr>
            <w:tcW w:w="2168" w:type="dxa"/>
            <w:tcBorders>
              <w:tl2br w:val="nil"/>
              <w:tr2bl w:val="nil"/>
            </w:tcBorders>
            <w:noWrap w:val="0"/>
            <w:vAlign w:val="center"/>
          </w:tcPr>
          <w:p w14:paraId="0D0E5E1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建设项目</w:t>
            </w:r>
          </w:p>
          <w:p w14:paraId="0E654270">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申报情形</w:t>
            </w:r>
          </w:p>
        </w:tc>
        <w:tc>
          <w:tcPr>
            <w:tcW w:w="3314" w:type="dxa"/>
            <w:tcBorders>
              <w:tl2br w:val="nil"/>
              <w:tr2bl w:val="nil"/>
            </w:tcBorders>
            <w:noWrap w:val="0"/>
            <w:vAlign w:val="center"/>
          </w:tcPr>
          <w:p w14:paraId="7B2ECD3D">
            <w:pPr>
              <w:pStyle w:val="43"/>
              <w:pageBreakBefore w:val="0"/>
              <w:shd w:val="clear"/>
              <w:kinsoku/>
              <w:overflowPunct/>
              <w:topLinePunct w:val="0"/>
              <w:bidi w:val="0"/>
              <w:spacing w:before="0" w:after="0"/>
              <w:jc w:val="left"/>
              <w:textAlignment w:val="auto"/>
              <w:rPr>
                <w:rFonts w:hint="eastAsia"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color w:val="auto"/>
                <w:sz w:val="24"/>
                <w:highlight w:val="none"/>
              </w:rPr>
              <w:sym w:font="Wingdings 2" w:char="0052"/>
            </w:r>
            <w:r>
              <w:rPr>
                <w:rFonts w:hint="default" w:ascii="Times New Roman" w:hAnsi="Times New Roman" w:cs="Times New Roman"/>
                <w:b w:val="0"/>
                <w:bCs w:val="0"/>
                <w:color w:val="auto"/>
                <w:sz w:val="24"/>
                <w:szCs w:val="24"/>
                <w:highlight w:val="none"/>
              </w:rPr>
              <w:t>首次申报项目</w:t>
            </w:r>
          </w:p>
          <w:p w14:paraId="2647780D">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b w:val="0"/>
                <w:bCs w:val="0"/>
                <w:color w:val="auto"/>
                <w:sz w:val="24"/>
                <w:szCs w:val="24"/>
                <w:highlight w:val="none"/>
              </w:rPr>
              <w:t>不予批准后再次申报项目</w:t>
            </w:r>
          </w:p>
          <w:p w14:paraId="282512B0">
            <w:pPr>
              <w:pStyle w:val="43"/>
              <w:pageBreakBefore w:val="0"/>
              <w:shd w:val="clear"/>
              <w:kinsoku/>
              <w:overflowPunct/>
              <w:topLinePunct w:val="0"/>
              <w:bidi w:val="0"/>
              <w:spacing w:before="0" w:after="0"/>
              <w:jc w:val="left"/>
              <w:textAlignment w:val="auto"/>
              <w:rPr>
                <w:rFonts w:hint="eastAsia"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b w:val="0"/>
                <w:bCs w:val="0"/>
                <w:color w:val="auto"/>
                <w:sz w:val="24"/>
                <w:szCs w:val="24"/>
                <w:highlight w:val="none"/>
              </w:rPr>
              <w:t>超五年重新审核项目</w:t>
            </w:r>
          </w:p>
          <w:p w14:paraId="6695B2B5">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b w:val="0"/>
                <w:bCs w:val="0"/>
                <w:color w:val="auto"/>
                <w:sz w:val="24"/>
                <w:szCs w:val="24"/>
                <w:highlight w:val="none"/>
              </w:rPr>
              <w:t>重大变动重新报批项目</w:t>
            </w:r>
          </w:p>
        </w:tc>
      </w:tr>
      <w:tr w14:paraId="468FD8A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375" w:hRule="atLeast"/>
          <w:jc w:val="center"/>
        </w:trPr>
        <w:tc>
          <w:tcPr>
            <w:tcW w:w="1571" w:type="dxa"/>
            <w:tcBorders>
              <w:tl2br w:val="nil"/>
              <w:tr2bl w:val="nil"/>
            </w:tcBorders>
            <w:noWrap w:val="0"/>
            <w:tcMar>
              <w:top w:w="16" w:type="dxa"/>
              <w:left w:w="16" w:type="dxa"/>
              <w:right w:w="16" w:type="dxa"/>
            </w:tcMar>
            <w:vAlign w:val="center"/>
          </w:tcPr>
          <w:p w14:paraId="632FD4D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项目审批（核准/备案）部门（选填）</w:t>
            </w:r>
          </w:p>
        </w:tc>
        <w:tc>
          <w:tcPr>
            <w:tcW w:w="2018" w:type="dxa"/>
            <w:tcBorders>
              <w:tl2br w:val="nil"/>
              <w:tr2bl w:val="nil"/>
            </w:tcBorders>
            <w:noWrap w:val="0"/>
            <w:vAlign w:val="center"/>
          </w:tcPr>
          <w:p w14:paraId="6D4A0030">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滦州市行政审批局</w:t>
            </w:r>
          </w:p>
        </w:tc>
        <w:tc>
          <w:tcPr>
            <w:tcW w:w="2168" w:type="dxa"/>
            <w:tcBorders>
              <w:tl2br w:val="nil"/>
              <w:tr2bl w:val="nil"/>
            </w:tcBorders>
            <w:noWrap w:val="0"/>
            <w:vAlign w:val="center"/>
          </w:tcPr>
          <w:p w14:paraId="23724D7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51E460F4">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备案）文号（选填）</w:t>
            </w:r>
          </w:p>
        </w:tc>
        <w:tc>
          <w:tcPr>
            <w:tcW w:w="3314" w:type="dxa"/>
            <w:tcBorders>
              <w:tl2br w:val="nil"/>
              <w:tr2bl w:val="nil"/>
            </w:tcBorders>
            <w:noWrap w:val="0"/>
            <w:vAlign w:val="center"/>
          </w:tcPr>
          <w:p w14:paraId="73F2BDFD">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滦审批技改备案(2026)2号</w:t>
            </w:r>
          </w:p>
        </w:tc>
      </w:tr>
      <w:tr w14:paraId="5C3599E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031" w:hRule="atLeast"/>
          <w:jc w:val="center"/>
        </w:trPr>
        <w:tc>
          <w:tcPr>
            <w:tcW w:w="1571" w:type="dxa"/>
            <w:tcBorders>
              <w:tl2br w:val="nil"/>
              <w:tr2bl w:val="nil"/>
            </w:tcBorders>
            <w:shd w:val="clear" w:color="auto" w:fill="auto"/>
            <w:noWrap w:val="0"/>
            <w:tcMar>
              <w:top w:w="16" w:type="dxa"/>
              <w:left w:w="16" w:type="dxa"/>
              <w:right w:w="16" w:type="dxa"/>
            </w:tcMar>
            <w:vAlign w:val="center"/>
          </w:tcPr>
          <w:p w14:paraId="1D78ACB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2018" w:type="dxa"/>
            <w:tcBorders>
              <w:tl2br w:val="nil"/>
              <w:tr2bl w:val="nil"/>
            </w:tcBorders>
            <w:shd w:val="clear" w:color="auto" w:fill="auto"/>
            <w:noWrap w:val="0"/>
            <w:vAlign w:val="center"/>
          </w:tcPr>
          <w:p w14:paraId="76C46697">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300</w:t>
            </w:r>
          </w:p>
        </w:tc>
        <w:tc>
          <w:tcPr>
            <w:tcW w:w="2168" w:type="dxa"/>
            <w:tcBorders>
              <w:tl2br w:val="nil"/>
              <w:tr2bl w:val="nil"/>
            </w:tcBorders>
            <w:shd w:val="clear" w:color="auto" w:fill="auto"/>
            <w:noWrap w:val="0"/>
            <w:tcMar>
              <w:top w:w="16" w:type="dxa"/>
              <w:left w:w="16" w:type="dxa"/>
              <w:right w:w="16" w:type="dxa"/>
            </w:tcMar>
            <w:vAlign w:val="center"/>
          </w:tcPr>
          <w:p w14:paraId="3FE856A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3314" w:type="dxa"/>
            <w:tcBorders>
              <w:tl2br w:val="nil"/>
              <w:tr2bl w:val="nil"/>
            </w:tcBorders>
            <w:shd w:val="clear" w:color="auto" w:fill="auto"/>
            <w:noWrap w:val="0"/>
            <w:vAlign w:val="center"/>
          </w:tcPr>
          <w:p w14:paraId="62079663">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15</w:t>
            </w:r>
          </w:p>
        </w:tc>
      </w:tr>
      <w:tr w14:paraId="09DA61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186" w:hRule="atLeast"/>
          <w:jc w:val="center"/>
        </w:trPr>
        <w:tc>
          <w:tcPr>
            <w:tcW w:w="1571" w:type="dxa"/>
            <w:tcBorders>
              <w:tl2br w:val="nil"/>
              <w:tr2bl w:val="nil"/>
            </w:tcBorders>
            <w:shd w:val="clear" w:color="auto" w:fill="auto"/>
            <w:noWrap w:val="0"/>
            <w:tcMar>
              <w:top w:w="16" w:type="dxa"/>
              <w:left w:w="16" w:type="dxa"/>
              <w:right w:w="16" w:type="dxa"/>
            </w:tcMar>
            <w:vAlign w:val="center"/>
          </w:tcPr>
          <w:p w14:paraId="3F7EDB1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018" w:type="dxa"/>
            <w:tcBorders>
              <w:tl2br w:val="nil"/>
              <w:tr2bl w:val="nil"/>
            </w:tcBorders>
            <w:shd w:val="clear" w:color="auto" w:fill="auto"/>
            <w:noWrap w:val="0"/>
            <w:vAlign w:val="center"/>
          </w:tcPr>
          <w:p w14:paraId="488B41C7">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5.0</w:t>
            </w:r>
          </w:p>
        </w:tc>
        <w:tc>
          <w:tcPr>
            <w:tcW w:w="2168" w:type="dxa"/>
            <w:tcBorders>
              <w:tl2br w:val="nil"/>
              <w:tr2bl w:val="nil"/>
            </w:tcBorders>
            <w:shd w:val="clear" w:color="auto" w:fill="auto"/>
            <w:noWrap w:val="0"/>
            <w:tcMar>
              <w:top w:w="16" w:type="dxa"/>
              <w:left w:w="16" w:type="dxa"/>
              <w:right w:w="16" w:type="dxa"/>
            </w:tcMar>
            <w:vAlign w:val="center"/>
          </w:tcPr>
          <w:p w14:paraId="0F70EBA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3314" w:type="dxa"/>
            <w:tcBorders>
              <w:tl2br w:val="nil"/>
              <w:tr2bl w:val="nil"/>
            </w:tcBorders>
            <w:shd w:val="clear" w:color="auto" w:fill="auto"/>
            <w:noWrap w:val="0"/>
            <w:vAlign w:val="center"/>
          </w:tcPr>
          <w:p w14:paraId="3F249886">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个月</w:t>
            </w:r>
          </w:p>
        </w:tc>
      </w:tr>
      <w:tr w14:paraId="1086700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400" w:hRule="atLeast"/>
          <w:jc w:val="center"/>
        </w:trPr>
        <w:tc>
          <w:tcPr>
            <w:tcW w:w="1571" w:type="dxa"/>
            <w:tcBorders>
              <w:tl2br w:val="nil"/>
              <w:tr2bl w:val="nil"/>
            </w:tcBorders>
            <w:noWrap w:val="0"/>
            <w:tcMar>
              <w:top w:w="16" w:type="dxa"/>
              <w:left w:w="16" w:type="dxa"/>
              <w:right w:w="16" w:type="dxa"/>
            </w:tcMar>
            <w:vAlign w:val="center"/>
          </w:tcPr>
          <w:p w14:paraId="58C8165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是否开工建设</w:t>
            </w:r>
          </w:p>
        </w:tc>
        <w:tc>
          <w:tcPr>
            <w:tcW w:w="2018" w:type="dxa"/>
            <w:tcBorders>
              <w:tl2br w:val="nil"/>
              <w:tr2bl w:val="nil"/>
            </w:tcBorders>
            <w:noWrap w:val="0"/>
            <w:vAlign w:val="center"/>
          </w:tcPr>
          <w:p w14:paraId="04E89A6A">
            <w:pPr>
              <w:pStyle w:val="43"/>
              <w:pageBreakBefore w:val="0"/>
              <w:shd w:val="clear"/>
              <w:kinsoku/>
              <w:overflowPunct/>
              <w:topLinePunct w:val="0"/>
              <w:bidi w:val="0"/>
              <w:spacing w:before="0" w:after="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highlight w:val="none"/>
              </w:rPr>
              <w:sym w:font="Wingdings 2" w:char="0052"/>
            </w:r>
            <w:r>
              <w:rPr>
                <w:rFonts w:hint="default" w:ascii="Times New Roman" w:hAnsi="Times New Roman" w:cs="Times New Roman"/>
                <w:color w:val="auto"/>
                <w:sz w:val="24"/>
                <w:szCs w:val="24"/>
                <w:highlight w:val="none"/>
              </w:rPr>
              <w:t>否</w:t>
            </w:r>
          </w:p>
          <w:p w14:paraId="7443A2BC">
            <w:pPr>
              <w:pStyle w:val="43"/>
              <w:pageBreakBefore w:val="0"/>
              <w:shd w:val="clear"/>
              <w:kinsoku/>
              <w:overflowPunct/>
              <w:topLinePunct w:val="0"/>
              <w:bidi w:val="0"/>
              <w:spacing w:before="0" w:after="0"/>
              <w:jc w:val="left"/>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highlight w:val="none"/>
              </w:rPr>
              <w:sym w:font="Wingdings 2" w:char="00A3"/>
            </w:r>
            <w:r>
              <w:rPr>
                <w:rFonts w:hint="default" w:ascii="Times New Roman" w:hAnsi="Times New Roman" w:cs="Times New Roman"/>
                <w:color w:val="auto"/>
                <w:sz w:val="24"/>
                <w:szCs w:val="24"/>
                <w:highlight w:val="none"/>
              </w:rPr>
              <w:t>是：</w:t>
            </w:r>
          </w:p>
        </w:tc>
        <w:tc>
          <w:tcPr>
            <w:tcW w:w="2168" w:type="dxa"/>
            <w:tcBorders>
              <w:tl2br w:val="nil"/>
              <w:tr2bl w:val="nil"/>
            </w:tcBorders>
            <w:noWrap w:val="0"/>
            <w:tcMar>
              <w:top w:w="16" w:type="dxa"/>
              <w:left w:w="16" w:type="dxa"/>
              <w:right w:w="16" w:type="dxa"/>
            </w:tcMar>
            <w:vAlign w:val="center"/>
          </w:tcPr>
          <w:p w14:paraId="53DD086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用地（用海）</w:t>
            </w:r>
          </w:p>
          <w:p w14:paraId="4B72E38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面积（m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tc>
        <w:tc>
          <w:tcPr>
            <w:tcW w:w="3314" w:type="dxa"/>
            <w:tcBorders>
              <w:tl2br w:val="nil"/>
              <w:tr2bl w:val="nil"/>
            </w:tcBorders>
            <w:noWrap w:val="0"/>
            <w:vAlign w:val="center"/>
          </w:tcPr>
          <w:p w14:paraId="61FFA87F">
            <w:pPr>
              <w:pStyle w:val="43"/>
              <w:pageBreakBefore w:val="0"/>
              <w:shd w:val="clear"/>
              <w:kinsoku/>
              <w:overflowPunct/>
              <w:topLinePunct w:val="0"/>
              <w:bidi w:val="0"/>
              <w:spacing w:before="0" w:after="0"/>
              <w:textAlignment w:val="auto"/>
              <w:rPr>
                <w:rFonts w:hint="eastAsia" w:ascii="Times New Roman" w:hAnsi="Times New Roman" w:eastAsia="宋体" w:cs="Times New Roman"/>
                <w:color w:val="auto"/>
                <w:sz w:val="24"/>
                <w:szCs w:val="24"/>
                <w:highlight w:val="none"/>
                <w:vertAlign w:val="baseline"/>
                <w:lang w:val="en-US" w:eastAsia="zh-CN"/>
              </w:rPr>
            </w:pPr>
            <w:r>
              <w:rPr>
                <w:rFonts w:hint="eastAsia" w:cs="Times New Roman"/>
                <w:b w:val="0"/>
                <w:bCs w:val="0"/>
                <w:color w:val="auto"/>
                <w:sz w:val="24"/>
                <w:szCs w:val="24"/>
                <w:highlight w:val="none"/>
                <w:vertAlign w:val="baseline"/>
                <w:lang w:val="en-US" w:eastAsia="zh-CN"/>
              </w:rPr>
              <w:t>0（</w:t>
            </w:r>
            <w:r>
              <w:rPr>
                <w:rFonts w:ascii="宋体" w:hAnsi="宋体" w:eastAsia="宋体" w:cs="宋体"/>
                <w:b w:val="0"/>
                <w:bCs w:val="0"/>
                <w:color w:val="auto"/>
                <w:sz w:val="24"/>
                <w:szCs w:val="24"/>
              </w:rPr>
              <w:t>本项目</w:t>
            </w:r>
            <w:r>
              <w:rPr>
                <w:rStyle w:val="35"/>
                <w:rFonts w:ascii="宋体" w:hAnsi="宋体" w:eastAsia="宋体" w:cs="宋体"/>
                <w:b w:val="0"/>
                <w:bCs w:val="0"/>
                <w:color w:val="auto"/>
                <w:sz w:val="24"/>
                <w:szCs w:val="24"/>
              </w:rPr>
              <w:t>不新增用地面积</w:t>
            </w:r>
            <w:r>
              <w:rPr>
                <w:rFonts w:ascii="宋体" w:hAnsi="宋体" w:eastAsia="宋体" w:cs="宋体"/>
                <w:b w:val="0"/>
                <w:bCs w:val="0"/>
                <w:color w:val="auto"/>
                <w:sz w:val="24"/>
                <w:szCs w:val="24"/>
              </w:rPr>
              <w:t>，依托现有土地进行建设</w:t>
            </w:r>
            <w:r>
              <w:rPr>
                <w:rFonts w:hint="eastAsia" w:cs="Times New Roman"/>
                <w:b w:val="0"/>
                <w:bCs w:val="0"/>
                <w:color w:val="auto"/>
                <w:sz w:val="24"/>
                <w:szCs w:val="24"/>
                <w:highlight w:val="none"/>
                <w:vertAlign w:val="baseline"/>
                <w:lang w:val="en-US" w:eastAsia="zh-CN"/>
              </w:rPr>
              <w:t>）</w:t>
            </w:r>
          </w:p>
        </w:tc>
      </w:tr>
      <w:tr w14:paraId="5A61B3F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571" w:type="dxa"/>
            <w:tcBorders>
              <w:tl2br w:val="nil"/>
              <w:tr2bl w:val="nil"/>
            </w:tcBorders>
            <w:noWrap w:val="0"/>
            <w:vAlign w:val="center"/>
          </w:tcPr>
          <w:p w14:paraId="3BC41364">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专项评价设置情况</w:t>
            </w:r>
          </w:p>
        </w:tc>
        <w:tc>
          <w:tcPr>
            <w:tcW w:w="7500" w:type="dxa"/>
            <w:gridSpan w:val="3"/>
            <w:tcBorders>
              <w:tl2br w:val="nil"/>
              <w:tr2bl w:val="nil"/>
            </w:tcBorders>
            <w:noWrap w:val="0"/>
            <w:vAlign w:val="center"/>
          </w:tcPr>
          <w:p w14:paraId="26CF1C5B">
            <w:pPr>
              <w:pStyle w:val="43"/>
              <w:keepNext w:val="0"/>
              <w:keepLines w:val="0"/>
              <w:pageBreakBefore w:val="0"/>
              <w:widowControl w:val="0"/>
              <w:shd w:val="clear"/>
              <w:kinsoku/>
              <w:wordWrap/>
              <w:overflowPunct/>
              <w:topLinePunct w:val="0"/>
              <w:autoSpaceDE/>
              <w:autoSpaceDN/>
              <w:bidi w:val="0"/>
              <w:adjustRightInd/>
              <w:snapToGrid/>
              <w:spacing w:before="0" w:after="0" w:line="360" w:lineRule="auto"/>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建设项目环境影响报告表编制技术指南（污染影响类）（试行）》，结合本项目周边环境特征和污染物排放情况可知，本项目排放废气不含有毒有害污染物、二噁英、苯并[a]芘、氰化物、氯气等，因此，不设大气专项评价；本项目无废水直接排放至外环境，不属于新增工业废水直排建设项目，也不属于新增废水直排的污水集中处理厂项目，因此，不设地表水专项评价；</w:t>
            </w:r>
            <w:r>
              <w:rPr>
                <w:rFonts w:hint="default" w:ascii="Times New Roman" w:hAnsi="Times New Roman" w:eastAsia="宋体" w:cs="Times New Roman"/>
                <w:color w:val="auto"/>
                <w:spacing w:val="0"/>
                <w:sz w:val="24"/>
                <w:szCs w:val="24"/>
                <w:highlight w:val="none"/>
                <w:lang w:val="en-US" w:eastAsia="zh-CN"/>
              </w:rPr>
              <w:t>本项目有毒有害和易燃易爆危险物质</w:t>
            </w:r>
            <w:r>
              <w:rPr>
                <w:rFonts w:hint="eastAsia" w:ascii="Times New Roman" w:hAnsi="Times New Roman" w:eastAsia="宋体" w:cs="Times New Roman"/>
                <w:color w:val="auto"/>
                <w:spacing w:val="0"/>
                <w:sz w:val="24"/>
                <w:szCs w:val="24"/>
                <w:highlight w:val="none"/>
                <w:lang w:val="en-US" w:eastAsia="zh-CN"/>
              </w:rPr>
              <w:t>最大</w:t>
            </w:r>
            <w:r>
              <w:rPr>
                <w:rFonts w:hint="default" w:ascii="Times New Roman" w:hAnsi="Times New Roman" w:eastAsia="宋体" w:cs="Times New Roman"/>
                <w:color w:val="auto"/>
                <w:spacing w:val="0"/>
                <w:sz w:val="24"/>
                <w:szCs w:val="24"/>
                <w:highlight w:val="none"/>
                <w:lang w:val="en-US" w:eastAsia="zh-CN"/>
              </w:rPr>
              <w:t>存储量</w:t>
            </w:r>
            <w:r>
              <w:rPr>
                <w:rFonts w:hint="eastAsia" w:ascii="Times New Roman" w:hAnsi="Times New Roman" w:eastAsia="宋体" w:cs="Times New Roman"/>
                <w:color w:val="auto"/>
                <w:spacing w:val="0"/>
                <w:sz w:val="24"/>
                <w:szCs w:val="24"/>
                <w:highlight w:val="none"/>
                <w:lang w:val="en-US" w:eastAsia="zh-CN"/>
              </w:rPr>
              <w:t>均</w:t>
            </w:r>
            <w:r>
              <w:rPr>
                <w:rFonts w:hint="default" w:ascii="Times New Roman" w:hAnsi="Times New Roman" w:eastAsia="宋体" w:cs="Times New Roman"/>
                <w:color w:val="auto"/>
                <w:spacing w:val="0"/>
                <w:sz w:val="24"/>
                <w:szCs w:val="24"/>
                <w:highlight w:val="none"/>
                <w:lang w:val="en-US" w:eastAsia="zh-CN"/>
              </w:rPr>
              <w:t>不超过</w:t>
            </w:r>
            <w:r>
              <w:rPr>
                <w:rFonts w:hint="eastAsia" w:ascii="Times New Roman" w:hAnsi="Times New Roman" w:eastAsia="宋体" w:cs="Times New Roman"/>
                <w:color w:val="auto"/>
                <w:spacing w:val="0"/>
                <w:sz w:val="24"/>
                <w:szCs w:val="24"/>
                <w:highlight w:val="none"/>
                <w:lang w:val="en-US" w:eastAsia="zh-CN"/>
              </w:rPr>
              <w:t>对应物质的</w:t>
            </w:r>
            <w:r>
              <w:rPr>
                <w:rFonts w:hint="default" w:ascii="Times New Roman" w:hAnsi="Times New Roman" w:eastAsia="宋体" w:cs="Times New Roman"/>
                <w:color w:val="auto"/>
                <w:spacing w:val="0"/>
                <w:sz w:val="24"/>
                <w:szCs w:val="24"/>
                <w:highlight w:val="none"/>
                <w:lang w:val="en-US" w:eastAsia="zh-CN"/>
              </w:rPr>
              <w:t>临界量，因此，无需设环境风险专项评价</w:t>
            </w:r>
            <w:r>
              <w:rPr>
                <w:rFonts w:hint="default" w:ascii="Times New Roman" w:hAnsi="Times New Roman" w:cs="Times New Roman"/>
                <w:color w:val="auto"/>
                <w:sz w:val="24"/>
                <w:szCs w:val="24"/>
                <w:highlight w:val="none"/>
                <w:lang w:val="en-US" w:eastAsia="zh-CN"/>
              </w:rPr>
              <w:t>；本项目不属于“取水口下游500米范围内有重要水生生物的自然产卵场、索饵场、越冬场和洄游通道的新增河道取水的污染类建设项目”，因此，不设生态专项评价；项目不属于“直接向海排放污染物的海洋工程建设项目”，因此，不设海洋专项评价；项目</w:t>
            </w:r>
            <w:r>
              <w:rPr>
                <w:rFonts w:hint="eastAsia" w:cs="Times New Roman"/>
                <w:color w:val="auto"/>
                <w:sz w:val="24"/>
                <w:szCs w:val="24"/>
                <w:highlight w:val="none"/>
                <w:lang w:val="en-US" w:eastAsia="zh-CN"/>
              </w:rPr>
              <w:t>周边</w:t>
            </w:r>
            <w:r>
              <w:rPr>
                <w:rFonts w:hint="default" w:ascii="Times New Roman" w:hAnsi="Times New Roman" w:cs="Times New Roman"/>
                <w:color w:val="auto"/>
                <w:sz w:val="24"/>
                <w:szCs w:val="24"/>
                <w:highlight w:val="none"/>
                <w:lang w:val="en-US" w:eastAsia="zh-CN"/>
              </w:rPr>
              <w:t>不涉及集中式饮用水水源和热水、矿泉水、温泉等特殊地下水资源保护区，因此，不设置地下水专项评价。</w:t>
            </w:r>
          </w:p>
        </w:tc>
      </w:tr>
      <w:tr w14:paraId="42EC81C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8" w:hRule="atLeast"/>
          <w:jc w:val="center"/>
        </w:trPr>
        <w:tc>
          <w:tcPr>
            <w:tcW w:w="1571" w:type="dxa"/>
            <w:tcBorders>
              <w:tl2br w:val="nil"/>
              <w:tr2bl w:val="nil"/>
            </w:tcBorders>
            <w:noWrap w:val="0"/>
            <w:vAlign w:val="center"/>
          </w:tcPr>
          <w:p w14:paraId="2A61CAC3">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规划情况</w:t>
            </w:r>
          </w:p>
        </w:tc>
        <w:tc>
          <w:tcPr>
            <w:tcW w:w="7500" w:type="dxa"/>
            <w:gridSpan w:val="3"/>
            <w:tcBorders>
              <w:tl2br w:val="nil"/>
              <w:tr2bl w:val="nil"/>
            </w:tcBorders>
            <w:noWrap w:val="0"/>
            <w:vAlign w:val="center"/>
          </w:tcPr>
          <w:p w14:paraId="7F95AC5B">
            <w:pPr>
              <w:pStyle w:val="15"/>
              <w:keepNext w:val="0"/>
              <w:keepLines w:val="0"/>
              <w:pageBreakBefore w:val="0"/>
              <w:widowControl w:val="0"/>
              <w:shd w:val="clear"/>
              <w:kinsoku/>
              <w:wordWrap/>
              <w:overflowPunct/>
              <w:topLinePunct w:val="0"/>
              <w:autoSpaceDE/>
              <w:autoSpaceDN/>
              <w:bidi w:val="0"/>
              <w:adjustRightInd/>
              <w:snapToGrid/>
              <w:spacing w:after="0" w:line="480" w:lineRule="exact"/>
              <w:ind w:left="0" w:leftChars="0" w:right="0" w:rightChars="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6040F0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74" w:hRule="atLeast"/>
          <w:jc w:val="center"/>
        </w:trPr>
        <w:tc>
          <w:tcPr>
            <w:tcW w:w="1571" w:type="dxa"/>
            <w:tcBorders>
              <w:tl2br w:val="nil"/>
              <w:tr2bl w:val="nil"/>
            </w:tcBorders>
            <w:noWrap w:val="0"/>
            <w:vAlign w:val="center"/>
          </w:tcPr>
          <w:p w14:paraId="6F48785D">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规划环境影响评价情况</w:t>
            </w:r>
          </w:p>
        </w:tc>
        <w:tc>
          <w:tcPr>
            <w:tcW w:w="7500" w:type="dxa"/>
            <w:gridSpan w:val="3"/>
            <w:tcBorders>
              <w:tl2br w:val="nil"/>
              <w:tr2bl w:val="nil"/>
            </w:tcBorders>
            <w:noWrap w:val="0"/>
            <w:vAlign w:val="center"/>
          </w:tcPr>
          <w:p w14:paraId="3C69A9D4">
            <w:pPr>
              <w:shd w:val="clear"/>
              <w:rPr>
                <w:rFonts w:hint="default"/>
                <w:color w:val="auto"/>
                <w:lang w:val="en-US" w:eastAsia="zh-CN"/>
              </w:rPr>
            </w:pPr>
            <w:r>
              <w:rPr>
                <w:rFonts w:hint="eastAsia"/>
                <w:color w:val="auto"/>
                <w:lang w:val="en-US" w:eastAsia="zh-CN"/>
              </w:rPr>
              <w:t>/</w:t>
            </w:r>
          </w:p>
        </w:tc>
      </w:tr>
      <w:tr w14:paraId="139F855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3" w:hRule="atLeast"/>
          <w:jc w:val="center"/>
        </w:trPr>
        <w:tc>
          <w:tcPr>
            <w:tcW w:w="1571" w:type="dxa"/>
            <w:tcBorders>
              <w:tl2br w:val="nil"/>
              <w:tr2bl w:val="nil"/>
            </w:tcBorders>
            <w:noWrap w:val="0"/>
            <w:vAlign w:val="center"/>
          </w:tcPr>
          <w:p w14:paraId="2D354BD2">
            <w:pPr>
              <w:pStyle w:val="43"/>
              <w:pageBreakBefore w:val="0"/>
              <w:shd w:val="clear"/>
              <w:kinsoku/>
              <w:overflowPunct/>
              <w:topLinePunct w:val="0"/>
              <w:bidi w:val="0"/>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规划及规划环境影响评价符合性分析</w:t>
            </w:r>
          </w:p>
        </w:tc>
        <w:tc>
          <w:tcPr>
            <w:tcW w:w="7500" w:type="dxa"/>
            <w:gridSpan w:val="3"/>
            <w:tcBorders>
              <w:tl2br w:val="nil"/>
              <w:tr2bl w:val="nil"/>
            </w:tcBorders>
            <w:noWrap w:val="0"/>
            <w:vAlign w:val="center"/>
          </w:tcPr>
          <w:p w14:paraId="595647E2">
            <w:pPr>
              <w:shd w:val="clear"/>
              <w:rPr>
                <w:rFonts w:hint="default"/>
                <w:color w:val="auto"/>
                <w:lang w:val="en-US" w:eastAsia="zh-CN"/>
              </w:rPr>
            </w:pPr>
            <w:r>
              <w:rPr>
                <w:rFonts w:hint="eastAsia"/>
                <w:color w:val="auto"/>
                <w:lang w:val="en-US" w:eastAsia="zh-CN"/>
              </w:rPr>
              <w:t>/</w:t>
            </w:r>
          </w:p>
        </w:tc>
      </w:tr>
      <w:tr w14:paraId="1DE0B6C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5" w:hRule="atLeast"/>
          <w:jc w:val="center"/>
        </w:trPr>
        <w:tc>
          <w:tcPr>
            <w:tcW w:w="1571" w:type="dxa"/>
            <w:tcBorders>
              <w:tl2br w:val="nil"/>
              <w:tr2bl w:val="nil"/>
            </w:tcBorders>
            <w:noWrap w:val="0"/>
            <w:vAlign w:val="center"/>
          </w:tcPr>
          <w:p w14:paraId="0E8A2247">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其他符合性分析</w:t>
            </w:r>
          </w:p>
        </w:tc>
        <w:tc>
          <w:tcPr>
            <w:tcW w:w="7500" w:type="dxa"/>
            <w:gridSpan w:val="3"/>
            <w:tcBorders>
              <w:tl2br w:val="nil"/>
              <w:tr2bl w:val="nil"/>
            </w:tcBorders>
            <w:noWrap w:val="0"/>
            <w:vAlign w:val="center"/>
          </w:tcPr>
          <w:p w14:paraId="67250681">
            <w:pPr>
              <w:pStyle w:val="29"/>
              <w:keepNext w:val="0"/>
              <w:keepLines w:val="0"/>
              <w:pageBreakBefore w:val="0"/>
              <w:widowControl w:val="0"/>
              <w:numPr>
                <w:ilvl w:val="0"/>
                <w:numId w:val="2"/>
              </w:numPr>
              <w:suppressLineNumbers w:val="0"/>
              <w:shd w:val="clear"/>
              <w:kinsoku/>
              <w:wordWrap/>
              <w:overflowPunct/>
              <w:topLinePunct w:val="0"/>
              <w:autoSpaceDE/>
              <w:autoSpaceDN/>
              <w:bidi w:val="0"/>
              <w:adjustRightInd/>
              <w:snapToGrid/>
              <w:spacing w:before="0" w:beforeAutospacing="0" w:after="0" w:afterAutospacing="0" w:line="460" w:lineRule="exact"/>
              <w:ind w:left="0" w:leftChars="0" w:right="0" w:firstLine="482" w:firstLineChars="200"/>
              <w:jc w:val="both"/>
              <w:textAlignment w:val="auto"/>
              <w:rPr>
                <w:rFonts w:hint="default" w:ascii="Times New Roman" w:hAnsi="Times New Roman" w:cs="Times New Roman"/>
                <w:b/>
                <w:bCs w:val="0"/>
                <w:color w:val="auto"/>
                <w:kern w:val="2"/>
                <w:sz w:val="24"/>
                <w:szCs w:val="24"/>
                <w:highlight w:val="none"/>
                <w:lang w:bidi="ar"/>
              </w:rPr>
            </w:pPr>
            <w:r>
              <w:rPr>
                <w:rFonts w:hint="default" w:ascii="Times New Roman" w:hAnsi="Times New Roman" w:cs="Times New Roman"/>
                <w:b/>
                <w:bCs w:val="0"/>
                <w:color w:val="auto"/>
                <w:kern w:val="2"/>
                <w:sz w:val="24"/>
                <w:szCs w:val="24"/>
                <w:highlight w:val="none"/>
                <w:lang w:val="en-US" w:eastAsia="zh-CN" w:bidi="ar"/>
              </w:rPr>
              <w:t>产业政策</w:t>
            </w:r>
            <w:r>
              <w:rPr>
                <w:rFonts w:hint="default" w:ascii="Times New Roman" w:hAnsi="Times New Roman" w:cs="Times New Roman"/>
                <w:b/>
                <w:bCs w:val="0"/>
                <w:color w:val="auto"/>
                <w:kern w:val="2"/>
                <w:sz w:val="24"/>
                <w:szCs w:val="24"/>
                <w:highlight w:val="none"/>
                <w:lang w:bidi="ar"/>
              </w:rPr>
              <w:t>相符性分析</w:t>
            </w:r>
          </w:p>
          <w:p w14:paraId="58E34652">
            <w:pPr>
              <w:keepNext w:val="0"/>
              <w:keepLines w:val="0"/>
              <w:pageBreakBefore w:val="0"/>
              <w:widowControl w:val="0"/>
              <w:shd w:val="clear"/>
              <w:tabs>
                <w:tab w:val="left" w:pos="3150"/>
              </w:tabs>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color w:val="auto"/>
                <w:sz w:val="24"/>
                <w:szCs w:val="24"/>
                <w:highlight w:val="none"/>
                <w:lang w:val="en-US" w:eastAsia="zh-CN"/>
              </w:rPr>
            </w:pPr>
            <w:r>
              <w:rPr>
                <w:rFonts w:ascii="Times New Roman" w:hAnsi="Times New Roman"/>
                <w:color w:val="auto"/>
                <w:sz w:val="24"/>
                <w:szCs w:val="24"/>
                <w:highlight w:val="none"/>
              </w:rPr>
              <w:t>本项目不在</w:t>
            </w:r>
            <w:r>
              <w:rPr>
                <w:rFonts w:hint="eastAsia"/>
                <w:color w:val="auto"/>
                <w:sz w:val="24"/>
                <w:szCs w:val="24"/>
                <w:highlight w:val="none"/>
                <w:lang w:eastAsia="zh-CN"/>
              </w:rPr>
              <w:t>《产业结构调整指导目录（2024年本）》</w:t>
            </w:r>
            <w:r>
              <w:rPr>
                <w:rFonts w:ascii="Times New Roman" w:hAnsi="Times New Roman"/>
                <w:color w:val="auto"/>
                <w:sz w:val="24"/>
                <w:szCs w:val="24"/>
                <w:highlight w:val="none"/>
              </w:rPr>
              <w:t>中鼓励类、限制类、淘汰类项目之列，属允许类</w:t>
            </w:r>
            <w:r>
              <w:rPr>
                <w:rFonts w:hint="eastAsia"/>
                <w:color w:val="auto"/>
                <w:sz w:val="24"/>
                <w:szCs w:val="24"/>
                <w:highlight w:val="none"/>
                <w:lang w:val="en-US" w:eastAsia="zh-CN"/>
              </w:rPr>
              <w:t>建设项目</w:t>
            </w:r>
            <w:r>
              <w:rPr>
                <w:rFonts w:ascii="Times New Roman" w:hAnsi="Times New Roman"/>
                <w:color w:val="auto"/>
                <w:sz w:val="24"/>
                <w:szCs w:val="24"/>
                <w:highlight w:val="none"/>
              </w:rPr>
              <w:t>；本项目不属于《市场准入负面清单（202</w:t>
            </w:r>
            <w:r>
              <w:rPr>
                <w:rFonts w:hint="eastAsia"/>
                <w:color w:val="auto"/>
                <w:sz w:val="24"/>
                <w:szCs w:val="24"/>
                <w:highlight w:val="none"/>
                <w:lang w:val="en-US" w:eastAsia="zh-CN"/>
              </w:rPr>
              <w:t>5</w:t>
            </w:r>
            <w:r>
              <w:rPr>
                <w:rFonts w:ascii="Times New Roman" w:hAnsi="Times New Roman"/>
                <w:color w:val="auto"/>
                <w:sz w:val="24"/>
                <w:szCs w:val="24"/>
                <w:highlight w:val="none"/>
              </w:rPr>
              <w:t>年版）》中禁止准入类项目</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highlight w:val="none"/>
                <w:lang w:val="en-US" w:eastAsia="zh-CN"/>
              </w:rPr>
              <w:t>并</w:t>
            </w:r>
            <w:r>
              <w:rPr>
                <w:rFonts w:hint="default" w:ascii="Times New Roman" w:hAnsi="Times New Roman" w:cs="Times New Roman"/>
                <w:color w:val="auto"/>
                <w:sz w:val="24"/>
                <w:szCs w:val="24"/>
                <w:highlight w:val="none"/>
                <w:lang w:val="en-US" w:eastAsia="zh-CN"/>
              </w:rPr>
              <w:t>且本项目已通过</w:t>
            </w:r>
            <w:r>
              <w:rPr>
                <w:rFonts w:hint="eastAsia" w:cs="Times New Roman"/>
                <w:color w:val="auto"/>
                <w:sz w:val="24"/>
                <w:szCs w:val="24"/>
                <w:highlight w:val="none"/>
                <w:lang w:val="en-US" w:eastAsia="zh-CN"/>
              </w:rPr>
              <w:t>滦州市行政审批局</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滦审批技改备案(2026)2号</w:t>
            </w:r>
            <w:r>
              <w:rPr>
                <w:rFonts w:hint="default" w:ascii="Times New Roman" w:hAnsi="Times New Roman" w:cs="Times New Roman"/>
                <w:color w:val="auto"/>
                <w:sz w:val="24"/>
                <w:szCs w:val="24"/>
                <w:highlight w:val="none"/>
                <w:lang w:val="en-US" w:eastAsia="zh-CN"/>
              </w:rPr>
              <w:t>）备案，因此，本项目符合国家产业政策。</w:t>
            </w:r>
          </w:p>
          <w:p w14:paraId="5E8FEC98">
            <w:pPr>
              <w:pStyle w:val="29"/>
              <w:keepNext w:val="0"/>
              <w:keepLines w:val="0"/>
              <w:pageBreakBefore w:val="0"/>
              <w:widowControl w:val="0"/>
              <w:numPr>
                <w:ilvl w:val="0"/>
                <w:numId w:val="2"/>
              </w:numPr>
              <w:suppressLineNumbers w:val="0"/>
              <w:shd w:val="clear"/>
              <w:kinsoku/>
              <w:wordWrap/>
              <w:overflowPunct/>
              <w:topLinePunct w:val="0"/>
              <w:autoSpaceDE/>
              <w:autoSpaceDN/>
              <w:bidi w:val="0"/>
              <w:adjustRightInd/>
              <w:snapToGrid/>
              <w:spacing w:before="0" w:beforeAutospacing="0" w:after="0" w:afterAutospacing="0" w:line="460" w:lineRule="exact"/>
              <w:ind w:left="0" w:leftChars="0" w:right="0" w:firstLine="482" w:firstLineChars="200"/>
              <w:jc w:val="both"/>
              <w:textAlignment w:val="auto"/>
              <w:rPr>
                <w:rFonts w:hint="default" w:ascii="Times New Roman" w:hAnsi="Times New Roman" w:cs="Times New Roman"/>
                <w:b/>
                <w:bCs w:val="0"/>
                <w:color w:val="auto"/>
                <w:kern w:val="2"/>
                <w:sz w:val="24"/>
                <w:szCs w:val="24"/>
                <w:highlight w:val="none"/>
                <w:lang w:val="en-US" w:eastAsia="zh-CN" w:bidi="ar"/>
              </w:rPr>
            </w:pPr>
            <w:r>
              <w:rPr>
                <w:rFonts w:hint="default" w:ascii="Times New Roman" w:hAnsi="Times New Roman" w:cs="Times New Roman"/>
                <w:b/>
                <w:bCs w:val="0"/>
                <w:color w:val="auto"/>
                <w:kern w:val="2"/>
                <w:sz w:val="24"/>
                <w:szCs w:val="24"/>
                <w:highlight w:val="none"/>
                <w:lang w:val="en-US" w:eastAsia="zh-CN" w:bidi="ar"/>
              </w:rPr>
              <w:t>项目选址合理性分析</w:t>
            </w:r>
          </w:p>
          <w:p w14:paraId="281D6DD7">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rPr>
              <w:t>本项目位于</w:t>
            </w:r>
            <w:r>
              <w:rPr>
                <w:rFonts w:hint="eastAsia" w:cs="Times New Roman"/>
                <w:color w:val="auto"/>
                <w:sz w:val="24"/>
                <w:szCs w:val="24"/>
                <w:highlight w:val="none"/>
                <w:lang w:val="en-US" w:eastAsia="zh-CN"/>
              </w:rPr>
              <w:t>河北省唐山市滦州市雷庄镇耀隆宝峰矿业有限公司院内</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根据企业不动产权证书（冀（2023）滦州市不动产权第0013602号）可知，本项目用地性质为工业用地，符合用地要求。</w:t>
            </w:r>
          </w:p>
          <w:p w14:paraId="26F54196">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根据《河北省生态环境厅办公室关于进一步做好沙区建设项目环境影响评价工作的通知》（冀环办字函[2023]326号），沙区建设项目需做好环境影响评价制度执行工作。</w:t>
            </w:r>
            <w:r>
              <w:rPr>
                <w:rFonts w:hint="eastAsia" w:ascii="Times New Roman" w:hAnsi="Times New Roman" w:eastAsia="宋体" w:cs="Times New Roman"/>
                <w:color w:val="auto"/>
                <w:sz w:val="24"/>
                <w:szCs w:val="24"/>
                <w:highlight w:val="none"/>
                <w:lang w:val="en-US" w:eastAsia="zh-CN"/>
              </w:rPr>
              <w:t>由</w:t>
            </w:r>
            <w:r>
              <w:rPr>
                <w:rFonts w:hint="default" w:ascii="Times New Roman" w:hAnsi="Times New Roman" w:eastAsia="宋体" w:cs="Times New Roman"/>
                <w:color w:val="auto"/>
                <w:sz w:val="24"/>
                <w:szCs w:val="24"/>
                <w:highlight w:val="none"/>
                <w:lang w:val="en-US" w:eastAsia="zh-CN"/>
              </w:rPr>
              <w:t>《河北省防沙治沙规划</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2021-2030年</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》可知，唐山市涉及沙区范围为：路南区、路北区、古冶区、开平区、丰南区、丰润区、曹妃甸区、迁安市、滦州市、滦南县、乐亭县。本项目位于河北省唐山市滦州市</w:t>
            </w:r>
            <w:r>
              <w:rPr>
                <w:rFonts w:hint="eastAsia" w:cs="Times New Roman"/>
                <w:color w:val="auto"/>
                <w:sz w:val="24"/>
                <w:szCs w:val="24"/>
                <w:highlight w:val="none"/>
                <w:lang w:val="en-US" w:eastAsia="zh-CN"/>
              </w:rPr>
              <w:t>雷庄镇</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占地区域暂无沙化现象，</w:t>
            </w:r>
            <w:r>
              <w:rPr>
                <w:rFonts w:hint="default" w:ascii="Times New Roman" w:hAnsi="Times New Roman" w:eastAsia="宋体" w:cs="Times New Roman"/>
                <w:color w:val="auto"/>
                <w:sz w:val="24"/>
                <w:szCs w:val="24"/>
                <w:highlight w:val="none"/>
                <w:lang w:val="en-US" w:eastAsia="zh-CN"/>
              </w:rPr>
              <w:t>不在沙区范围内，</w:t>
            </w:r>
            <w:r>
              <w:rPr>
                <w:rFonts w:hint="eastAsia" w:ascii="Times New Roman" w:hAnsi="Times New Roman" w:eastAsia="宋体" w:cs="Times New Roman"/>
                <w:color w:val="auto"/>
                <w:sz w:val="24"/>
                <w:szCs w:val="24"/>
                <w:highlight w:val="none"/>
                <w:lang w:val="en-US" w:eastAsia="zh-CN"/>
              </w:rPr>
              <w:t>详见附图</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w:t>
            </w:r>
          </w:p>
          <w:p w14:paraId="53447F71">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default" w:ascii="Times New Roman" w:hAnsi="Times New Roman" w:eastAsia="宋体" w:cs="Times New Roman"/>
                <w:color w:val="auto"/>
                <w:kern w:val="24"/>
                <w:sz w:val="24"/>
                <w:highlight w:val="none"/>
              </w:rPr>
            </w:pPr>
            <w:r>
              <w:rPr>
                <w:rFonts w:hint="eastAsia" w:cs="Times New Roman"/>
                <w:color w:val="auto"/>
                <w:sz w:val="24"/>
                <w:szCs w:val="24"/>
                <w:highlight w:val="none"/>
                <w:lang w:val="en-US" w:eastAsia="zh-CN"/>
              </w:rPr>
              <w:t>本</w:t>
            </w:r>
            <w:r>
              <w:rPr>
                <w:rFonts w:hint="default" w:ascii="Times New Roman" w:hAnsi="Times New Roman" w:cs="Times New Roman"/>
                <w:color w:val="auto"/>
                <w:sz w:val="24"/>
                <w:szCs w:val="24"/>
                <w:highlight w:val="none"/>
                <w:lang w:val="en-US" w:eastAsia="zh-CN"/>
              </w:rPr>
              <w:t>项目不在河北省生态保护红线区范围内，</w:t>
            </w:r>
            <w:r>
              <w:rPr>
                <w:rFonts w:hint="eastAsia" w:cs="Times New Roman"/>
                <w:color w:val="auto"/>
                <w:sz w:val="24"/>
                <w:szCs w:val="24"/>
                <w:highlight w:val="none"/>
                <w:lang w:val="en-US" w:eastAsia="zh-CN"/>
              </w:rPr>
              <w:t>本</w:t>
            </w:r>
            <w:r>
              <w:rPr>
                <w:rFonts w:hint="default" w:ascii="Times New Roman" w:hAnsi="Times New Roman" w:cs="Times New Roman"/>
                <w:color w:val="auto"/>
                <w:sz w:val="24"/>
                <w:szCs w:val="24"/>
                <w:highlight w:val="none"/>
                <w:lang w:val="en-US" w:eastAsia="zh-CN"/>
              </w:rPr>
              <w:t>项目评价范围内无自然保护区、重点文物、风景名胜等需特殊保护区域；本项目</w:t>
            </w:r>
            <w:r>
              <w:rPr>
                <w:rFonts w:hint="default" w:ascii="Times New Roman" w:hAnsi="Times New Roman" w:eastAsia="宋体" w:cs="Times New Roman"/>
                <w:color w:val="auto"/>
                <w:kern w:val="24"/>
                <w:sz w:val="24"/>
                <w:highlight w:val="none"/>
                <w:lang w:val="zh-CN"/>
              </w:rPr>
              <w:t>采取环评提出的各项环保治理措施后，项目的实施</w:t>
            </w:r>
            <w:r>
              <w:rPr>
                <w:rFonts w:hint="default" w:ascii="Times New Roman" w:hAnsi="Times New Roman" w:cs="Times New Roman"/>
                <w:color w:val="auto"/>
                <w:kern w:val="24"/>
                <w:sz w:val="24"/>
                <w:highlight w:val="none"/>
                <w:lang w:val="en-US" w:eastAsia="zh-CN"/>
              </w:rPr>
              <w:t>对周边环境影响较小</w:t>
            </w:r>
            <w:r>
              <w:rPr>
                <w:rFonts w:hint="default" w:ascii="Times New Roman" w:hAnsi="Times New Roman" w:eastAsia="宋体" w:cs="Times New Roman"/>
                <w:color w:val="auto"/>
                <w:kern w:val="24"/>
                <w:sz w:val="24"/>
                <w:highlight w:val="none"/>
              </w:rPr>
              <w:t>。</w:t>
            </w:r>
          </w:p>
          <w:p w14:paraId="65E430D1">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综上所述，本项目选址合理</w:t>
            </w:r>
            <w:r>
              <w:rPr>
                <w:rFonts w:hint="eastAsia" w:cs="Times New Roman"/>
                <w:color w:val="auto"/>
                <w:sz w:val="24"/>
                <w:szCs w:val="24"/>
                <w:highlight w:val="none"/>
                <w:lang w:val="en-US" w:eastAsia="zh-CN"/>
              </w:rPr>
              <w:t>。</w:t>
            </w:r>
          </w:p>
          <w:p w14:paraId="0C38A93D">
            <w:pPr>
              <w:pStyle w:val="29"/>
              <w:keepNext w:val="0"/>
              <w:keepLines w:val="0"/>
              <w:pageBreakBefore w:val="0"/>
              <w:widowControl w:val="0"/>
              <w:numPr>
                <w:ilvl w:val="0"/>
                <w:numId w:val="2"/>
              </w:numPr>
              <w:suppressLineNumbers w:val="0"/>
              <w:shd w:val="clear"/>
              <w:kinsoku/>
              <w:wordWrap/>
              <w:overflowPunct/>
              <w:topLinePunct w:val="0"/>
              <w:autoSpaceDE/>
              <w:autoSpaceDN/>
              <w:bidi w:val="0"/>
              <w:adjustRightInd/>
              <w:snapToGrid/>
              <w:spacing w:before="0" w:beforeAutospacing="0" w:after="0" w:afterAutospacing="0" w:line="480" w:lineRule="exact"/>
              <w:ind w:left="0" w:leftChars="0" w:right="0" w:firstLine="482" w:firstLineChars="200"/>
              <w:jc w:val="both"/>
              <w:textAlignment w:val="auto"/>
              <w:rPr>
                <w:rFonts w:hint="default" w:ascii="Times New Roman" w:hAnsi="Times New Roman" w:cs="Times New Roman"/>
                <w:b/>
                <w:bCs w:val="0"/>
                <w:color w:val="auto"/>
                <w:kern w:val="2"/>
                <w:sz w:val="24"/>
                <w:szCs w:val="24"/>
                <w:highlight w:val="none"/>
                <w:lang w:val="en-US" w:eastAsia="zh-CN" w:bidi="ar"/>
              </w:rPr>
            </w:pPr>
            <w:r>
              <w:rPr>
                <w:rFonts w:hint="default" w:ascii="Times New Roman" w:hAnsi="Times New Roman" w:cs="Times New Roman"/>
                <w:b/>
                <w:bCs w:val="0"/>
                <w:color w:val="auto"/>
                <w:kern w:val="2"/>
                <w:sz w:val="24"/>
                <w:szCs w:val="24"/>
                <w:highlight w:val="none"/>
                <w:lang w:val="en-US" w:eastAsia="zh-CN" w:bidi="ar"/>
              </w:rPr>
              <w:t>项目三线一单符合性分析</w:t>
            </w:r>
          </w:p>
          <w:p w14:paraId="428AC557">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80" w:lineRule="exact"/>
              <w:ind w:left="0" w:leftChars="0"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w:t>
            </w:r>
            <w:r>
              <w:rPr>
                <w:rFonts w:hint="eastAsia" w:ascii="Times New Roman" w:hAnsi="Times New Roman" w:cs="Times New Roman"/>
                <w:color w:val="auto"/>
                <w:sz w:val="24"/>
                <w:szCs w:val="24"/>
                <w:highlight w:val="none"/>
                <w:lang w:val="en-US" w:eastAsia="zh-CN"/>
              </w:rPr>
              <w:t>原</w:t>
            </w:r>
            <w:r>
              <w:rPr>
                <w:rFonts w:hint="default" w:ascii="Times New Roman" w:hAnsi="Times New Roman" w:cs="Times New Roman"/>
                <w:color w:val="auto"/>
                <w:sz w:val="24"/>
                <w:szCs w:val="24"/>
                <w:highlight w:val="none"/>
                <w:lang w:val="en-US" w:eastAsia="zh-CN"/>
              </w:rPr>
              <w:t>环境保护部发布的环环评[2016]50号《关于以改善环境质量为核心加强环境影响评价管理的通知》</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以下简称《通知》</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，《通知》要求</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切实加强环境影响评价（以下简称环评）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14:paraId="1B1EC822">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80" w:lineRule="exact"/>
              <w:ind w:left="0" w:leftChars="0"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⑴</w:t>
            </w:r>
            <w:r>
              <w:rPr>
                <w:rFonts w:hint="default" w:ascii="Times New Roman" w:hAnsi="Times New Roman" w:cs="Times New Roman"/>
                <w:color w:val="auto"/>
                <w:sz w:val="24"/>
                <w:szCs w:val="24"/>
                <w:highlight w:val="none"/>
                <w:lang w:val="en-US" w:eastAsia="zh-CN"/>
              </w:rPr>
              <w:t>生态保护红线符合性分析</w:t>
            </w:r>
          </w:p>
          <w:p w14:paraId="1B57A5F9">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80" w:lineRule="exact"/>
              <w:ind w:left="0" w:leftChars="0"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根据《河北省人民政府关于加快实施“三线一单”生态环境分区管控的意见》</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冀政字[2020]71号</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、《河北省人民政府关于印发&lt;河北省生态保护红线&gt;的</w:t>
            </w:r>
            <w:r>
              <w:rPr>
                <w:rFonts w:hint="eastAsia" w:cs="Times New Roman"/>
                <w:color w:val="auto"/>
                <w:sz w:val="24"/>
                <w:szCs w:val="24"/>
                <w:highlight w:val="none"/>
                <w:lang w:val="en-US" w:eastAsia="zh-CN"/>
              </w:rPr>
              <w:t>通知（</w:t>
            </w:r>
            <w:r>
              <w:rPr>
                <w:rFonts w:hint="default" w:ascii="Times New Roman" w:hAnsi="Times New Roman" w:cs="Times New Roman"/>
                <w:color w:val="auto"/>
                <w:sz w:val="24"/>
                <w:szCs w:val="24"/>
                <w:highlight w:val="none"/>
                <w:lang w:val="en-US" w:eastAsia="zh-CN"/>
              </w:rPr>
              <w:t>冀政字[2018]23号</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、《唐山市人民政府关于实施“三线一单”生态环境分区管控的意见》</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唐政字[2021]48号</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，唐山市生态保护红线分布在开平区、古冶区、丰南区、丰润区、滦县、滦南县、乐亭县、玉田县、遵化市、迁西县、迁安市、曹妃甸区，包括重点生态功能区</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主要为水源涵养、土壤保持、洪水调蓄和生物多样性保护区</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、生态敏感脆弱区</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主要为河湖滨岸带</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和禁止开发区</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自然保护区、饮用水水源保护区、森林公园、湿地公园、地质公园、水产种质资源保护区、风景名胜区</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。本项目位于</w:t>
            </w:r>
            <w:r>
              <w:rPr>
                <w:rFonts w:hint="eastAsia" w:cs="Times New Roman"/>
                <w:color w:val="auto"/>
                <w:sz w:val="24"/>
                <w:szCs w:val="24"/>
                <w:highlight w:val="none"/>
                <w:u w:val="none"/>
                <w:lang w:val="en-US" w:eastAsia="zh-CN"/>
              </w:rPr>
              <w:t>河北省唐山市滦州市雷庄镇耀隆宝峰矿业有限公司院内</w:t>
            </w:r>
            <w:r>
              <w:rPr>
                <w:rFonts w:hint="default" w:ascii="Times New Roman" w:hAnsi="Times New Roman" w:cs="Times New Roman"/>
                <w:color w:val="auto"/>
                <w:sz w:val="24"/>
                <w:szCs w:val="24"/>
                <w:highlight w:val="none"/>
                <w:u w:val="none"/>
                <w:lang w:val="en-US" w:eastAsia="zh-CN"/>
              </w:rPr>
              <w:t>，</w:t>
            </w:r>
            <w:r>
              <w:rPr>
                <w:rFonts w:hint="default" w:ascii="Times New Roman" w:hAnsi="Times New Roman" w:cs="Times New Roman"/>
                <w:color w:val="auto"/>
                <w:sz w:val="24"/>
                <w:szCs w:val="24"/>
                <w:highlight w:val="none"/>
                <w:lang w:val="en-US" w:eastAsia="zh-CN"/>
              </w:rPr>
              <w:t>根据唐山市生态保护红线图可知，本项目不在生态保护红线划定的范围内，因此</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项目建设符合生态保护红线要求，保证了生态功能的系统性和完整性。</w:t>
            </w:r>
          </w:p>
          <w:p w14:paraId="5E136BE6">
            <w:pPr>
              <w:shd w:val="clear"/>
              <w:rPr>
                <w:rFonts w:hint="default"/>
                <w:color w:val="auto"/>
                <w:lang w:val="en-US" w:eastAsia="zh-CN"/>
              </w:rPr>
            </w:pPr>
            <w:r>
              <w:rPr>
                <w:rFonts w:hint="eastAsia"/>
                <w:color w:val="auto"/>
                <w:lang w:val="en-US" w:eastAsia="zh-CN"/>
              </w:rPr>
              <w:t>⑵</w:t>
            </w:r>
            <w:r>
              <w:rPr>
                <w:rFonts w:hint="default"/>
                <w:color w:val="auto"/>
                <w:lang w:val="en-US" w:eastAsia="zh-CN"/>
              </w:rPr>
              <w:t>环境质量底线</w:t>
            </w:r>
          </w:p>
          <w:p w14:paraId="679FD9E4">
            <w:pPr>
              <w:shd w:val="clear"/>
              <w:rPr>
                <w:rFonts w:hint="default"/>
                <w:color w:val="auto"/>
                <w:lang w:val="en-US" w:eastAsia="zh-CN"/>
              </w:rPr>
            </w:pPr>
            <w:r>
              <w:rPr>
                <w:rFonts w:hint="default"/>
                <w:color w:val="auto"/>
                <w:lang w:val="en-US" w:eastAsia="zh-CN"/>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p w14:paraId="7E08BA23">
            <w:pPr>
              <w:shd w:val="clear"/>
              <w:rPr>
                <w:rFonts w:hint="default"/>
                <w:color w:val="auto"/>
                <w:lang w:val="en-US" w:eastAsia="zh-CN"/>
              </w:rPr>
            </w:pPr>
            <w:r>
              <w:rPr>
                <w:rFonts w:hint="default"/>
                <w:color w:val="auto"/>
                <w:lang w:val="en-US" w:eastAsia="zh-CN"/>
              </w:rPr>
              <w:t>本项目选址区域为</w:t>
            </w:r>
            <w:r>
              <w:rPr>
                <w:rFonts w:hint="eastAsia"/>
                <w:color w:val="auto"/>
                <w:lang w:val="en-US" w:eastAsia="zh-CN"/>
              </w:rPr>
              <w:t>《环境空气质量标准》（GB3095-2026）</w:t>
            </w:r>
            <w:r>
              <w:rPr>
                <w:rFonts w:hint="default"/>
                <w:color w:val="auto"/>
                <w:lang w:val="en-US" w:eastAsia="zh-CN"/>
              </w:rPr>
              <w:t>中的二类区，执行二级标准。所在区域为2类声环境功能区。所在区域为Ⅲ类地下水功能区，地下水质量目标为《地下水质量标准》</w:t>
            </w:r>
            <w:r>
              <w:rPr>
                <w:rFonts w:hint="eastAsia"/>
                <w:color w:val="auto"/>
                <w:lang w:val="en-US" w:eastAsia="zh-CN"/>
              </w:rPr>
              <w:t>（</w:t>
            </w:r>
            <w:r>
              <w:rPr>
                <w:rFonts w:hint="default"/>
                <w:color w:val="auto"/>
                <w:lang w:val="en-US" w:eastAsia="zh-CN"/>
              </w:rPr>
              <w:t>GB/T14848-2017</w:t>
            </w:r>
            <w:r>
              <w:rPr>
                <w:rFonts w:hint="eastAsia"/>
                <w:color w:val="auto"/>
                <w:lang w:val="en-US" w:eastAsia="zh-CN"/>
              </w:rPr>
              <w:t>）</w:t>
            </w:r>
            <w:r>
              <w:rPr>
                <w:rFonts w:hint="default"/>
                <w:color w:val="auto"/>
                <w:lang w:val="en-US" w:eastAsia="zh-CN"/>
              </w:rPr>
              <w:t>Ⅲ类标准。</w:t>
            </w:r>
          </w:p>
          <w:p w14:paraId="02FF3F22">
            <w:pPr>
              <w:shd w:val="clear"/>
              <w:rPr>
                <w:rFonts w:hint="default"/>
                <w:color w:val="auto"/>
                <w:lang w:val="en-US" w:eastAsia="zh-CN"/>
              </w:rPr>
            </w:pPr>
            <w:r>
              <w:rPr>
                <w:rFonts w:hint="eastAsia"/>
                <w:color w:val="auto"/>
                <w:lang w:val="en-US" w:eastAsia="zh-CN"/>
              </w:rPr>
              <w:t>本项目废气达标排放；本项目无废水外排；本</w:t>
            </w:r>
            <w:r>
              <w:rPr>
                <w:rFonts w:hint="default"/>
                <w:color w:val="auto"/>
                <w:lang w:val="en-US" w:eastAsia="zh-CN"/>
              </w:rPr>
              <w:t>项目主要噪声源优先选用低噪声设备</w:t>
            </w:r>
            <w:r>
              <w:rPr>
                <w:rFonts w:hint="eastAsia"/>
                <w:color w:val="auto"/>
                <w:lang w:val="en-US" w:eastAsia="zh-CN"/>
              </w:rPr>
              <w:t>，采取隔声减振等措施；本项目</w:t>
            </w:r>
            <w:r>
              <w:rPr>
                <w:rFonts w:hint="default"/>
                <w:color w:val="auto"/>
                <w:lang w:val="en-US" w:eastAsia="zh-CN"/>
              </w:rPr>
              <w:t>固废采取严格的治理、处理和处置措施</w:t>
            </w:r>
            <w:r>
              <w:rPr>
                <w:rFonts w:hint="eastAsia"/>
                <w:color w:val="auto"/>
                <w:lang w:val="en-US" w:eastAsia="zh-CN"/>
              </w:rPr>
              <w:t>。</w:t>
            </w:r>
            <w:r>
              <w:rPr>
                <w:rFonts w:hint="default"/>
                <w:color w:val="auto"/>
                <w:lang w:val="en-US" w:eastAsia="zh-CN"/>
              </w:rPr>
              <w:t>采取本环评提出的相关防治措施后，</w:t>
            </w:r>
            <w:r>
              <w:rPr>
                <w:rFonts w:hint="eastAsia"/>
                <w:color w:val="auto"/>
                <w:lang w:val="en-US" w:eastAsia="zh-CN"/>
              </w:rPr>
              <w:t>本项目</w:t>
            </w:r>
            <w:r>
              <w:rPr>
                <w:rFonts w:hint="default"/>
                <w:color w:val="auto"/>
                <w:lang w:val="en-US" w:eastAsia="zh-CN"/>
              </w:rPr>
              <w:t>对周围环境影响</w:t>
            </w:r>
            <w:r>
              <w:rPr>
                <w:rFonts w:hint="eastAsia"/>
                <w:color w:val="auto"/>
                <w:lang w:val="en-US" w:eastAsia="zh-CN"/>
              </w:rPr>
              <w:t>较小，不会对环境质量产生明显影响</w:t>
            </w:r>
            <w:r>
              <w:rPr>
                <w:rFonts w:hint="default"/>
                <w:color w:val="auto"/>
                <w:lang w:val="en-US" w:eastAsia="zh-CN"/>
              </w:rPr>
              <w:t>。</w:t>
            </w:r>
            <w:r>
              <w:rPr>
                <w:rFonts w:hint="eastAsia"/>
                <w:color w:val="auto"/>
                <w:lang w:val="en-US" w:eastAsia="zh-CN"/>
              </w:rPr>
              <w:t>因此，本项目</w:t>
            </w:r>
            <w:r>
              <w:rPr>
                <w:rFonts w:hint="default"/>
                <w:color w:val="auto"/>
                <w:lang w:val="en-US" w:eastAsia="zh-CN"/>
              </w:rPr>
              <w:t>符合环境质量底线要求。</w:t>
            </w:r>
          </w:p>
          <w:p w14:paraId="335D430D">
            <w:pPr>
              <w:shd w:val="clear"/>
              <w:rPr>
                <w:rFonts w:hint="default"/>
                <w:color w:val="auto"/>
                <w:lang w:val="en-US" w:eastAsia="zh-CN"/>
              </w:rPr>
            </w:pPr>
            <w:r>
              <w:rPr>
                <w:rFonts w:hint="eastAsia"/>
                <w:color w:val="auto"/>
                <w:lang w:val="en-US" w:eastAsia="zh-CN"/>
              </w:rPr>
              <w:t>⑶</w:t>
            </w:r>
            <w:r>
              <w:rPr>
                <w:rFonts w:hint="default"/>
                <w:color w:val="auto"/>
                <w:lang w:val="en-US" w:eastAsia="zh-CN"/>
              </w:rPr>
              <w:t>资源利用上线</w:t>
            </w:r>
          </w:p>
          <w:p w14:paraId="6333A57A">
            <w:pPr>
              <w:shd w:val="clea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本项目消耗的资源为水和电，用水</w:t>
            </w:r>
            <w:r>
              <w:rPr>
                <w:rFonts w:hint="eastAsia" w:ascii="Times New Roman" w:hAnsi="Times New Roman" w:cs="Times New Roman"/>
                <w:color w:val="auto"/>
                <w:lang w:val="en-US" w:eastAsia="zh-CN"/>
              </w:rPr>
              <w:t>外购</w:t>
            </w:r>
            <w:r>
              <w:rPr>
                <w:rFonts w:hint="default" w:ascii="Times New Roman" w:hAnsi="Times New Roman" w:cs="Times New Roman"/>
                <w:color w:val="auto"/>
                <w:lang w:val="en-US" w:eastAsia="zh-CN"/>
              </w:rPr>
              <w:t>，用电为本地电网，能源消耗量相对于区域资源利用量较小</w:t>
            </w:r>
            <w:r>
              <w:rPr>
                <w:rFonts w:hint="eastAsia" w:ascii="Times New Roman" w:hAnsi="Times New Roman" w:cs="Times New Roman"/>
                <w:color w:val="auto"/>
                <w:lang w:val="en-US" w:eastAsia="zh-CN"/>
              </w:rPr>
              <w:t>。</w:t>
            </w:r>
          </w:p>
          <w:p w14:paraId="354C0CF8">
            <w:pPr>
              <w:shd w:val="clear"/>
              <w:rPr>
                <w:rFonts w:hint="default"/>
                <w:color w:val="auto"/>
                <w:lang w:val="en-US" w:eastAsia="zh-CN"/>
              </w:rPr>
            </w:pPr>
            <w:r>
              <w:rPr>
                <w:rFonts w:hint="eastAsia"/>
                <w:color w:val="auto"/>
                <w:lang w:val="en-US" w:eastAsia="zh-CN"/>
              </w:rPr>
              <w:t>⑷</w:t>
            </w:r>
            <w:r>
              <w:rPr>
                <w:rFonts w:hint="default"/>
                <w:color w:val="auto"/>
                <w:lang w:val="en-US" w:eastAsia="zh-CN"/>
              </w:rPr>
              <w:t>环境准入负面清单</w:t>
            </w:r>
          </w:p>
          <w:p w14:paraId="5B46A488">
            <w:pPr>
              <w:shd w:val="clea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14:paraId="2BA3A2E8">
            <w:pPr>
              <w:shd w:val="clear"/>
              <w:rPr>
                <w:rFonts w:hint="default"/>
                <w:color w:val="auto"/>
                <w:lang w:val="en-US" w:eastAsia="zh-CN"/>
              </w:rPr>
            </w:pPr>
            <w:r>
              <w:rPr>
                <w:rFonts w:hint="default"/>
                <w:color w:val="auto"/>
                <w:lang w:val="en-US" w:eastAsia="zh-CN"/>
              </w:rPr>
              <w:t>经与《市场准入负面清单</w:t>
            </w:r>
            <w:r>
              <w:rPr>
                <w:rFonts w:hint="eastAsia"/>
                <w:color w:val="auto"/>
                <w:lang w:val="en-US" w:eastAsia="zh-CN"/>
              </w:rPr>
              <w:t>（</w:t>
            </w:r>
            <w:r>
              <w:rPr>
                <w:rFonts w:hint="default"/>
                <w:color w:val="auto"/>
                <w:lang w:val="en-US" w:eastAsia="zh-CN"/>
              </w:rPr>
              <w:t>202</w:t>
            </w:r>
            <w:r>
              <w:rPr>
                <w:rFonts w:hint="eastAsia"/>
                <w:color w:val="auto"/>
                <w:lang w:val="en-US" w:eastAsia="zh-CN"/>
              </w:rPr>
              <w:t>5</w:t>
            </w:r>
            <w:r>
              <w:rPr>
                <w:rFonts w:hint="default"/>
                <w:color w:val="auto"/>
                <w:lang w:val="en-US" w:eastAsia="zh-CN"/>
              </w:rPr>
              <w:t>年版</w:t>
            </w:r>
            <w:r>
              <w:rPr>
                <w:rFonts w:hint="eastAsia"/>
                <w:color w:val="auto"/>
                <w:lang w:val="en-US" w:eastAsia="zh-CN"/>
              </w:rPr>
              <w:t>）</w:t>
            </w:r>
            <w:r>
              <w:rPr>
                <w:rFonts w:hint="default"/>
                <w:color w:val="auto"/>
                <w:lang w:val="en-US" w:eastAsia="zh-CN"/>
              </w:rPr>
              <w:t>》、《产业结构调整指导目录</w:t>
            </w:r>
            <w:r>
              <w:rPr>
                <w:rFonts w:hint="eastAsia"/>
                <w:color w:val="auto"/>
                <w:lang w:val="en-US" w:eastAsia="zh-CN"/>
              </w:rPr>
              <w:t>（2024年本）</w:t>
            </w:r>
            <w:r>
              <w:rPr>
                <w:rFonts w:hint="default"/>
                <w:color w:val="auto"/>
                <w:lang w:val="en-US" w:eastAsia="zh-CN"/>
              </w:rPr>
              <w:t>》对照，本项目不属于国家淘汰类、限制类项目。因此，本项目满足环境准入负面清单要求。</w:t>
            </w:r>
          </w:p>
          <w:p w14:paraId="7ABA7103">
            <w:pPr>
              <w:pStyle w:val="31"/>
              <w:shd w:val="clear"/>
              <w:rPr>
                <w:rFonts w:hint="default"/>
                <w:color w:val="auto"/>
                <w:lang w:val="en-US" w:eastAsia="zh-CN"/>
              </w:rPr>
            </w:pPr>
          </w:p>
          <w:p w14:paraId="7A492F5C">
            <w:pPr>
              <w:pStyle w:val="31"/>
              <w:shd w:val="clear"/>
              <w:rPr>
                <w:rFonts w:hint="default"/>
                <w:color w:val="auto"/>
                <w:lang w:val="en-US" w:eastAsia="zh-CN"/>
              </w:rPr>
            </w:pPr>
          </w:p>
          <w:p w14:paraId="35302182">
            <w:pPr>
              <w:pStyle w:val="31"/>
              <w:shd w:val="clear"/>
              <w:rPr>
                <w:rFonts w:hint="default"/>
                <w:color w:val="auto"/>
                <w:lang w:val="en-US" w:eastAsia="zh-CN"/>
              </w:rPr>
            </w:pPr>
          </w:p>
          <w:p w14:paraId="04A678B9">
            <w:pPr>
              <w:pStyle w:val="31"/>
              <w:shd w:val="clear"/>
              <w:rPr>
                <w:rFonts w:hint="default"/>
                <w:color w:val="auto"/>
                <w:lang w:val="en-US" w:eastAsia="zh-CN"/>
              </w:rPr>
            </w:pPr>
          </w:p>
          <w:p w14:paraId="4A649864">
            <w:pPr>
              <w:pStyle w:val="31"/>
              <w:shd w:val="clear"/>
              <w:rPr>
                <w:rFonts w:hint="default"/>
                <w:color w:val="auto"/>
                <w:lang w:val="en-US" w:eastAsia="zh-CN"/>
              </w:rPr>
            </w:pPr>
          </w:p>
          <w:p w14:paraId="051A4452">
            <w:pPr>
              <w:pStyle w:val="31"/>
              <w:shd w:val="clear"/>
              <w:rPr>
                <w:rFonts w:hint="default"/>
                <w:color w:val="auto"/>
                <w:lang w:val="en-US" w:eastAsia="zh-CN"/>
              </w:rPr>
            </w:pPr>
          </w:p>
          <w:p w14:paraId="154F040F">
            <w:pPr>
              <w:pStyle w:val="31"/>
              <w:shd w:val="clear"/>
              <w:rPr>
                <w:rFonts w:hint="default"/>
                <w:color w:val="auto"/>
                <w:lang w:val="en-US" w:eastAsia="zh-CN"/>
              </w:rPr>
            </w:pPr>
          </w:p>
          <w:p w14:paraId="389D29C5">
            <w:pPr>
              <w:pStyle w:val="31"/>
              <w:shd w:val="clear"/>
              <w:rPr>
                <w:rFonts w:hint="default"/>
                <w:color w:val="auto"/>
                <w:lang w:val="en-US" w:eastAsia="zh-CN"/>
              </w:rPr>
            </w:pPr>
          </w:p>
          <w:p w14:paraId="51EEAD3C">
            <w:pPr>
              <w:pStyle w:val="31"/>
              <w:shd w:val="clear"/>
              <w:rPr>
                <w:rFonts w:hint="default"/>
                <w:color w:val="auto"/>
                <w:lang w:val="en-US" w:eastAsia="zh-CN"/>
              </w:rPr>
            </w:pPr>
          </w:p>
          <w:p w14:paraId="68623FF2">
            <w:pPr>
              <w:pStyle w:val="31"/>
              <w:shd w:val="clear"/>
              <w:rPr>
                <w:rFonts w:hint="default"/>
                <w:color w:val="auto"/>
                <w:lang w:val="en-US" w:eastAsia="zh-CN"/>
              </w:rPr>
            </w:pPr>
          </w:p>
          <w:p w14:paraId="1346B923">
            <w:pPr>
              <w:pStyle w:val="31"/>
              <w:shd w:val="clear"/>
              <w:rPr>
                <w:rFonts w:hint="default"/>
                <w:color w:val="auto"/>
                <w:lang w:val="en-US" w:eastAsia="zh-CN"/>
              </w:rPr>
            </w:pPr>
          </w:p>
          <w:p w14:paraId="0B6B3F83">
            <w:pPr>
              <w:pStyle w:val="31"/>
              <w:shd w:val="clear"/>
              <w:rPr>
                <w:rFonts w:hint="default"/>
                <w:color w:val="auto"/>
                <w:lang w:val="en-US" w:eastAsia="zh-CN"/>
              </w:rPr>
            </w:pPr>
          </w:p>
          <w:p w14:paraId="6CFFD0EE">
            <w:pPr>
              <w:pStyle w:val="31"/>
              <w:shd w:val="clear"/>
              <w:rPr>
                <w:rFonts w:hint="default"/>
                <w:color w:val="auto"/>
                <w:lang w:val="en-US" w:eastAsia="zh-CN"/>
              </w:rPr>
            </w:pPr>
          </w:p>
          <w:p w14:paraId="39C33366">
            <w:pPr>
              <w:pStyle w:val="31"/>
              <w:shd w:val="clear"/>
              <w:rPr>
                <w:rFonts w:hint="default"/>
                <w:color w:val="auto"/>
                <w:lang w:val="en-US" w:eastAsia="zh-CN"/>
              </w:rPr>
            </w:pPr>
          </w:p>
          <w:p w14:paraId="35C06E5F">
            <w:pPr>
              <w:pStyle w:val="31"/>
              <w:shd w:val="clear"/>
              <w:rPr>
                <w:rFonts w:hint="default"/>
                <w:color w:val="auto"/>
                <w:lang w:val="en-US" w:eastAsia="zh-CN"/>
              </w:rPr>
            </w:pPr>
          </w:p>
          <w:p w14:paraId="6EB58DFC">
            <w:pPr>
              <w:pStyle w:val="31"/>
              <w:shd w:val="clear"/>
              <w:rPr>
                <w:rFonts w:hint="default"/>
                <w:color w:val="auto"/>
                <w:lang w:val="en-US" w:eastAsia="zh-CN"/>
              </w:rPr>
            </w:pPr>
          </w:p>
          <w:p w14:paraId="62333362">
            <w:pPr>
              <w:pStyle w:val="31"/>
              <w:shd w:val="clear"/>
              <w:rPr>
                <w:rFonts w:hint="default"/>
                <w:color w:val="auto"/>
                <w:lang w:val="en-US" w:eastAsia="zh-CN"/>
              </w:rPr>
            </w:pPr>
          </w:p>
          <w:p w14:paraId="341BE144">
            <w:pPr>
              <w:pStyle w:val="31"/>
              <w:shd w:val="clear"/>
              <w:rPr>
                <w:rFonts w:hint="default"/>
                <w:color w:val="auto"/>
                <w:lang w:val="en-US" w:eastAsia="zh-CN"/>
              </w:rPr>
            </w:pPr>
          </w:p>
          <w:p w14:paraId="7D67AE0A">
            <w:pPr>
              <w:pStyle w:val="31"/>
              <w:shd w:val="clear"/>
              <w:rPr>
                <w:rFonts w:hint="default"/>
                <w:color w:val="auto"/>
                <w:lang w:val="en-US" w:eastAsia="zh-CN"/>
              </w:rPr>
            </w:pPr>
          </w:p>
          <w:p w14:paraId="7F19DC25">
            <w:pPr>
              <w:pStyle w:val="31"/>
              <w:shd w:val="clear"/>
              <w:rPr>
                <w:rFonts w:hint="default"/>
                <w:color w:val="auto"/>
                <w:lang w:val="en-US" w:eastAsia="zh-CN"/>
              </w:rPr>
            </w:pPr>
          </w:p>
          <w:p w14:paraId="24A9D78E">
            <w:pPr>
              <w:pStyle w:val="31"/>
              <w:shd w:val="clear"/>
              <w:rPr>
                <w:rFonts w:hint="default"/>
                <w:color w:val="auto"/>
                <w:lang w:val="en-US" w:eastAsia="zh-CN"/>
              </w:rPr>
            </w:pPr>
          </w:p>
          <w:p w14:paraId="31BC36E4">
            <w:pPr>
              <w:pStyle w:val="31"/>
              <w:shd w:val="clear"/>
              <w:rPr>
                <w:rFonts w:hint="default"/>
                <w:color w:val="auto"/>
                <w:lang w:val="en-US" w:eastAsia="zh-CN"/>
              </w:rPr>
            </w:pPr>
          </w:p>
          <w:p w14:paraId="55C92B3A">
            <w:pPr>
              <w:pStyle w:val="31"/>
              <w:shd w:val="clear"/>
              <w:rPr>
                <w:rFonts w:hint="default"/>
                <w:color w:val="auto"/>
                <w:lang w:val="en-US" w:eastAsia="zh-CN"/>
              </w:rPr>
            </w:pPr>
          </w:p>
        </w:tc>
      </w:tr>
    </w:tbl>
    <w:p w14:paraId="0771700F">
      <w:pPr>
        <w:shd w:val="clear"/>
        <w:rPr>
          <w:color w:val="auto"/>
          <w:highlight w:val="none"/>
        </w:rPr>
      </w:pPr>
      <w:r>
        <w:rPr>
          <w:color w:val="auto"/>
          <w:highlight w:val="none"/>
        </w:rPr>
        <w:br w:type="page"/>
      </w:r>
    </w:p>
    <w:p w14:paraId="1BDC8CB6">
      <w:pPr>
        <w:pStyle w:val="7"/>
        <w:shd w:val="clear"/>
        <w:rPr>
          <w:color w:val="auto"/>
          <w:highlight w:val="none"/>
        </w:r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900"/>
        <w:gridCol w:w="13274"/>
      </w:tblGrid>
      <w:tr w14:paraId="0BCCDDB9">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9190" w:hRule="atLeast"/>
        </w:trPr>
        <w:tc>
          <w:tcPr>
            <w:tcW w:w="900" w:type="dxa"/>
            <w:tcBorders>
              <w:tl2br w:val="nil"/>
              <w:tr2bl w:val="nil"/>
            </w:tcBorders>
            <w:vAlign w:val="center"/>
          </w:tcPr>
          <w:p w14:paraId="072F873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color w:val="auto"/>
                <w:highlight w:val="none"/>
                <w:vertAlign w:val="baseline"/>
              </w:rPr>
            </w:pPr>
          </w:p>
        </w:tc>
        <w:tc>
          <w:tcPr>
            <w:tcW w:w="13274" w:type="dxa"/>
            <w:tcBorders>
              <w:tl2br w:val="nil"/>
              <w:tr2bl w:val="nil"/>
            </w:tcBorders>
          </w:tcPr>
          <w:p w14:paraId="4EFDA4F0">
            <w:pPr>
              <w:keepNext w:val="0"/>
              <w:keepLines w:val="0"/>
              <w:pageBreakBefore w:val="0"/>
              <w:widowControl w:val="0"/>
              <w:shd w:val="clear"/>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4、本项目</w:t>
            </w:r>
            <w:r>
              <w:rPr>
                <w:rFonts w:hint="default" w:ascii="Times New Roman" w:hAnsi="Times New Roman" w:eastAsia="宋体" w:cs="Times New Roman"/>
                <w:b/>
                <w:bCs/>
                <w:color w:val="auto"/>
                <w:sz w:val="24"/>
                <w:szCs w:val="24"/>
                <w:highlight w:val="none"/>
                <w:lang w:val="en-US" w:eastAsia="zh-CN"/>
              </w:rPr>
              <w:t>与唐山市“三线一单”相符性分析</w:t>
            </w:r>
          </w:p>
          <w:p w14:paraId="414520E5">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lang w:val="en-US" w:eastAsia="zh-CN"/>
              </w:rPr>
              <w:t>本项目</w:t>
            </w:r>
            <w:r>
              <w:rPr>
                <w:rFonts w:hint="eastAsia" w:cs="Times New Roman"/>
                <w:color w:val="auto"/>
                <w:sz w:val="24"/>
                <w:szCs w:val="24"/>
                <w:highlight w:val="none"/>
                <w:shd w:val="clear" w:color="auto" w:fill="auto"/>
                <w:lang w:val="en-US" w:eastAsia="zh-CN"/>
              </w:rPr>
              <w:t>位于</w:t>
            </w:r>
            <w:r>
              <w:rPr>
                <w:rFonts w:hint="eastAsia" w:cs="Times New Roman"/>
                <w:color w:val="auto"/>
                <w:sz w:val="24"/>
                <w:szCs w:val="24"/>
                <w:highlight w:val="none"/>
                <w:lang w:val="en-US" w:eastAsia="zh-CN"/>
              </w:rPr>
              <w:t>河北省唐山市滦州市雷庄镇耀隆宝峰矿业有限公司院内</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根据</w:t>
            </w:r>
            <w:r>
              <w:rPr>
                <w:rFonts w:hint="eastAsia" w:cs="Times New Roman"/>
                <w:color w:val="auto"/>
                <w:sz w:val="24"/>
                <w:szCs w:val="24"/>
                <w:highlight w:val="none"/>
                <w:lang w:val="en-US" w:eastAsia="zh-CN"/>
              </w:rPr>
              <w:t>《唐山市生态环境准入清单（2023年版）》</w:t>
            </w:r>
            <w:r>
              <w:rPr>
                <w:rFonts w:hint="eastAsia" w:ascii="Times New Roman" w:hAnsi="Times New Roman" w:cs="Times New Roman"/>
                <w:color w:val="auto"/>
                <w:sz w:val="24"/>
                <w:szCs w:val="24"/>
                <w:highlight w:val="none"/>
                <w:shd w:val="clear" w:color="auto" w:fill="auto"/>
                <w:lang w:val="en-US" w:eastAsia="zh-CN"/>
              </w:rPr>
              <w:t>（</w:t>
            </w:r>
            <w:r>
              <w:rPr>
                <w:rFonts w:hint="default" w:ascii="Times New Roman" w:hAnsi="Times New Roman" w:cs="Times New Roman"/>
                <w:color w:val="auto"/>
                <w:sz w:val="24"/>
                <w:szCs w:val="24"/>
                <w:highlight w:val="none"/>
                <w:shd w:val="clear" w:color="auto" w:fill="auto"/>
                <w:lang w:val="en-US" w:eastAsia="zh-CN"/>
              </w:rPr>
              <w:t>二〇二</w:t>
            </w:r>
            <w:r>
              <w:rPr>
                <w:rFonts w:hint="eastAsia" w:cs="Times New Roman"/>
                <w:color w:val="auto"/>
                <w:sz w:val="24"/>
                <w:szCs w:val="24"/>
                <w:highlight w:val="none"/>
                <w:shd w:val="clear" w:color="auto" w:fill="auto"/>
                <w:lang w:val="en-US" w:eastAsia="zh-CN"/>
              </w:rPr>
              <w:t>四</w:t>
            </w:r>
            <w:r>
              <w:rPr>
                <w:rFonts w:hint="default" w:ascii="Times New Roman" w:hAnsi="Times New Roman" w:cs="Times New Roman"/>
                <w:color w:val="auto"/>
                <w:sz w:val="24"/>
                <w:szCs w:val="24"/>
                <w:highlight w:val="none"/>
                <w:shd w:val="clear" w:color="auto" w:fill="auto"/>
                <w:lang w:val="en-US" w:eastAsia="zh-CN"/>
              </w:rPr>
              <w:t>年</w:t>
            </w:r>
            <w:r>
              <w:rPr>
                <w:rFonts w:hint="eastAsia" w:cs="Times New Roman"/>
                <w:color w:val="auto"/>
                <w:sz w:val="24"/>
                <w:szCs w:val="24"/>
                <w:highlight w:val="none"/>
                <w:shd w:val="clear" w:color="auto" w:fill="auto"/>
                <w:lang w:val="en-US" w:eastAsia="zh-CN"/>
              </w:rPr>
              <w:t>四</w:t>
            </w:r>
            <w:r>
              <w:rPr>
                <w:rFonts w:hint="default" w:ascii="Times New Roman" w:hAnsi="Times New Roman" w:cs="Times New Roman"/>
                <w:color w:val="auto"/>
                <w:sz w:val="24"/>
                <w:szCs w:val="24"/>
                <w:highlight w:val="none"/>
                <w:shd w:val="clear" w:color="auto" w:fill="auto"/>
                <w:lang w:val="en-US" w:eastAsia="zh-CN"/>
              </w:rPr>
              <w:t>月</w:t>
            </w:r>
            <w:r>
              <w:rPr>
                <w:rFonts w:hint="eastAsia" w:ascii="Times New Roman" w:hAnsi="Times New Roman" w:cs="Times New Roman"/>
                <w:color w:val="auto"/>
                <w:sz w:val="24"/>
                <w:szCs w:val="24"/>
                <w:highlight w:val="none"/>
                <w:shd w:val="clear" w:color="auto" w:fill="auto"/>
                <w:lang w:val="en-US" w:eastAsia="zh-CN"/>
              </w:rPr>
              <w:t>）</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本项目不在生态保护红线区、自然保护区、风景名胜区、森林公园、湿地公园、地质公园、水产种质资源保护区、自然文化遗产、湿地空间、</w:t>
            </w:r>
            <w:r>
              <w:rPr>
                <w:rFonts w:ascii="宋体" w:hAnsi="宋体" w:eastAsia="宋体" w:cs="宋体"/>
                <w:b w:val="0"/>
                <w:bCs w:val="0"/>
                <w:i w:val="0"/>
                <w:iCs w:val="0"/>
                <w:color w:val="auto"/>
                <w:kern w:val="0"/>
                <w:sz w:val="24"/>
                <w:szCs w:val="24"/>
                <w:highlight w:val="none"/>
                <w:lang w:val="en-US" w:eastAsia="zh-CN" w:bidi="ar"/>
              </w:rPr>
              <w:t>饮用水地表水源保护区</w:t>
            </w:r>
            <w:r>
              <w:rPr>
                <w:rFonts w:hint="default" w:ascii="Times New Roman" w:hAnsi="Times New Roman" w:eastAsia="宋体" w:cs="Times New Roman"/>
                <w:color w:val="auto"/>
                <w:sz w:val="24"/>
                <w:szCs w:val="24"/>
                <w:highlight w:val="none"/>
                <w:shd w:val="clear" w:color="auto" w:fill="auto"/>
                <w:lang w:val="en-US" w:eastAsia="zh-CN"/>
              </w:rPr>
              <w:t>、饮用水地下水源保护区、一般生态空间范围内</w:t>
            </w:r>
            <w:r>
              <w:rPr>
                <w:rFonts w:hint="default" w:ascii="Times New Roman" w:hAnsi="Times New Roman" w:cs="Times New Roman"/>
                <w:color w:val="auto"/>
                <w:sz w:val="24"/>
                <w:szCs w:val="24"/>
                <w:highlight w:val="none"/>
                <w:shd w:val="clear" w:color="auto" w:fill="auto"/>
                <w:lang w:val="en-US" w:eastAsia="zh-CN"/>
              </w:rPr>
              <w:t>，本项目所在区域属于</w:t>
            </w:r>
            <w:r>
              <w:rPr>
                <w:rFonts w:hint="eastAsia" w:cs="Times New Roman"/>
                <w:color w:val="auto"/>
                <w:sz w:val="24"/>
                <w:szCs w:val="24"/>
                <w:highlight w:val="none"/>
                <w:shd w:val="clear" w:color="auto" w:fill="auto"/>
                <w:lang w:val="en-US" w:eastAsia="zh-CN"/>
              </w:rPr>
              <w:t>一般</w:t>
            </w:r>
            <w:r>
              <w:rPr>
                <w:rFonts w:hint="default" w:ascii="Times New Roman" w:hAnsi="Times New Roman" w:cs="Times New Roman"/>
                <w:color w:val="auto"/>
                <w:sz w:val="24"/>
                <w:szCs w:val="24"/>
                <w:highlight w:val="none"/>
                <w:shd w:val="clear" w:color="auto" w:fill="auto"/>
                <w:lang w:val="en-US" w:eastAsia="zh-CN"/>
              </w:rPr>
              <w:t>管控单元。项目与唐山市生态环境准入清单符合性分析见下表</w:t>
            </w:r>
            <w:r>
              <w:rPr>
                <w:rFonts w:hint="default" w:ascii="Times New Roman" w:hAnsi="Times New Roman" w:eastAsia="宋体" w:cs="Times New Roman"/>
                <w:color w:val="auto"/>
                <w:sz w:val="24"/>
                <w:szCs w:val="24"/>
                <w:highlight w:val="none"/>
                <w:shd w:val="clear" w:color="auto" w:fill="auto"/>
              </w:rPr>
              <w:t>：</w:t>
            </w:r>
          </w:p>
          <w:p w14:paraId="76FE639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本项目与总体管控要求符合性分析一览表</w:t>
            </w:r>
          </w:p>
          <w:tbl>
            <w:tblPr>
              <w:tblStyle w:val="32"/>
              <w:tblW w:w="12659"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545"/>
              <w:gridCol w:w="403"/>
              <w:gridCol w:w="195"/>
              <w:gridCol w:w="396"/>
              <w:gridCol w:w="1"/>
              <w:gridCol w:w="8617"/>
              <w:gridCol w:w="1"/>
              <w:gridCol w:w="1843"/>
              <w:gridCol w:w="1"/>
              <w:gridCol w:w="656"/>
              <w:gridCol w:w="1"/>
            </w:tblGrid>
            <w:tr w14:paraId="6C8238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8" w:hRule="atLeast"/>
                <w:jc w:val="center"/>
              </w:trPr>
              <w:tc>
                <w:tcPr>
                  <w:tcW w:w="545" w:type="dxa"/>
                  <w:tcBorders>
                    <w:tl2br w:val="nil"/>
                    <w:tr2bl w:val="nil"/>
                  </w:tcBorders>
                  <w:noWrap w:val="0"/>
                  <w:vAlign w:val="center"/>
                </w:tcPr>
                <w:p w14:paraId="5F66C3D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要素属性</w:t>
                  </w:r>
                </w:p>
              </w:tc>
              <w:tc>
                <w:tcPr>
                  <w:tcW w:w="994" w:type="dxa"/>
                  <w:gridSpan w:val="3"/>
                  <w:tcBorders>
                    <w:tl2br w:val="nil"/>
                    <w:tr2bl w:val="nil"/>
                  </w:tcBorders>
                  <w:noWrap w:val="0"/>
                  <w:vAlign w:val="center"/>
                </w:tcPr>
                <w:p w14:paraId="7CAE82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管控类别</w:t>
                  </w:r>
                </w:p>
              </w:tc>
              <w:tc>
                <w:tcPr>
                  <w:tcW w:w="8618" w:type="dxa"/>
                  <w:gridSpan w:val="2"/>
                  <w:tcBorders>
                    <w:tl2br w:val="nil"/>
                    <w:tr2bl w:val="nil"/>
                  </w:tcBorders>
                  <w:noWrap w:val="0"/>
                  <w:vAlign w:val="center"/>
                </w:tcPr>
                <w:p w14:paraId="071D2FB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管控要求</w:t>
                  </w:r>
                </w:p>
              </w:tc>
              <w:tc>
                <w:tcPr>
                  <w:tcW w:w="1844" w:type="dxa"/>
                  <w:gridSpan w:val="2"/>
                  <w:tcBorders>
                    <w:tl2br w:val="nil"/>
                    <w:tr2bl w:val="nil"/>
                  </w:tcBorders>
                  <w:noWrap w:val="0"/>
                  <w:vAlign w:val="center"/>
                </w:tcPr>
                <w:p w14:paraId="663B3E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w:t>
                  </w:r>
                </w:p>
              </w:tc>
              <w:tc>
                <w:tcPr>
                  <w:tcW w:w="657" w:type="dxa"/>
                  <w:gridSpan w:val="2"/>
                  <w:tcBorders>
                    <w:tl2br w:val="nil"/>
                    <w:tr2bl w:val="nil"/>
                  </w:tcBorders>
                  <w:noWrap w:val="0"/>
                  <w:vAlign w:val="center"/>
                </w:tcPr>
                <w:p w14:paraId="07582FA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结论</w:t>
                  </w:r>
                </w:p>
              </w:tc>
            </w:tr>
            <w:tr w14:paraId="285C32F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62" w:hRule="atLeast"/>
                <w:jc w:val="center"/>
              </w:trPr>
              <w:tc>
                <w:tcPr>
                  <w:tcW w:w="545" w:type="dxa"/>
                  <w:vMerge w:val="restart"/>
                  <w:tcBorders>
                    <w:tl2br w:val="nil"/>
                    <w:tr2bl w:val="nil"/>
                  </w:tcBorders>
                  <w:noWrap w:val="0"/>
                  <w:vAlign w:val="center"/>
                </w:tcPr>
                <w:p w14:paraId="205102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生态保护红线区</w:t>
                  </w:r>
                </w:p>
              </w:tc>
              <w:tc>
                <w:tcPr>
                  <w:tcW w:w="598" w:type="dxa"/>
                  <w:gridSpan w:val="2"/>
                  <w:vMerge w:val="restart"/>
                  <w:tcBorders>
                    <w:tl2br w:val="nil"/>
                    <w:tr2bl w:val="nil"/>
                  </w:tcBorders>
                  <w:noWrap w:val="0"/>
                  <w:vAlign w:val="center"/>
                </w:tcPr>
                <w:p w14:paraId="264441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空间布局约束</w:t>
                  </w:r>
                </w:p>
              </w:tc>
              <w:tc>
                <w:tcPr>
                  <w:tcW w:w="397" w:type="dxa"/>
                  <w:gridSpan w:val="2"/>
                  <w:tcBorders>
                    <w:tl2br w:val="nil"/>
                    <w:tr2bl w:val="nil"/>
                  </w:tcBorders>
                  <w:noWrap w:val="0"/>
                  <w:vAlign w:val="center"/>
                </w:tcPr>
                <w:p w14:paraId="033515F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禁止类管控要求</w:t>
                  </w:r>
                </w:p>
              </w:tc>
              <w:tc>
                <w:tcPr>
                  <w:tcW w:w="8618" w:type="dxa"/>
                  <w:gridSpan w:val="2"/>
                  <w:tcBorders>
                    <w:tl2br w:val="nil"/>
                    <w:tr2bl w:val="nil"/>
                  </w:tcBorders>
                  <w:noWrap w:val="0"/>
                  <w:vAlign w:val="center"/>
                </w:tcPr>
                <w:p w14:paraId="2CA47D5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rFonts w:hint="eastAsia"/>
                      <w:color w:val="auto"/>
                      <w:sz w:val="21"/>
                      <w:szCs w:val="21"/>
                    </w:rPr>
                    <w:t>生态保护红线原则上按禁止开发区域的要求进行管理。严禁不符合主体功能定位的各类开发活动，严禁任意改变用途。生态保护红线一经划定，未经批准，严禁擅自调整。根据资源环境承载能力监测、生态保护重要性评价和国土空间规划实施“五年一评估”情况，可由省级人民政府编制生态保护红线局部调整方案，纳入国土空间规划修改方案报国务院批准，并抄送生态环境部。自然保护地边界发生调整的，省级自然资源主管部门依据批准文件，对生态保护红线作相应调整，更新国土空间规划“一张图”。已依法设立的油气探矿权拟转采矿权的，按有关规定由省级自然资源主管部门会同相关部门明确开采拟占用地表或海域范围，并对生态保护红线作相应调整，更新国土空间规划“一张图”。更新后的国土空间规划“一张图”，与省级生态环境部门信息共享。</w:t>
                  </w:r>
                </w:p>
              </w:tc>
              <w:tc>
                <w:tcPr>
                  <w:tcW w:w="1844" w:type="dxa"/>
                  <w:gridSpan w:val="2"/>
                  <w:tcBorders>
                    <w:tl2br w:val="nil"/>
                    <w:tr2bl w:val="nil"/>
                  </w:tcBorders>
                  <w:noWrap w:val="0"/>
                  <w:vAlign w:val="center"/>
                </w:tcPr>
                <w:p w14:paraId="566AD56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本项目选址不涉及生态保护红线。</w:t>
                  </w:r>
                </w:p>
              </w:tc>
              <w:tc>
                <w:tcPr>
                  <w:tcW w:w="657" w:type="dxa"/>
                  <w:gridSpan w:val="2"/>
                  <w:tcBorders>
                    <w:tl2br w:val="nil"/>
                    <w:tr2bl w:val="nil"/>
                  </w:tcBorders>
                  <w:noWrap w:val="0"/>
                  <w:vAlign w:val="center"/>
                </w:tcPr>
                <w:p w14:paraId="163068A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0FFE6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29" w:hRule="atLeast"/>
                <w:jc w:val="center"/>
              </w:trPr>
              <w:tc>
                <w:tcPr>
                  <w:tcW w:w="545" w:type="dxa"/>
                  <w:vMerge w:val="continue"/>
                  <w:tcBorders>
                    <w:tl2br w:val="nil"/>
                    <w:tr2bl w:val="nil"/>
                  </w:tcBorders>
                  <w:noWrap w:val="0"/>
                  <w:vAlign w:val="center"/>
                </w:tcPr>
                <w:p w14:paraId="188A277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8" w:type="dxa"/>
                  <w:gridSpan w:val="2"/>
                  <w:vMerge w:val="continue"/>
                  <w:tcBorders>
                    <w:tl2br w:val="nil"/>
                    <w:tr2bl w:val="nil"/>
                  </w:tcBorders>
                  <w:noWrap w:val="0"/>
                  <w:vAlign w:val="center"/>
                </w:tcPr>
                <w:p w14:paraId="41E0116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397" w:type="dxa"/>
                  <w:gridSpan w:val="2"/>
                  <w:tcBorders>
                    <w:tl2br w:val="nil"/>
                    <w:tr2bl w:val="nil"/>
                  </w:tcBorders>
                  <w:noWrap w:val="0"/>
                  <w:vAlign w:val="center"/>
                </w:tcPr>
                <w:p w14:paraId="0027EEB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限制类管控要求</w:t>
                  </w:r>
                </w:p>
              </w:tc>
              <w:tc>
                <w:tcPr>
                  <w:tcW w:w="8618" w:type="dxa"/>
                  <w:gridSpan w:val="2"/>
                  <w:tcBorders>
                    <w:tl2br w:val="nil"/>
                    <w:tr2bl w:val="nil"/>
                  </w:tcBorders>
                  <w:noWrap w:val="0"/>
                  <w:vAlign w:val="center"/>
                </w:tcPr>
                <w:p w14:paraId="7E324A7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生态保护红线内自然保护地核心保护区外，禁止开发性、生产性建设活动，在符合法律法规的前提下，仅允许以下</w:t>
                  </w:r>
                  <w:r>
                    <w:rPr>
                      <w:color w:val="auto"/>
                      <w:sz w:val="21"/>
                      <w:szCs w:val="21"/>
                    </w:rPr>
                    <w:t>10</w:t>
                  </w:r>
                  <w:r>
                    <w:rPr>
                      <w:rFonts w:hint="eastAsia"/>
                      <w:color w:val="auto"/>
                      <w:sz w:val="21"/>
                      <w:szCs w:val="21"/>
                    </w:rPr>
                    <w:t>类对生态功能不造成破坏的有限人为活动。生态保护红线内自然保护区、风景名胜区、饮用水水源保护区等区域，依照法律法规执行。</w:t>
                  </w:r>
                </w:p>
                <w:p w14:paraId="1BDAE90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1</w:t>
                  </w:r>
                  <w:r>
                    <w:rPr>
                      <w:rFonts w:hint="eastAsia"/>
                      <w:color w:val="auto"/>
                      <w:sz w:val="21"/>
                      <w:szCs w:val="21"/>
                    </w:rPr>
                    <w:t>）管护巡护、保护执法、科学研究、调查监测、测绘导航、防灾减灾救灾、军事国防、疫情防控等活动及相关的必要设施修筑。</w:t>
                  </w:r>
                </w:p>
                <w:p w14:paraId="31E4510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2</w:t>
                  </w:r>
                  <w:r>
                    <w:rPr>
                      <w:rFonts w:hint="eastAsia"/>
                      <w:color w:val="auto"/>
                      <w:sz w:val="21"/>
                      <w:szCs w:val="21"/>
                    </w:rPr>
                    <w:t>）原住居民和其他合法权益主体，允许在不扩大现有建设用地、用海用岛、耕地、水产养殖规模和放牧强度（符合草畜平衡管理规定）的前提下，开展种植、放牧、捕捞、养殖（不包括投礁型海洋牧场、围海养殖）等活动，修筑</w:t>
                  </w:r>
                  <w:r>
                    <w:rPr>
                      <w:rFonts w:hint="eastAsia"/>
                      <w:color w:val="auto"/>
                      <w:sz w:val="21"/>
                      <w:szCs w:val="21"/>
                      <w:lang w:eastAsia="zh-CN"/>
                    </w:rPr>
                    <w:t>生产、生活</w:t>
                  </w:r>
                  <w:r>
                    <w:rPr>
                      <w:rFonts w:hint="eastAsia"/>
                      <w:color w:val="auto"/>
                      <w:sz w:val="21"/>
                      <w:szCs w:val="21"/>
                    </w:rPr>
                    <w:t>设施。</w:t>
                  </w:r>
                </w:p>
                <w:p w14:paraId="1DB522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rFonts w:hint="eastAsia"/>
                      <w:color w:val="auto"/>
                      <w:sz w:val="21"/>
                      <w:szCs w:val="21"/>
                    </w:rPr>
                    <w:t>（</w:t>
                  </w:r>
                  <w:r>
                    <w:rPr>
                      <w:color w:val="auto"/>
                      <w:sz w:val="21"/>
                      <w:szCs w:val="21"/>
                    </w:rPr>
                    <w:t>3</w:t>
                  </w:r>
                  <w:r>
                    <w:rPr>
                      <w:rFonts w:hint="eastAsia"/>
                      <w:color w:val="auto"/>
                      <w:sz w:val="21"/>
                      <w:szCs w:val="21"/>
                    </w:rPr>
                    <w:t>）经依法批准的考古调查发掘、古生物化石调查发掘、标本采集和文物保护活动。</w:t>
                  </w:r>
                </w:p>
                <w:p w14:paraId="6947EA7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4</w:t>
                  </w:r>
                  <w:r>
                    <w:rPr>
                      <w:rFonts w:hint="eastAsia"/>
                      <w:color w:val="auto"/>
                      <w:sz w:val="21"/>
                      <w:szCs w:val="21"/>
                    </w:rPr>
                    <w:t>）按规定对人工商品林进行抚育采伐，或以提升森林质量、优化栖息地、建设生物防火</w:t>
                  </w:r>
                </w:p>
                <w:p w14:paraId="0947CF6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隔离带等为目的的树种更新，依法开展的竹林采伐经营。</w:t>
                  </w:r>
                </w:p>
                <w:p w14:paraId="67B87AD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5</w:t>
                  </w:r>
                  <w:r>
                    <w:rPr>
                      <w:rFonts w:hint="eastAsia"/>
                      <w:color w:val="auto"/>
                      <w:sz w:val="21"/>
                      <w:szCs w:val="21"/>
                    </w:rPr>
                    <w:t>）不破坏生态功能的适度参观旅游、科普宣教及符合相关规划的配套性服务设施和相关</w:t>
                  </w:r>
                </w:p>
                <w:p w14:paraId="7A3744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的必要公共设施建设及维护。</w:t>
                  </w:r>
                </w:p>
                <w:p w14:paraId="2666F83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6</w:t>
                  </w:r>
                  <w:r>
                    <w:rPr>
                      <w:rFonts w:hint="eastAsia"/>
                      <w:color w:val="auto"/>
                      <w:sz w:val="21"/>
                      <w:szCs w:val="21"/>
                    </w:rPr>
                    <w:t>）必须且无法避让、符合县级以上国土空间规划的线性基础设施、通讯和防洪、供水设施建设和船舶航行、航道疏浚清淤等活动；已有的合法水利、交通运输等设施运行维护改造。</w:t>
                  </w:r>
                </w:p>
                <w:p w14:paraId="7DC8F42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7</w:t>
                  </w:r>
                  <w:r>
                    <w:rPr>
                      <w:rFonts w:hint="eastAsia"/>
                      <w:color w:val="auto"/>
                      <w:sz w:val="21"/>
                      <w:szCs w:val="21"/>
                    </w:rPr>
                    <w:t>）地质调查与矿产资源勘查开采。[具体开采活动，详见《自然资源部生态环境部国家林业和草原局关于加强生态保护红线管理的通知（试行）》（自然资发〔</w:t>
                  </w:r>
                  <w:r>
                    <w:rPr>
                      <w:color w:val="auto"/>
                      <w:sz w:val="21"/>
                      <w:szCs w:val="21"/>
                    </w:rPr>
                    <w:t>2022</w:t>
                  </w:r>
                  <w:r>
                    <w:rPr>
                      <w:rFonts w:hint="eastAsia"/>
                      <w:color w:val="auto"/>
                      <w:sz w:val="21"/>
                      <w:szCs w:val="21"/>
                    </w:rPr>
                    <w:t>〕</w:t>
                  </w:r>
                  <w:r>
                    <w:rPr>
                      <w:color w:val="auto"/>
                      <w:sz w:val="21"/>
                      <w:szCs w:val="21"/>
                    </w:rPr>
                    <w:t>142</w:t>
                  </w:r>
                  <w:r>
                    <w:rPr>
                      <w:rFonts w:hint="eastAsia"/>
                      <w:color w:val="auto"/>
                      <w:sz w:val="21"/>
                      <w:szCs w:val="21"/>
                    </w:rPr>
                    <w:t>号）</w:t>
                  </w:r>
                  <w:r>
                    <w:rPr>
                      <w:color w:val="auto"/>
                      <w:sz w:val="21"/>
                      <w:szCs w:val="21"/>
                    </w:rPr>
                    <w:t>]</w:t>
                  </w:r>
                  <w:r>
                    <w:rPr>
                      <w:rFonts w:hint="eastAsia"/>
                      <w:color w:val="auto"/>
                      <w:sz w:val="21"/>
                      <w:szCs w:val="21"/>
                    </w:rPr>
                    <w:t>。上述勘查开采活动，应落实减缓生态环境影响措施，严格执行绿色勘查、开采及矿山环境生态修复相关要求。</w:t>
                  </w:r>
                </w:p>
                <w:p w14:paraId="025BA9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8</w:t>
                  </w:r>
                  <w:r>
                    <w:rPr>
                      <w:rFonts w:hint="eastAsia"/>
                      <w:color w:val="auto"/>
                      <w:sz w:val="21"/>
                      <w:szCs w:val="21"/>
                    </w:rPr>
                    <w:t>）依据县级以上国土空间规划和生态保护修复专项规划开展的生态修复。</w:t>
                  </w:r>
                </w:p>
                <w:p w14:paraId="62E578E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9</w:t>
                  </w:r>
                  <w:r>
                    <w:rPr>
                      <w:rFonts w:hint="eastAsia"/>
                      <w:color w:val="auto"/>
                      <w:sz w:val="21"/>
                      <w:szCs w:val="21"/>
                    </w:rPr>
                    <w:t>）根据我国相关法律法规和与邻国签署的国界管理制度协定（条约）开展的边界边境通视道清理以及界务工程的修建、维护和拆除工作。</w:t>
                  </w:r>
                </w:p>
                <w:p w14:paraId="7326848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rFonts w:hint="eastAsia"/>
                      <w:color w:val="auto"/>
                      <w:sz w:val="21"/>
                      <w:szCs w:val="21"/>
                    </w:rPr>
                    <w:t>（</w:t>
                  </w:r>
                  <w:r>
                    <w:rPr>
                      <w:color w:val="auto"/>
                      <w:sz w:val="21"/>
                      <w:szCs w:val="21"/>
                    </w:rPr>
                    <w:t>10</w:t>
                  </w:r>
                  <w:r>
                    <w:rPr>
                      <w:rFonts w:hint="eastAsia"/>
                      <w:color w:val="auto"/>
                      <w:sz w:val="21"/>
                      <w:szCs w:val="21"/>
                    </w:rPr>
                    <w:t>）法律法规规定允许的其他人为活动。</w:t>
                  </w:r>
                </w:p>
                <w:p w14:paraId="6C6349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rFonts w:hint="eastAsia"/>
                      <w:color w:val="auto"/>
                      <w:sz w:val="21"/>
                      <w:szCs w:val="21"/>
                    </w:rPr>
                    <w:t>开展上述活动时禁止新增填海造地和新增围海。上述活动涉及利用无居民海岛的，原则上仅允许按照相关规定对海岛自然岸线、表面积、岛体、植被改变轻微的低影响利用方式。上述允许的有限人为活动之外，确需占用生态保护红线的国家重大项目，按照《自然资源部生态环境部国家林业和草原局关于加强生态保护红线管理的通知（试行）》（自然资发〔</w:t>
                  </w:r>
                  <w:r>
                    <w:rPr>
                      <w:color w:val="auto"/>
                      <w:sz w:val="21"/>
                      <w:szCs w:val="21"/>
                    </w:rPr>
                    <w:t>2022</w:t>
                  </w:r>
                  <w:r>
                    <w:rPr>
                      <w:rFonts w:hint="eastAsia"/>
                      <w:color w:val="auto"/>
                      <w:sz w:val="21"/>
                      <w:szCs w:val="21"/>
                    </w:rPr>
                    <w:t>〕</w:t>
                  </w:r>
                  <w:r>
                    <w:rPr>
                      <w:color w:val="auto"/>
                      <w:sz w:val="21"/>
                      <w:szCs w:val="21"/>
                    </w:rPr>
                    <w:t>142</w:t>
                  </w:r>
                  <w:r>
                    <w:rPr>
                      <w:rFonts w:hint="eastAsia"/>
                      <w:color w:val="auto"/>
                      <w:sz w:val="21"/>
                      <w:szCs w:val="21"/>
                    </w:rPr>
                    <w:t>号）规定办理用地用海用岛审批。</w:t>
                  </w:r>
                </w:p>
              </w:tc>
              <w:tc>
                <w:tcPr>
                  <w:tcW w:w="1844" w:type="dxa"/>
                  <w:gridSpan w:val="2"/>
                  <w:tcBorders>
                    <w:tl2br w:val="nil"/>
                    <w:tr2bl w:val="nil"/>
                  </w:tcBorders>
                  <w:noWrap w:val="0"/>
                  <w:vAlign w:val="center"/>
                </w:tcPr>
                <w:p w14:paraId="6E393E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本项目选址不涉及生态保护红线。</w:t>
                  </w:r>
                </w:p>
              </w:tc>
              <w:tc>
                <w:tcPr>
                  <w:tcW w:w="657" w:type="dxa"/>
                  <w:gridSpan w:val="2"/>
                  <w:tcBorders>
                    <w:tl2br w:val="nil"/>
                    <w:tr2bl w:val="nil"/>
                  </w:tcBorders>
                  <w:noWrap w:val="0"/>
                  <w:vAlign w:val="center"/>
                </w:tcPr>
                <w:p w14:paraId="2E1447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ADB56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restart"/>
                  <w:tcBorders>
                    <w:tl2br w:val="nil"/>
                    <w:tr2bl w:val="nil"/>
                  </w:tcBorders>
                  <w:noWrap w:val="0"/>
                  <w:vAlign w:val="center"/>
                </w:tcPr>
                <w:p w14:paraId="1C964B9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大气环境</w:t>
                  </w:r>
                </w:p>
              </w:tc>
              <w:tc>
                <w:tcPr>
                  <w:tcW w:w="994" w:type="dxa"/>
                  <w:gridSpan w:val="3"/>
                  <w:vMerge w:val="restart"/>
                  <w:tcBorders>
                    <w:tl2br w:val="nil"/>
                    <w:tr2bl w:val="nil"/>
                  </w:tcBorders>
                  <w:noWrap w:val="0"/>
                  <w:vAlign w:val="center"/>
                </w:tcPr>
                <w:p w14:paraId="1F115B2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空间布局约束</w:t>
                  </w:r>
                </w:p>
              </w:tc>
              <w:tc>
                <w:tcPr>
                  <w:tcW w:w="8618" w:type="dxa"/>
                  <w:gridSpan w:val="2"/>
                  <w:tcBorders>
                    <w:tl2br w:val="nil"/>
                    <w:tr2bl w:val="nil"/>
                  </w:tcBorders>
                  <w:noWrap w:val="0"/>
                  <w:vAlign w:val="center"/>
                </w:tcPr>
                <w:p w14:paraId="55E4664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、全面推进沿海、迁安、滦州、迁西（遵化）</w:t>
                  </w:r>
                  <w:r>
                    <w:rPr>
                      <w:color w:val="auto"/>
                      <w:sz w:val="21"/>
                      <w:szCs w:val="21"/>
                    </w:rPr>
                    <w:t>4</w:t>
                  </w:r>
                  <w:r>
                    <w:rPr>
                      <w:rFonts w:hint="eastAsia"/>
                      <w:color w:val="auto"/>
                      <w:sz w:val="21"/>
                      <w:szCs w:val="21"/>
                    </w:rPr>
                    <w:t>大片区规划建设，加快推进钢铁企业整合搬迁项目建设，推进“公转铁”、“公转水”和物料集中输送管廊项目建设，形成“沿海临港、铁路沿线”产业新布局。</w:t>
                  </w:r>
                </w:p>
              </w:tc>
              <w:tc>
                <w:tcPr>
                  <w:tcW w:w="1844" w:type="dxa"/>
                  <w:gridSpan w:val="2"/>
                  <w:vMerge w:val="restart"/>
                  <w:tcBorders>
                    <w:tl2br w:val="nil"/>
                    <w:tr2bl w:val="nil"/>
                  </w:tcBorders>
                  <w:noWrap w:val="0"/>
                  <w:vAlign w:val="center"/>
                </w:tcPr>
                <w:p w14:paraId="600FF66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rPr>
                    <w:t>本项目</w:t>
                  </w:r>
                  <w:r>
                    <w:rPr>
                      <w:rFonts w:hint="eastAsia"/>
                      <w:color w:val="auto"/>
                      <w:sz w:val="21"/>
                      <w:szCs w:val="21"/>
                      <w:lang w:eastAsia="zh-CN"/>
                    </w:rPr>
                    <w:t>不涉及。</w:t>
                  </w:r>
                </w:p>
              </w:tc>
              <w:tc>
                <w:tcPr>
                  <w:tcW w:w="657" w:type="dxa"/>
                  <w:gridSpan w:val="2"/>
                  <w:vMerge w:val="restart"/>
                  <w:tcBorders>
                    <w:tl2br w:val="nil"/>
                    <w:tr2bl w:val="nil"/>
                  </w:tcBorders>
                  <w:noWrap w:val="0"/>
                  <w:vAlign w:val="center"/>
                </w:tcPr>
                <w:p w14:paraId="643C55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AC8286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2F623AF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8093D6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85B34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、严禁违规新增钢铁、焦化、水泥、平板玻璃等产能，依法推动独立焦化、独立石灰、独立球团逐步退出。</w:t>
                  </w:r>
                </w:p>
              </w:tc>
              <w:tc>
                <w:tcPr>
                  <w:tcW w:w="1844" w:type="dxa"/>
                  <w:gridSpan w:val="2"/>
                  <w:vMerge w:val="continue"/>
                  <w:tcBorders>
                    <w:tl2br w:val="nil"/>
                    <w:tr2bl w:val="nil"/>
                  </w:tcBorders>
                  <w:noWrap w:val="0"/>
                  <w:vAlign w:val="center"/>
                </w:tcPr>
                <w:p w14:paraId="1C10E9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657" w:type="dxa"/>
                  <w:gridSpan w:val="2"/>
                  <w:vMerge w:val="continue"/>
                  <w:tcBorders>
                    <w:tl2br w:val="nil"/>
                    <w:tr2bl w:val="nil"/>
                  </w:tcBorders>
                  <w:noWrap w:val="0"/>
                  <w:vAlign w:val="center"/>
                </w:tcPr>
                <w:p w14:paraId="4EBBD64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r>
            <w:tr w14:paraId="233D6B8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81A2AA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40124E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4A3C8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、新（改、扩）建项目严格执行产能置换、煤炭替代和污染物倍量削减替代制度，当地有相关园区规划的，原则上要进入园区并配套建设高效环保治理设施，符合园区规划环评、建设项目环评要求。</w:t>
                  </w:r>
                </w:p>
              </w:tc>
              <w:tc>
                <w:tcPr>
                  <w:tcW w:w="1844" w:type="dxa"/>
                  <w:gridSpan w:val="2"/>
                  <w:tcBorders>
                    <w:tl2br w:val="nil"/>
                    <w:tr2bl w:val="nil"/>
                  </w:tcBorders>
                  <w:noWrap w:val="0"/>
                  <w:vAlign w:val="center"/>
                </w:tcPr>
                <w:p w14:paraId="7D92CF9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w:t>
                  </w:r>
                  <w:r>
                    <w:rPr>
                      <w:rFonts w:hint="eastAsia"/>
                      <w:color w:val="auto"/>
                      <w:sz w:val="21"/>
                      <w:szCs w:val="21"/>
                      <w:lang w:eastAsia="zh-CN"/>
                    </w:rPr>
                    <w:t>不涉及产能置换</w:t>
                  </w:r>
                  <w:r>
                    <w:rPr>
                      <w:rFonts w:hint="eastAsia"/>
                      <w:color w:val="auto"/>
                      <w:sz w:val="21"/>
                      <w:szCs w:val="21"/>
                    </w:rPr>
                    <w:t>。</w:t>
                  </w:r>
                </w:p>
              </w:tc>
              <w:tc>
                <w:tcPr>
                  <w:tcW w:w="657" w:type="dxa"/>
                  <w:gridSpan w:val="2"/>
                  <w:tcBorders>
                    <w:tl2br w:val="nil"/>
                    <w:tr2bl w:val="nil"/>
                  </w:tcBorders>
                  <w:noWrap w:val="0"/>
                  <w:vAlign w:val="center"/>
                </w:tcPr>
                <w:p w14:paraId="374A7E3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F8AFAE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4328D4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4DBB95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A6960A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、基本取缔燃煤热风炉和钢铁行业燃煤供热锅炉，基本淘汰热电联产供热管网覆盖范围内的燃煤加热、烘干炉（窑）。</w:t>
                  </w:r>
                </w:p>
              </w:tc>
              <w:tc>
                <w:tcPr>
                  <w:tcW w:w="1844" w:type="dxa"/>
                  <w:gridSpan w:val="2"/>
                  <w:tcBorders>
                    <w:tl2br w:val="nil"/>
                    <w:tr2bl w:val="nil"/>
                  </w:tcBorders>
                  <w:noWrap w:val="0"/>
                  <w:vAlign w:val="center"/>
                </w:tcPr>
                <w:p w14:paraId="011F3F4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本项目不新增工业炉窑。</w:t>
                  </w:r>
                </w:p>
              </w:tc>
              <w:tc>
                <w:tcPr>
                  <w:tcW w:w="657" w:type="dxa"/>
                  <w:gridSpan w:val="2"/>
                  <w:tcBorders>
                    <w:tl2br w:val="nil"/>
                    <w:tr2bl w:val="nil"/>
                  </w:tcBorders>
                  <w:noWrap w:val="0"/>
                  <w:vAlign w:val="center"/>
                </w:tcPr>
                <w:p w14:paraId="7E71DD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976D05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07" w:hRule="atLeast"/>
                <w:jc w:val="center"/>
              </w:trPr>
              <w:tc>
                <w:tcPr>
                  <w:tcW w:w="545" w:type="dxa"/>
                  <w:vMerge w:val="continue"/>
                  <w:tcBorders>
                    <w:tl2br w:val="nil"/>
                    <w:tr2bl w:val="nil"/>
                  </w:tcBorders>
                  <w:noWrap w:val="0"/>
                  <w:vAlign w:val="center"/>
                </w:tcPr>
                <w:p w14:paraId="7D7A6E6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DCC64C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7B1BCF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、企业事业单位和其他生产经营者应当在规定期限内，淘汰列入河北省淘汰落后生产工艺、设备和产品名录的生产工艺、设备和产品。</w:t>
                  </w:r>
                </w:p>
              </w:tc>
              <w:tc>
                <w:tcPr>
                  <w:tcW w:w="1844" w:type="dxa"/>
                  <w:gridSpan w:val="2"/>
                  <w:tcBorders>
                    <w:tl2br w:val="nil"/>
                    <w:tr2bl w:val="nil"/>
                  </w:tcBorders>
                  <w:noWrap w:val="0"/>
                  <w:vAlign w:val="center"/>
                </w:tcPr>
                <w:p w14:paraId="00ABDC3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本项目生产工艺、设备和产品不涉及名录中的淘汰类。</w:t>
                  </w:r>
                </w:p>
              </w:tc>
              <w:tc>
                <w:tcPr>
                  <w:tcW w:w="657" w:type="dxa"/>
                  <w:gridSpan w:val="2"/>
                  <w:tcBorders>
                    <w:tl2br w:val="nil"/>
                    <w:tr2bl w:val="nil"/>
                  </w:tcBorders>
                  <w:noWrap w:val="0"/>
                  <w:vAlign w:val="center"/>
                </w:tcPr>
                <w:p w14:paraId="3F9EFC8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687AC4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39" w:hRule="atLeast"/>
                <w:jc w:val="center"/>
              </w:trPr>
              <w:tc>
                <w:tcPr>
                  <w:tcW w:w="545" w:type="dxa"/>
                  <w:vMerge w:val="continue"/>
                  <w:tcBorders>
                    <w:tl2br w:val="nil"/>
                    <w:tr2bl w:val="nil"/>
                  </w:tcBorders>
                  <w:noWrap w:val="0"/>
                  <w:vAlign w:val="center"/>
                </w:tcPr>
                <w:p w14:paraId="02F6ED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D9CEF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391C82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6</w:t>
                  </w:r>
                  <w:r>
                    <w:rPr>
                      <w:rFonts w:hint="eastAsia"/>
                      <w:color w:val="auto"/>
                      <w:sz w:val="21"/>
                      <w:szCs w:val="21"/>
                    </w:rPr>
                    <w:t>、全面取缔</w:t>
                  </w:r>
                  <w:r>
                    <w:rPr>
                      <w:color w:val="auto"/>
                      <w:sz w:val="21"/>
                      <w:szCs w:val="21"/>
                    </w:rPr>
                    <w:t>35</w:t>
                  </w:r>
                  <w:r>
                    <w:rPr>
                      <w:rFonts w:hint="eastAsia"/>
                      <w:color w:val="auto"/>
                      <w:sz w:val="21"/>
                      <w:szCs w:val="21"/>
                    </w:rPr>
                    <w:t>蒸吨及以下燃煤锅炉，发现一台，拆除一台，确保实现动态“清零”；严禁新增</w:t>
                  </w:r>
                  <w:r>
                    <w:rPr>
                      <w:color w:val="auto"/>
                      <w:sz w:val="21"/>
                      <w:szCs w:val="21"/>
                    </w:rPr>
                    <w:t>35</w:t>
                  </w:r>
                  <w:r>
                    <w:rPr>
                      <w:rFonts w:hint="eastAsia"/>
                      <w:color w:val="auto"/>
                      <w:sz w:val="21"/>
                      <w:szCs w:val="21"/>
                    </w:rPr>
                    <w:t>蒸吨及以下燃煤锅炉。路南区、路北区、高新区、开平区、古冶区、丰润区、丰南区、曹妃甸区全面取缔燃生物质燃料、燃油（醇基燃料）锅炉，建成区范围内改为电锅炉，其他区域改为燃气锅炉或电锅炉。其他县（市）、开发区（管理区）全面取缔燃用生物质燃料非专用锅炉，改为燃气锅炉或电锅炉。</w:t>
                  </w:r>
                </w:p>
              </w:tc>
              <w:tc>
                <w:tcPr>
                  <w:tcW w:w="1844" w:type="dxa"/>
                  <w:gridSpan w:val="2"/>
                  <w:tcBorders>
                    <w:tl2br w:val="nil"/>
                    <w:tr2bl w:val="nil"/>
                  </w:tcBorders>
                  <w:noWrap w:val="0"/>
                  <w:vAlign w:val="center"/>
                </w:tcPr>
                <w:p w14:paraId="113AEFC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本项目不新增锅炉。</w:t>
                  </w:r>
                </w:p>
              </w:tc>
              <w:tc>
                <w:tcPr>
                  <w:tcW w:w="657" w:type="dxa"/>
                  <w:gridSpan w:val="2"/>
                  <w:tcBorders>
                    <w:tl2br w:val="nil"/>
                    <w:tr2bl w:val="nil"/>
                  </w:tcBorders>
                  <w:noWrap w:val="0"/>
                  <w:vAlign w:val="center"/>
                </w:tcPr>
                <w:p w14:paraId="51B2C1C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5841DD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E5288F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restart"/>
                  <w:tcBorders>
                    <w:tl2br w:val="nil"/>
                    <w:tr2bl w:val="nil"/>
                  </w:tcBorders>
                  <w:noWrap w:val="0"/>
                  <w:vAlign w:val="center"/>
                </w:tcPr>
                <w:p w14:paraId="58017A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污染物排放管控</w:t>
                  </w:r>
                </w:p>
              </w:tc>
              <w:tc>
                <w:tcPr>
                  <w:tcW w:w="8618" w:type="dxa"/>
                  <w:gridSpan w:val="2"/>
                  <w:tcBorders>
                    <w:tl2br w:val="nil"/>
                    <w:tr2bl w:val="nil"/>
                  </w:tcBorders>
                  <w:noWrap w:val="0"/>
                  <w:vAlign w:val="center"/>
                </w:tcPr>
                <w:p w14:paraId="6CF8054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、细颗粒物（</w:t>
                  </w:r>
                  <w:r>
                    <w:rPr>
                      <w:color w:val="auto"/>
                      <w:sz w:val="21"/>
                      <w:szCs w:val="21"/>
                    </w:rPr>
                    <w:t>PM</w:t>
                  </w:r>
                  <w:r>
                    <w:rPr>
                      <w:color w:val="auto"/>
                      <w:sz w:val="21"/>
                      <w:szCs w:val="21"/>
                      <w:vertAlign w:val="subscript"/>
                    </w:rPr>
                    <w:t>2.5</w:t>
                  </w:r>
                  <w:r>
                    <w:rPr>
                      <w:rFonts w:hint="eastAsia"/>
                      <w:color w:val="auto"/>
                      <w:sz w:val="21"/>
                      <w:szCs w:val="21"/>
                    </w:rPr>
                    <w:t>）年平均浓度不达标的城市，二氧化硫、氮氧化物、烟粉尘、挥发性有机物四项污染物均需进行</w:t>
                  </w:r>
                  <w:r>
                    <w:rPr>
                      <w:color w:val="auto"/>
                      <w:sz w:val="21"/>
                      <w:szCs w:val="21"/>
                    </w:rPr>
                    <w:t>2</w:t>
                  </w:r>
                  <w:r>
                    <w:rPr>
                      <w:rFonts w:hint="eastAsia"/>
                      <w:color w:val="auto"/>
                      <w:sz w:val="21"/>
                      <w:szCs w:val="21"/>
                    </w:rPr>
                    <w:t>倍削减替代（燃煤发电机组大气污染物排放浓度基本达到燃气轮机组排放限值的除外）。</w:t>
                  </w:r>
                </w:p>
              </w:tc>
              <w:tc>
                <w:tcPr>
                  <w:tcW w:w="1844" w:type="dxa"/>
                  <w:gridSpan w:val="2"/>
                  <w:tcBorders>
                    <w:tl2br w:val="nil"/>
                    <w:tr2bl w:val="nil"/>
                  </w:tcBorders>
                  <w:noWrap w:val="0"/>
                  <w:vAlign w:val="center"/>
                </w:tcPr>
                <w:p w14:paraId="42EA09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lang w:eastAsia="zh-CN"/>
                    </w:rPr>
                    <w:t>根据唐山市生态环境局《关于石化、煤化工、燃煤发电(含热电)、钢铁、有色金属冶炼、投资造纸行业以外其他行业是否需要削减替代意见的复函》，本项目无需区域削减方案。</w:t>
                  </w:r>
                </w:p>
              </w:tc>
              <w:tc>
                <w:tcPr>
                  <w:tcW w:w="657" w:type="dxa"/>
                  <w:gridSpan w:val="2"/>
                  <w:tcBorders>
                    <w:tl2br w:val="nil"/>
                    <w:tr2bl w:val="nil"/>
                  </w:tcBorders>
                  <w:noWrap w:val="0"/>
                  <w:vAlign w:val="center"/>
                </w:tcPr>
                <w:p w14:paraId="581DDB8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27F89E7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29AAF9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3A9C7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D5AE48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w:t>
                  </w:r>
                  <w:r>
                    <w:rPr>
                      <w:color w:val="auto"/>
                      <w:sz w:val="21"/>
                      <w:szCs w:val="21"/>
                    </w:rPr>
                    <w:t>35</w:t>
                  </w:r>
                  <w:r>
                    <w:rPr>
                      <w:rFonts w:hint="eastAsia"/>
                      <w:color w:val="auto"/>
                      <w:sz w:val="21"/>
                      <w:szCs w:val="21"/>
                    </w:rPr>
                    <w:t>蒸吨以上燃煤锅炉、燃油（醇基燃料）锅炉、燃用生物质专用锅炉各污染物排放浓度达到《河北省锅炉大气污染物排放标准（</w:t>
                  </w:r>
                  <w:r>
                    <w:rPr>
                      <w:color w:val="auto"/>
                      <w:sz w:val="21"/>
                      <w:szCs w:val="21"/>
                    </w:rPr>
                    <w:t>DB13/5161</w:t>
                  </w:r>
                  <w:r>
                    <w:rPr>
                      <w:rFonts w:hint="eastAsia"/>
                      <w:color w:val="auto"/>
                      <w:sz w:val="21"/>
                      <w:szCs w:val="21"/>
                    </w:rPr>
                    <w:t>）》要求；燃煤气、天然气锅炉各污染物排放浓度达到《唐山市锅炉治理专项实施方案》（唐气领办〔</w:t>
                  </w:r>
                  <w:r>
                    <w:rPr>
                      <w:color w:val="auto"/>
                      <w:sz w:val="21"/>
                      <w:szCs w:val="21"/>
                    </w:rPr>
                    <w:t>2019</w:t>
                  </w:r>
                  <w:r>
                    <w:rPr>
                      <w:rFonts w:hint="eastAsia"/>
                      <w:color w:val="auto"/>
                      <w:sz w:val="21"/>
                      <w:szCs w:val="21"/>
                    </w:rPr>
                    <w:t>〕</w:t>
                  </w:r>
                  <w:r>
                    <w:rPr>
                      <w:color w:val="auto"/>
                      <w:sz w:val="21"/>
                      <w:szCs w:val="21"/>
                    </w:rPr>
                    <w:t>10</w:t>
                  </w:r>
                  <w:r>
                    <w:rPr>
                      <w:rFonts w:hint="eastAsia"/>
                      <w:color w:val="auto"/>
                      <w:sz w:val="21"/>
                      <w:szCs w:val="21"/>
                    </w:rPr>
                    <w:t>号）要求。</w:t>
                  </w:r>
                </w:p>
              </w:tc>
              <w:tc>
                <w:tcPr>
                  <w:tcW w:w="1844" w:type="dxa"/>
                  <w:gridSpan w:val="2"/>
                  <w:tcBorders>
                    <w:tl2br w:val="nil"/>
                    <w:tr2bl w:val="nil"/>
                  </w:tcBorders>
                  <w:noWrap w:val="0"/>
                  <w:vAlign w:val="center"/>
                </w:tcPr>
                <w:p w14:paraId="694FAA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本项目不新建锅炉。</w:t>
                  </w:r>
                </w:p>
              </w:tc>
              <w:tc>
                <w:tcPr>
                  <w:tcW w:w="657" w:type="dxa"/>
                  <w:gridSpan w:val="2"/>
                  <w:tcBorders>
                    <w:tl2br w:val="nil"/>
                    <w:tr2bl w:val="nil"/>
                  </w:tcBorders>
                  <w:noWrap w:val="0"/>
                  <w:vAlign w:val="center"/>
                </w:tcPr>
                <w:p w14:paraId="7DB87FB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AFC2E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14DA36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95433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70600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加强农村燃煤污染治理：（一）推广使用民用清洁燃烧炉具，加快淘汰低效直燃式高污染炉具，严禁生产、销售、使用不符合环保要求的炉具；（二）加强洁净型煤、优质煤炭的推广使用，实现农村地区洁净型煤配送网点建设全覆盖，严禁使用高硫分和劣质煤炭；（三）推广太阳能、电能、燃气、沼气、地热等使用，加强农作物秸秆能源化，推进农村清洁能源的替代和开发利用。</w:t>
                  </w:r>
                </w:p>
              </w:tc>
              <w:tc>
                <w:tcPr>
                  <w:tcW w:w="1844" w:type="dxa"/>
                  <w:gridSpan w:val="2"/>
                  <w:tcBorders>
                    <w:tl2br w:val="nil"/>
                    <w:tr2bl w:val="nil"/>
                  </w:tcBorders>
                  <w:noWrap w:val="0"/>
                  <w:vAlign w:val="center"/>
                </w:tcPr>
                <w:p w14:paraId="1A5EB3D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024803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79B109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110" w:hRule="atLeast"/>
                <w:jc w:val="center"/>
              </w:trPr>
              <w:tc>
                <w:tcPr>
                  <w:tcW w:w="545" w:type="dxa"/>
                  <w:vMerge w:val="continue"/>
                  <w:tcBorders>
                    <w:tl2br w:val="nil"/>
                    <w:tr2bl w:val="nil"/>
                  </w:tcBorders>
                  <w:noWrap w:val="0"/>
                  <w:vAlign w:val="center"/>
                </w:tcPr>
                <w:p w14:paraId="61C4F7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ED894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32CF9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对保留的工业炉窑开展环保提标改造，配套建设高效脱硫脱硝除尘设施，确保稳定达标排放。加快推进钢铁行业超低排放改造，积极推进平板玻璃行业和水泥行业污染治理升级改造。鼓励具备条件的陶瓷企业陶瓷窑、喷雾干燥塔开展超低排放改造。平板玻璃、建筑陶瓷企业逐步取消脱硫脱硝烟气旁路或设置备用脱硫脱硝等设施，鼓励水泥企业实施全流程污染深度治理。推进具备条件的焦化企业实施干熄焦改造。在保证生产安全前提下，钢铁烧结（球团）、高炉、转炉、轧钢工序实施车间封闭生产。对标行业先进，持续推动污染物排放总量降低。</w:t>
                  </w:r>
                </w:p>
              </w:tc>
              <w:tc>
                <w:tcPr>
                  <w:tcW w:w="1844" w:type="dxa"/>
                  <w:gridSpan w:val="2"/>
                  <w:tcBorders>
                    <w:tl2br w:val="nil"/>
                    <w:tr2bl w:val="nil"/>
                  </w:tcBorders>
                  <w:noWrap w:val="0"/>
                  <w:vAlign w:val="center"/>
                </w:tcPr>
                <w:p w14:paraId="3180C1A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119FE43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A35056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F638EF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DE23E6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16480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推广新能源机动车，建设相应的充电站（桩）、加气站等基础设施，新建居民住宅小区停车位应当建设相应的充电设施；鼓励和支持公共交通、出租车、环境卫生、邮政、快递等行业用车和公务用车率先使用新能源机动车。加强城市步行和自行车交通系统建设，引导公众绿色、低碳出行。船舶靠港后应当优先使用岸电。新建码头应当规划、设计和建设岸基供电设施；已建成的码头应当逐步实施岸基供电设施改造。</w:t>
                  </w:r>
                </w:p>
              </w:tc>
              <w:tc>
                <w:tcPr>
                  <w:tcW w:w="1844" w:type="dxa"/>
                  <w:gridSpan w:val="2"/>
                  <w:tcBorders>
                    <w:tl2br w:val="nil"/>
                    <w:tr2bl w:val="nil"/>
                  </w:tcBorders>
                  <w:noWrap w:val="0"/>
                  <w:vAlign w:val="center"/>
                </w:tcPr>
                <w:p w14:paraId="628EED6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BF93F8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B7084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76BC419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2B072BE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8A82E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6</w:t>
                  </w:r>
                  <w:r>
                    <w:rPr>
                      <w:rFonts w:hint="eastAsia"/>
                      <w:color w:val="auto"/>
                      <w:sz w:val="21"/>
                      <w:szCs w:val="21"/>
                    </w:rPr>
                    <w:t>、加快油品质量升级。停止销售低于国Ⅵ标准的汽柴油，实现车用柴油、普通柴油、部分船舶用油“三油并轨”。</w:t>
                  </w:r>
                </w:p>
              </w:tc>
              <w:tc>
                <w:tcPr>
                  <w:tcW w:w="1844" w:type="dxa"/>
                  <w:gridSpan w:val="2"/>
                  <w:tcBorders>
                    <w:tl2br w:val="nil"/>
                    <w:tr2bl w:val="nil"/>
                  </w:tcBorders>
                  <w:noWrap w:val="0"/>
                  <w:vAlign w:val="center"/>
                </w:tcPr>
                <w:p w14:paraId="1CC8DEC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79A37F4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89563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400" w:hRule="atLeast"/>
                <w:jc w:val="center"/>
              </w:trPr>
              <w:tc>
                <w:tcPr>
                  <w:tcW w:w="545" w:type="dxa"/>
                  <w:vMerge w:val="continue"/>
                  <w:tcBorders>
                    <w:tl2br w:val="nil"/>
                    <w:tr2bl w:val="nil"/>
                  </w:tcBorders>
                  <w:noWrap w:val="0"/>
                  <w:vAlign w:val="center"/>
                </w:tcPr>
                <w:p w14:paraId="068DA0A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DF48D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390E86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7</w:t>
                  </w:r>
                  <w:r>
                    <w:rPr>
                      <w:rFonts w:hint="eastAsia"/>
                      <w:color w:val="auto"/>
                      <w:sz w:val="21"/>
                      <w:szCs w:val="21"/>
                    </w:rPr>
                    <w:t>、推进矿山综合整治。按照“能关则关、应合尽合、能转则转”的原则，对违反法律法规、列入关闭计划、整改不达标、乱采滥挖的矿山，依法依规坚决关闭取缔。</w:t>
                  </w:r>
                </w:p>
              </w:tc>
              <w:tc>
                <w:tcPr>
                  <w:tcW w:w="1844" w:type="dxa"/>
                  <w:gridSpan w:val="2"/>
                  <w:tcBorders>
                    <w:tl2br w:val="nil"/>
                    <w:tr2bl w:val="nil"/>
                  </w:tcBorders>
                  <w:noWrap w:val="0"/>
                  <w:vAlign w:val="center"/>
                </w:tcPr>
                <w:p w14:paraId="22EE031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0D034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1B8875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56" w:hRule="atLeast"/>
                <w:jc w:val="center"/>
              </w:trPr>
              <w:tc>
                <w:tcPr>
                  <w:tcW w:w="545" w:type="dxa"/>
                  <w:vMerge w:val="continue"/>
                  <w:tcBorders>
                    <w:tl2br w:val="nil"/>
                    <w:tr2bl w:val="nil"/>
                  </w:tcBorders>
                  <w:noWrap w:val="0"/>
                  <w:vAlign w:val="center"/>
                </w:tcPr>
                <w:p w14:paraId="3598029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FE1587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6AF134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8</w:t>
                  </w:r>
                  <w:r>
                    <w:rPr>
                      <w:rFonts w:hint="eastAsia"/>
                      <w:color w:val="auto"/>
                      <w:sz w:val="21"/>
                      <w:szCs w:val="21"/>
                    </w:rPr>
                    <w:t>、强化建筑施工扬尘污染防治，严格落实《河北省扬尘污染防治办法》，对城市建成区、县城建筑施工工地实施全面监管。强化道路扬尘综合治理，按照《河北省城市精细化管理标准》有关要求，全面巩固洁净城市创建成果。</w:t>
                  </w:r>
                </w:p>
              </w:tc>
              <w:tc>
                <w:tcPr>
                  <w:tcW w:w="1844" w:type="dxa"/>
                  <w:gridSpan w:val="2"/>
                  <w:tcBorders>
                    <w:tl2br w:val="nil"/>
                    <w:tr2bl w:val="nil"/>
                  </w:tcBorders>
                  <w:noWrap w:val="0"/>
                  <w:vAlign w:val="center"/>
                </w:tcPr>
                <w:p w14:paraId="7A718D3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w:t>
                  </w:r>
                  <w:r>
                    <w:rPr>
                      <w:rFonts w:hint="eastAsia"/>
                      <w:color w:val="auto"/>
                      <w:sz w:val="21"/>
                      <w:szCs w:val="21"/>
                      <w:lang w:eastAsia="zh-CN"/>
                    </w:rPr>
                    <w:t>施工期采用有效的防治措施</w:t>
                  </w:r>
                  <w:r>
                    <w:rPr>
                      <w:rFonts w:hint="eastAsia"/>
                      <w:color w:val="auto"/>
                      <w:sz w:val="21"/>
                      <w:szCs w:val="21"/>
                    </w:rPr>
                    <w:t>。</w:t>
                  </w:r>
                </w:p>
              </w:tc>
              <w:tc>
                <w:tcPr>
                  <w:tcW w:w="657" w:type="dxa"/>
                  <w:gridSpan w:val="2"/>
                  <w:tcBorders>
                    <w:tl2br w:val="nil"/>
                    <w:tr2bl w:val="nil"/>
                  </w:tcBorders>
                  <w:noWrap w:val="0"/>
                  <w:vAlign w:val="center"/>
                </w:tcPr>
                <w:p w14:paraId="02D8FC1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345823B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211AD1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46E5FF1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565F7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9</w:t>
                  </w:r>
                  <w:r>
                    <w:rPr>
                      <w:rFonts w:hint="eastAsia"/>
                      <w:color w:val="auto"/>
                      <w:sz w:val="21"/>
                      <w:szCs w:val="21"/>
                    </w:rPr>
                    <w:t>、深化重点行业深度治理。巩固钢铁、焦化、煤电、水泥、平板玻璃等重点行业超低排放改造成效，实施工艺全流程深度治理，推进全过程无组织排放管控。</w:t>
                  </w:r>
                </w:p>
              </w:tc>
              <w:tc>
                <w:tcPr>
                  <w:tcW w:w="1844" w:type="dxa"/>
                  <w:gridSpan w:val="2"/>
                  <w:tcBorders>
                    <w:tl2br w:val="nil"/>
                    <w:tr2bl w:val="nil"/>
                  </w:tcBorders>
                  <w:noWrap w:val="0"/>
                  <w:vAlign w:val="center"/>
                </w:tcPr>
                <w:p w14:paraId="53DFA45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本项目不属于重点行业。</w:t>
                  </w:r>
                </w:p>
              </w:tc>
              <w:tc>
                <w:tcPr>
                  <w:tcW w:w="657" w:type="dxa"/>
                  <w:gridSpan w:val="2"/>
                  <w:tcBorders>
                    <w:tl2br w:val="nil"/>
                    <w:tr2bl w:val="nil"/>
                  </w:tcBorders>
                  <w:noWrap w:val="0"/>
                  <w:vAlign w:val="center"/>
                </w:tcPr>
                <w:p w14:paraId="143699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1D9FE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69F24F7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3F0D6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E9BE59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10</w:t>
                  </w:r>
                  <w:r>
                    <w:rPr>
                      <w:rFonts w:hint="eastAsia"/>
                      <w:color w:val="auto"/>
                      <w:sz w:val="21"/>
                      <w:szCs w:val="21"/>
                    </w:rPr>
                    <w:t>、加强重污染天气应急联动。加强污染气象条件和空气污染监测、预报预警和评估能力建设，建成全市区域传输监控预警系统，提高重污染天气预报预警的准确度。加大秋冬季工业企业生产调控力度，按照基本抵消新增污染物排放量的原则，对钢铁、建材、焦化、铸造、化工等高排放行业实行强化管控。</w:t>
                  </w:r>
                </w:p>
              </w:tc>
              <w:tc>
                <w:tcPr>
                  <w:tcW w:w="1844" w:type="dxa"/>
                  <w:gridSpan w:val="2"/>
                  <w:tcBorders>
                    <w:tl2br w:val="nil"/>
                    <w:tr2bl w:val="nil"/>
                  </w:tcBorders>
                  <w:noWrap w:val="0"/>
                  <w:vAlign w:val="center"/>
                </w:tcPr>
                <w:p w14:paraId="17098A1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7BA9E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FA7F1A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982440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43DDC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0FFFAB6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11</w:t>
                  </w:r>
                  <w:r>
                    <w:rPr>
                      <w:rFonts w:hint="eastAsia"/>
                      <w:color w:val="auto"/>
                      <w:sz w:val="21"/>
                      <w:szCs w:val="21"/>
                    </w:rPr>
                    <w:t>、强化柴油货车污染防治。加快柴油货车治理，推动货运经营整合升级、提质增效，加快规模化发展、连锁化经营。实施清洁柴油车、清洁运输和清洁油品行动，降低污染排放总量。</w:t>
                  </w:r>
                </w:p>
              </w:tc>
              <w:tc>
                <w:tcPr>
                  <w:tcW w:w="1844" w:type="dxa"/>
                  <w:gridSpan w:val="2"/>
                  <w:tcBorders>
                    <w:tl2br w:val="nil"/>
                    <w:tr2bl w:val="nil"/>
                  </w:tcBorders>
                  <w:noWrap w:val="0"/>
                  <w:vAlign w:val="center"/>
                </w:tcPr>
                <w:p w14:paraId="7D0EBF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4FEE79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410402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CBEEE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E60C69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CA2FC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12</w:t>
                  </w:r>
                  <w:r>
                    <w:rPr>
                      <w:rFonts w:hint="eastAsia"/>
                      <w:color w:val="auto"/>
                      <w:sz w:val="21"/>
                      <w:szCs w:val="21"/>
                    </w:rPr>
                    <w:t>、禁止露天焚烧秸秆、落叶、枯草等产生烟尘污染的物质，以及电子废弃物、油毡、橡胶、塑料、皮革、沥青、垃圾等产生有毒有害、恶臭或者强烈异味气体的物质。</w:t>
                  </w:r>
                </w:p>
              </w:tc>
              <w:tc>
                <w:tcPr>
                  <w:tcW w:w="1844" w:type="dxa"/>
                  <w:gridSpan w:val="2"/>
                  <w:tcBorders>
                    <w:tl2br w:val="nil"/>
                    <w:tr2bl w:val="nil"/>
                  </w:tcBorders>
                  <w:noWrap w:val="0"/>
                  <w:vAlign w:val="center"/>
                </w:tcPr>
                <w:p w14:paraId="4AB87FF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1EF48F2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0471F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CA7ED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77FB80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A9B550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13</w:t>
                  </w:r>
                  <w:r>
                    <w:rPr>
                      <w:rFonts w:hint="eastAsia"/>
                      <w:color w:val="auto"/>
                      <w:sz w:val="21"/>
                      <w:szCs w:val="21"/>
                    </w:rPr>
                    <w:t>、以化工、工业涂装、包装印刷、油品储运销等行业领域为重点，安全高效推进挥发性有机物综合治理，无组织排放和末端深度治理等提升改造工程。</w:t>
                  </w:r>
                </w:p>
              </w:tc>
              <w:tc>
                <w:tcPr>
                  <w:tcW w:w="1844" w:type="dxa"/>
                  <w:gridSpan w:val="2"/>
                  <w:tcBorders>
                    <w:tl2br w:val="nil"/>
                    <w:tr2bl w:val="nil"/>
                  </w:tcBorders>
                  <w:noWrap w:val="0"/>
                  <w:vAlign w:val="center"/>
                </w:tcPr>
                <w:p w14:paraId="3C6F99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DE8925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02AEA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AAC5B9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C56C3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5FE0C5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14</w:t>
                  </w:r>
                  <w:r>
                    <w:rPr>
                      <w:rFonts w:hint="eastAsia"/>
                      <w:color w:val="auto"/>
                      <w:sz w:val="21"/>
                      <w:szCs w:val="21"/>
                    </w:rPr>
                    <w:t>、推动大气氨排放控制。加强烟气脱硝和氨法脱硫氨逃逸控制。推进种植业、养殖业大气氨减排，加强源头防控，优化肥料、饲料结构。</w:t>
                  </w:r>
                </w:p>
              </w:tc>
              <w:tc>
                <w:tcPr>
                  <w:tcW w:w="1844" w:type="dxa"/>
                  <w:gridSpan w:val="2"/>
                  <w:tcBorders>
                    <w:tl2br w:val="nil"/>
                    <w:tr2bl w:val="nil"/>
                  </w:tcBorders>
                  <w:noWrap w:val="0"/>
                  <w:vAlign w:val="center"/>
                </w:tcPr>
                <w:p w14:paraId="302D80B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0FE5D8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09ADFF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2843E3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8256C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10CC4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15</w:t>
                  </w:r>
                  <w:r>
                    <w:rPr>
                      <w:rFonts w:hint="eastAsia"/>
                      <w:color w:val="auto"/>
                      <w:sz w:val="21"/>
                      <w:szCs w:val="21"/>
                    </w:rPr>
                    <w:t>、严格控制二氧化碳排放强度。加强甲烷等非二氧化碳温室气体管控。</w:t>
                  </w:r>
                </w:p>
              </w:tc>
              <w:tc>
                <w:tcPr>
                  <w:tcW w:w="1844" w:type="dxa"/>
                  <w:gridSpan w:val="2"/>
                  <w:tcBorders>
                    <w:tl2br w:val="nil"/>
                    <w:tr2bl w:val="nil"/>
                  </w:tcBorders>
                  <w:noWrap w:val="0"/>
                  <w:vAlign w:val="center"/>
                </w:tcPr>
                <w:p w14:paraId="0B43C9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366806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D43125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725072C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tcBorders>
                    <w:tl2br w:val="nil"/>
                    <w:tr2bl w:val="nil"/>
                  </w:tcBorders>
                  <w:noWrap w:val="0"/>
                  <w:vAlign w:val="center"/>
                </w:tcPr>
                <w:p w14:paraId="783A4A3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环境风险防控</w:t>
                  </w:r>
                </w:p>
              </w:tc>
              <w:tc>
                <w:tcPr>
                  <w:tcW w:w="8618" w:type="dxa"/>
                  <w:gridSpan w:val="2"/>
                  <w:tcBorders>
                    <w:tl2br w:val="nil"/>
                    <w:tr2bl w:val="nil"/>
                  </w:tcBorders>
                  <w:noWrap w:val="0"/>
                  <w:vAlign w:val="center"/>
                </w:tcPr>
                <w:p w14:paraId="2FC72AD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rFonts w:hint="eastAsia"/>
                      <w:color w:val="auto"/>
                      <w:sz w:val="21"/>
                      <w:szCs w:val="21"/>
                    </w:rPr>
                    <w:t>完善市、县、乡、村网格化环境监管体系，建立信息全面、要素齐全、处置高效、决策科学的市级大气环境监管大数据平台，实现对各级网格和各类污染源的集中在线监测、全程监控和监管指挥。</w:t>
                  </w:r>
                </w:p>
              </w:tc>
              <w:tc>
                <w:tcPr>
                  <w:tcW w:w="1844" w:type="dxa"/>
                  <w:gridSpan w:val="2"/>
                  <w:tcBorders>
                    <w:tl2br w:val="nil"/>
                    <w:tr2bl w:val="nil"/>
                  </w:tcBorders>
                  <w:noWrap w:val="0"/>
                  <w:vAlign w:val="center"/>
                </w:tcPr>
                <w:p w14:paraId="69F051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C2D79C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EE46CD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61A41B8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restart"/>
                  <w:tcBorders>
                    <w:tl2br w:val="nil"/>
                    <w:tr2bl w:val="nil"/>
                  </w:tcBorders>
                  <w:noWrap w:val="0"/>
                  <w:vAlign w:val="center"/>
                </w:tcPr>
                <w:p w14:paraId="6C3B764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资源开发利用</w:t>
                  </w:r>
                </w:p>
              </w:tc>
              <w:tc>
                <w:tcPr>
                  <w:tcW w:w="8618" w:type="dxa"/>
                  <w:gridSpan w:val="2"/>
                  <w:tcBorders>
                    <w:tl2br w:val="nil"/>
                    <w:tr2bl w:val="nil"/>
                  </w:tcBorders>
                  <w:noWrap w:val="0"/>
                  <w:vAlign w:val="center"/>
                </w:tcPr>
                <w:p w14:paraId="65AC59D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、国家大气污染防治重点区域内新建、改建、扩建用煤项目的，应当实行煤炭的等量或者减量替代。</w:t>
                  </w:r>
                </w:p>
              </w:tc>
              <w:tc>
                <w:tcPr>
                  <w:tcW w:w="1844" w:type="dxa"/>
                  <w:gridSpan w:val="2"/>
                  <w:tcBorders>
                    <w:tl2br w:val="nil"/>
                    <w:tr2bl w:val="nil"/>
                  </w:tcBorders>
                  <w:noWrap w:val="0"/>
                  <w:vAlign w:val="center"/>
                </w:tcPr>
                <w:p w14:paraId="55EB969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6AA7DF1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C3A837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9" w:hRule="atLeast"/>
                <w:jc w:val="center"/>
              </w:trPr>
              <w:tc>
                <w:tcPr>
                  <w:tcW w:w="545" w:type="dxa"/>
                  <w:vMerge w:val="continue"/>
                  <w:tcBorders>
                    <w:tl2br w:val="nil"/>
                    <w:tr2bl w:val="nil"/>
                  </w:tcBorders>
                  <w:noWrap w:val="0"/>
                  <w:vAlign w:val="center"/>
                </w:tcPr>
                <w:p w14:paraId="762D55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1F427A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9F314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、实施能源消耗总量和强度双控行动。健全节能标准体系，大力开发、推广节能高效技术和产品，实现重点用能行业、设备节能标准全覆盖。</w:t>
                  </w:r>
                </w:p>
              </w:tc>
              <w:tc>
                <w:tcPr>
                  <w:tcW w:w="1844" w:type="dxa"/>
                  <w:gridSpan w:val="2"/>
                  <w:tcBorders>
                    <w:tl2br w:val="nil"/>
                    <w:tr2bl w:val="nil"/>
                  </w:tcBorders>
                  <w:noWrap w:val="0"/>
                  <w:vAlign w:val="center"/>
                </w:tcPr>
                <w:p w14:paraId="203097B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本项目能源消耗量较少。</w:t>
                  </w:r>
                </w:p>
              </w:tc>
              <w:tc>
                <w:tcPr>
                  <w:tcW w:w="657" w:type="dxa"/>
                  <w:gridSpan w:val="2"/>
                  <w:tcBorders>
                    <w:tl2br w:val="nil"/>
                    <w:tr2bl w:val="nil"/>
                  </w:tcBorders>
                  <w:noWrap w:val="0"/>
                  <w:vAlign w:val="center"/>
                </w:tcPr>
                <w:p w14:paraId="37BFF0F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0CCDEF4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1C9DD8A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B5153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C770E2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新（改、扩）建项目能耗达到《河北省主要产品能耗限额和设备能效限定值》准入值要求，鼓励达到先进值。对能效不达标的企业限期进行节能提升改造，现有企业单位产品能耗达到《河北省主要产品能耗限额和设备能效限定值》限定值要求，鼓励已达标企业通过节能改造达到先进值。国家或省对重点行业单位产品能源消耗限额进行修订的，行业限定值、准入值、先进值按新标准执行。</w:t>
                  </w:r>
                </w:p>
              </w:tc>
              <w:tc>
                <w:tcPr>
                  <w:tcW w:w="1844" w:type="dxa"/>
                  <w:gridSpan w:val="2"/>
                  <w:tcBorders>
                    <w:tl2br w:val="nil"/>
                    <w:tr2bl w:val="nil"/>
                  </w:tcBorders>
                  <w:noWrap w:val="0"/>
                  <w:vAlign w:val="center"/>
                </w:tcPr>
                <w:p w14:paraId="232360B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本项目不属于重点能耗行业。</w:t>
                  </w:r>
                </w:p>
              </w:tc>
              <w:tc>
                <w:tcPr>
                  <w:tcW w:w="657" w:type="dxa"/>
                  <w:gridSpan w:val="2"/>
                  <w:tcBorders>
                    <w:tl2br w:val="nil"/>
                    <w:tr2bl w:val="nil"/>
                  </w:tcBorders>
                  <w:noWrap w:val="0"/>
                  <w:vAlign w:val="center"/>
                </w:tcPr>
                <w:p w14:paraId="0F742E6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4426A2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8" w:hRule="atLeast"/>
                <w:jc w:val="center"/>
              </w:trPr>
              <w:tc>
                <w:tcPr>
                  <w:tcW w:w="545" w:type="dxa"/>
                  <w:vMerge w:val="restart"/>
                  <w:tcBorders>
                    <w:tl2br w:val="nil"/>
                    <w:tr2bl w:val="nil"/>
                  </w:tcBorders>
                  <w:noWrap w:val="0"/>
                  <w:vAlign w:val="center"/>
                </w:tcPr>
                <w:p w14:paraId="3B49B1D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地表水环境</w:t>
                  </w:r>
                </w:p>
              </w:tc>
              <w:tc>
                <w:tcPr>
                  <w:tcW w:w="994" w:type="dxa"/>
                  <w:gridSpan w:val="3"/>
                  <w:vMerge w:val="restart"/>
                  <w:tcBorders>
                    <w:tl2br w:val="nil"/>
                    <w:tr2bl w:val="nil"/>
                  </w:tcBorders>
                  <w:noWrap w:val="0"/>
                  <w:vAlign w:val="center"/>
                </w:tcPr>
                <w:p w14:paraId="47ADB18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空间布局约束</w:t>
                  </w:r>
                </w:p>
              </w:tc>
              <w:tc>
                <w:tcPr>
                  <w:tcW w:w="8618" w:type="dxa"/>
                  <w:gridSpan w:val="2"/>
                  <w:tcBorders>
                    <w:tl2br w:val="nil"/>
                    <w:tr2bl w:val="nil"/>
                  </w:tcBorders>
                  <w:noWrap w:val="0"/>
                  <w:vAlign w:val="center"/>
                </w:tcPr>
                <w:p w14:paraId="684917A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、涉地表水自然保护区、湿地公园、饮用水水源保护区管控参照生态环境空间总体管控要求中各类保护地总体管控要求。</w:t>
                  </w:r>
                </w:p>
              </w:tc>
              <w:tc>
                <w:tcPr>
                  <w:tcW w:w="1844" w:type="dxa"/>
                  <w:gridSpan w:val="2"/>
                  <w:tcBorders>
                    <w:tl2br w:val="nil"/>
                    <w:tr2bl w:val="nil"/>
                  </w:tcBorders>
                  <w:noWrap w:val="0"/>
                  <w:vAlign w:val="center"/>
                </w:tcPr>
                <w:p w14:paraId="12F129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73C630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C0315F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5A5CA94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4F3F41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FF747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、鼓励发展节水高效现代农业、低耗水高新技术产业以及生态保护型旅游业，严格控制缺水地区、水污染严重地区和敏感区域高耗水、高污染行业发展。</w:t>
                  </w:r>
                </w:p>
              </w:tc>
              <w:tc>
                <w:tcPr>
                  <w:tcW w:w="1844" w:type="dxa"/>
                  <w:gridSpan w:val="2"/>
                  <w:tcBorders>
                    <w:tl2br w:val="nil"/>
                    <w:tr2bl w:val="nil"/>
                  </w:tcBorders>
                  <w:noWrap w:val="0"/>
                  <w:vAlign w:val="center"/>
                </w:tcPr>
                <w:p w14:paraId="20E332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49056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FFDAC2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3E488A2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BCAC3D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F422BC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全市重点河流沿岸、重要饮用水水源地补给区，严格控制化学原料和化学制品制造、医药制造、制革、造纸、焦化、化学纤维制造、石油加工、纺织印染等项目环境风险，合理布局生产装置及危险化学品仓储等设施。重大项目原则上布局在优化开发区和重点开发区，并符合城乡规划和土地利用总体规划。</w:t>
                  </w:r>
                </w:p>
              </w:tc>
              <w:tc>
                <w:tcPr>
                  <w:tcW w:w="1844" w:type="dxa"/>
                  <w:gridSpan w:val="2"/>
                  <w:tcBorders>
                    <w:tl2br w:val="nil"/>
                    <w:tr2bl w:val="nil"/>
                  </w:tcBorders>
                  <w:noWrap w:val="0"/>
                  <w:vAlign w:val="center"/>
                </w:tcPr>
                <w:p w14:paraId="1AC1A5B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B8F40A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5CDF31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A7016A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0D09CF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32455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未按照规定完成污水集中处理设施以及管网建设的工业园区（工业集聚区），暂停审批和核准其增加水污染物排放的建设项目。向污水集中处理设施排放工业废水的，应当按照国家有关规定进行预处理，达到集中处理设施处理工艺要求后方可排放。</w:t>
                  </w:r>
                </w:p>
              </w:tc>
              <w:tc>
                <w:tcPr>
                  <w:tcW w:w="1844" w:type="dxa"/>
                  <w:gridSpan w:val="2"/>
                  <w:tcBorders>
                    <w:tl2br w:val="nil"/>
                    <w:tr2bl w:val="nil"/>
                  </w:tcBorders>
                  <w:noWrap w:val="0"/>
                  <w:vAlign w:val="center"/>
                </w:tcPr>
                <w:p w14:paraId="786222C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本项目不新增</w:t>
                  </w:r>
                  <w:r>
                    <w:rPr>
                      <w:rFonts w:hint="eastAsia"/>
                      <w:color w:val="auto"/>
                      <w:sz w:val="21"/>
                      <w:szCs w:val="21"/>
                      <w:lang w:eastAsia="zh-CN"/>
                    </w:rPr>
                    <w:t>生产、生活</w:t>
                  </w:r>
                  <w:r>
                    <w:rPr>
                      <w:rFonts w:hint="eastAsia"/>
                      <w:color w:val="auto"/>
                      <w:sz w:val="21"/>
                      <w:szCs w:val="21"/>
                    </w:rPr>
                    <w:t>废水排放。</w:t>
                  </w:r>
                </w:p>
              </w:tc>
              <w:tc>
                <w:tcPr>
                  <w:tcW w:w="657" w:type="dxa"/>
                  <w:gridSpan w:val="2"/>
                  <w:tcBorders>
                    <w:tl2br w:val="nil"/>
                    <w:tr2bl w:val="nil"/>
                  </w:tcBorders>
                  <w:noWrap w:val="0"/>
                  <w:vAlign w:val="center"/>
                </w:tcPr>
                <w:p w14:paraId="2866C5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41617A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75B917D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AA82B7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61F842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推进现有企业向依法合规设立、环保设施齐全、符合规划环评要求、满足水法律法规规定的工业集聚区集中，明确涉水工业企业入园时间表；确因不具备入园条件需原地保留的涉水工业企业，明确保留条件，其中直排环境企业应达到排入水体功能区标准。</w:t>
                  </w:r>
                </w:p>
              </w:tc>
              <w:tc>
                <w:tcPr>
                  <w:tcW w:w="1844" w:type="dxa"/>
                  <w:gridSpan w:val="2"/>
                  <w:tcBorders>
                    <w:tl2br w:val="nil"/>
                    <w:tr2bl w:val="nil"/>
                  </w:tcBorders>
                  <w:noWrap w:val="0"/>
                  <w:vAlign w:val="center"/>
                </w:tcPr>
                <w:p w14:paraId="5049B51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本项目不新增</w:t>
                  </w:r>
                  <w:r>
                    <w:rPr>
                      <w:rFonts w:hint="eastAsia"/>
                      <w:color w:val="auto"/>
                      <w:sz w:val="21"/>
                      <w:szCs w:val="21"/>
                      <w:lang w:eastAsia="zh-CN"/>
                    </w:rPr>
                    <w:t>生产、生活</w:t>
                  </w:r>
                  <w:r>
                    <w:rPr>
                      <w:rFonts w:hint="eastAsia"/>
                      <w:color w:val="auto"/>
                      <w:sz w:val="21"/>
                      <w:szCs w:val="21"/>
                    </w:rPr>
                    <w:t>废水排放。</w:t>
                  </w:r>
                </w:p>
              </w:tc>
              <w:tc>
                <w:tcPr>
                  <w:tcW w:w="657" w:type="dxa"/>
                  <w:gridSpan w:val="2"/>
                  <w:tcBorders>
                    <w:tl2br w:val="nil"/>
                    <w:tr2bl w:val="nil"/>
                  </w:tcBorders>
                  <w:noWrap w:val="0"/>
                  <w:vAlign w:val="center"/>
                </w:tcPr>
                <w:p w14:paraId="234B8EC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8DEF61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40A018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restart"/>
                  <w:tcBorders>
                    <w:tl2br w:val="nil"/>
                    <w:tr2bl w:val="nil"/>
                  </w:tcBorders>
                  <w:noWrap w:val="0"/>
                  <w:vAlign w:val="center"/>
                </w:tcPr>
                <w:p w14:paraId="2AB316F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污染物排放管控</w:t>
                  </w:r>
                </w:p>
              </w:tc>
              <w:tc>
                <w:tcPr>
                  <w:tcW w:w="8618" w:type="dxa"/>
                  <w:gridSpan w:val="2"/>
                  <w:tcBorders>
                    <w:tl2br w:val="nil"/>
                    <w:tr2bl w:val="nil"/>
                  </w:tcBorders>
                  <w:noWrap w:val="0"/>
                  <w:vAlign w:val="center"/>
                </w:tcPr>
                <w:p w14:paraId="18EA7E1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严格控制高污染、高耗水行业新增产能。产能过剩产业实行新增产能等量替代、涉水主要污染物排放同行业倍量替代。对造纸、焦化、氮肥、石油化工、印染、农副食品加工、原料药制造、制革、农药、电镀等“十大”重点行业，新建、改建、扩建项目实行新增主要污染物排放倍量替代。</w:t>
                  </w:r>
                </w:p>
              </w:tc>
              <w:tc>
                <w:tcPr>
                  <w:tcW w:w="1844" w:type="dxa"/>
                  <w:gridSpan w:val="2"/>
                  <w:tcBorders>
                    <w:tl2br w:val="nil"/>
                    <w:tr2bl w:val="nil"/>
                  </w:tcBorders>
                  <w:noWrap w:val="0"/>
                  <w:vAlign w:val="center"/>
                </w:tcPr>
                <w:p w14:paraId="447E86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本项目不属于高污染、高耗水行业，不属于“十大重点”行业。</w:t>
                  </w:r>
                </w:p>
              </w:tc>
              <w:tc>
                <w:tcPr>
                  <w:tcW w:w="657" w:type="dxa"/>
                  <w:gridSpan w:val="2"/>
                  <w:tcBorders>
                    <w:tl2br w:val="nil"/>
                    <w:tr2bl w:val="nil"/>
                  </w:tcBorders>
                  <w:noWrap w:val="0"/>
                  <w:vAlign w:val="center"/>
                </w:tcPr>
                <w:p w14:paraId="646122C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74F8A7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0" w:hRule="atLeast"/>
                <w:jc w:val="center"/>
              </w:trPr>
              <w:tc>
                <w:tcPr>
                  <w:tcW w:w="545" w:type="dxa"/>
                  <w:vMerge w:val="continue"/>
                  <w:tcBorders>
                    <w:tl2br w:val="nil"/>
                    <w:tr2bl w:val="nil"/>
                  </w:tcBorders>
                  <w:noWrap w:val="0"/>
                  <w:vAlign w:val="center"/>
                </w:tcPr>
                <w:p w14:paraId="13234C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08304C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4A1C8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全面加强城镇污水管网建设，提升污水收集能力。扩大城镇污水管网覆盖范围，推进新建城区、扩建新区以及城乡结合部等污水截留、收集纳管；进一步加强城区支管、毛细管等管网建设，提高污水收集率。推进城镇排水系统雨污分流建设，新建城区、扩建新区、新开发区建设排水管网一律实行雨污分流；强化各县（市、区）城区和重点城镇污水管网建设，新建污水处理设施应与配套管网同步设计、同步建设、同步投运。推进初期雨水收集、处理与资源化利用。</w:t>
                  </w:r>
                </w:p>
              </w:tc>
              <w:tc>
                <w:tcPr>
                  <w:tcW w:w="1844" w:type="dxa"/>
                  <w:gridSpan w:val="2"/>
                  <w:tcBorders>
                    <w:tl2br w:val="nil"/>
                    <w:tr2bl w:val="nil"/>
                  </w:tcBorders>
                  <w:noWrap w:val="0"/>
                  <w:vAlign w:val="center"/>
                </w:tcPr>
                <w:p w14:paraId="2258A4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本项目无新增</w:t>
                  </w:r>
                  <w:r>
                    <w:rPr>
                      <w:rFonts w:hint="eastAsia"/>
                      <w:color w:val="auto"/>
                      <w:sz w:val="21"/>
                      <w:szCs w:val="21"/>
                      <w:lang w:eastAsia="zh-CN"/>
                    </w:rPr>
                    <w:t>生产、生活</w:t>
                  </w:r>
                  <w:r>
                    <w:rPr>
                      <w:rFonts w:hint="eastAsia"/>
                      <w:color w:val="auto"/>
                      <w:sz w:val="21"/>
                      <w:szCs w:val="21"/>
                    </w:rPr>
                    <w:t>废水排放。不涉及</w:t>
                  </w:r>
                  <w:r>
                    <w:rPr>
                      <w:rFonts w:hint="eastAsia"/>
                      <w:color w:val="auto"/>
                      <w:sz w:val="21"/>
                      <w:szCs w:val="21"/>
                      <w:lang w:val="zh-TW"/>
                    </w:rPr>
                    <w:t>初期雨水收集。</w:t>
                  </w:r>
                </w:p>
              </w:tc>
              <w:tc>
                <w:tcPr>
                  <w:tcW w:w="657" w:type="dxa"/>
                  <w:gridSpan w:val="2"/>
                  <w:tcBorders>
                    <w:tl2br w:val="nil"/>
                    <w:tr2bl w:val="nil"/>
                  </w:tcBorders>
                  <w:noWrap w:val="0"/>
                  <w:vAlign w:val="center"/>
                </w:tcPr>
                <w:p w14:paraId="5C1EA3D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53361D5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9AB80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90F494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16050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强化工业污水限期达标整治。推进废水直排外环境的工业企业全面达标排放。强化入河排污口监督管理，推动入河排污口规范化建设，取缔非法入河排污口。加大超标排放整治力度，对超标和超总量的企业依法查处，对企业超标现象普遍、超标企业集中地区政府采取挂牌督办、公开约谈等措施。对整治仍不能达到要求且情节严重的企业，由所在地政府依法责令限期关闭。</w:t>
                  </w:r>
                </w:p>
              </w:tc>
              <w:tc>
                <w:tcPr>
                  <w:tcW w:w="1844" w:type="dxa"/>
                  <w:gridSpan w:val="2"/>
                  <w:tcBorders>
                    <w:tl2br w:val="nil"/>
                    <w:tr2bl w:val="nil"/>
                  </w:tcBorders>
                  <w:noWrap w:val="0"/>
                  <w:vAlign w:val="center"/>
                </w:tcPr>
                <w:p w14:paraId="3E5C86E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本项目无新增</w:t>
                  </w:r>
                  <w:r>
                    <w:rPr>
                      <w:rFonts w:hint="eastAsia"/>
                      <w:color w:val="auto"/>
                      <w:sz w:val="21"/>
                      <w:szCs w:val="21"/>
                      <w:lang w:eastAsia="zh-CN"/>
                    </w:rPr>
                    <w:t>生产、生活</w:t>
                  </w:r>
                  <w:r>
                    <w:rPr>
                      <w:rFonts w:hint="eastAsia"/>
                      <w:color w:val="auto"/>
                      <w:sz w:val="21"/>
                      <w:szCs w:val="21"/>
                    </w:rPr>
                    <w:t>废水排放。</w:t>
                  </w:r>
                </w:p>
              </w:tc>
              <w:tc>
                <w:tcPr>
                  <w:tcW w:w="657" w:type="dxa"/>
                  <w:gridSpan w:val="2"/>
                  <w:tcBorders>
                    <w:tl2br w:val="nil"/>
                    <w:tr2bl w:val="nil"/>
                  </w:tcBorders>
                  <w:noWrap w:val="0"/>
                  <w:vAlign w:val="center"/>
                </w:tcPr>
                <w:p w14:paraId="16CF699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05D49C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521B05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0F7100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042B5B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、推进农业面源污染治理。减少化肥农药使用量，严格控制高毒高风险农药使用，推进有机肥替代化肥、病虫害绿色防控替代化学防治，积极推进废旧农膜回收，完善废旧地膜和包装废弃物等回收处理制度。</w:t>
                  </w:r>
                </w:p>
              </w:tc>
              <w:tc>
                <w:tcPr>
                  <w:tcW w:w="1844" w:type="dxa"/>
                  <w:gridSpan w:val="2"/>
                  <w:tcBorders>
                    <w:tl2br w:val="nil"/>
                    <w:tr2bl w:val="nil"/>
                  </w:tcBorders>
                  <w:noWrap w:val="0"/>
                  <w:vAlign w:val="center"/>
                </w:tcPr>
                <w:p w14:paraId="2160442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102C4F8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01AEC1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72" w:hRule="atLeast"/>
                <w:jc w:val="center"/>
              </w:trPr>
              <w:tc>
                <w:tcPr>
                  <w:tcW w:w="545" w:type="dxa"/>
                  <w:vMerge w:val="continue"/>
                  <w:tcBorders>
                    <w:tl2br w:val="nil"/>
                    <w:tr2bl w:val="nil"/>
                  </w:tcBorders>
                  <w:noWrap w:val="0"/>
                  <w:vAlign w:val="center"/>
                </w:tcPr>
                <w:p w14:paraId="4495BB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55DCA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191988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、推进养殖废弃物资源化利用。坚持种植和养殖相结合，就地就近消纳利用畜禽养殖废弃物。合理布局水产养殖空间，深入推进生态健康养殖，开展重点河流湖库及近岸海域破坏生态环境的养殖方式综合整治。</w:t>
                  </w:r>
                </w:p>
              </w:tc>
              <w:tc>
                <w:tcPr>
                  <w:tcW w:w="1844" w:type="dxa"/>
                  <w:gridSpan w:val="2"/>
                  <w:tcBorders>
                    <w:tl2br w:val="nil"/>
                    <w:tr2bl w:val="nil"/>
                  </w:tcBorders>
                  <w:noWrap w:val="0"/>
                  <w:vAlign w:val="center"/>
                </w:tcPr>
                <w:p w14:paraId="00E5ED7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0FD5826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56CF4F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0B3858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DBC64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26285A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6</w:t>
                  </w:r>
                  <w:r>
                    <w:rPr>
                      <w:rFonts w:hint="eastAsia"/>
                      <w:color w:val="auto"/>
                      <w:sz w:val="21"/>
                      <w:szCs w:val="21"/>
                    </w:rPr>
                    <w:t>、实施总氮排放总量控制，新建、改建、扩建涉及总氮排放的建设项目，实施总氮排放总量指标减量替代，并在相关单位排污许可证中予以明确、严格落实，严控新增总氮排放量。</w:t>
                  </w:r>
                </w:p>
              </w:tc>
              <w:tc>
                <w:tcPr>
                  <w:tcW w:w="1844" w:type="dxa"/>
                  <w:gridSpan w:val="2"/>
                  <w:tcBorders>
                    <w:tl2br w:val="nil"/>
                    <w:tr2bl w:val="nil"/>
                  </w:tcBorders>
                  <w:noWrap w:val="0"/>
                  <w:vAlign w:val="center"/>
                </w:tcPr>
                <w:p w14:paraId="075497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本项目无新增</w:t>
                  </w:r>
                  <w:r>
                    <w:rPr>
                      <w:rFonts w:hint="eastAsia"/>
                      <w:color w:val="auto"/>
                      <w:sz w:val="21"/>
                      <w:szCs w:val="21"/>
                      <w:lang w:eastAsia="zh-CN"/>
                    </w:rPr>
                    <w:t>生产、生活</w:t>
                  </w:r>
                  <w:r>
                    <w:rPr>
                      <w:rFonts w:hint="eastAsia"/>
                      <w:color w:val="auto"/>
                      <w:sz w:val="21"/>
                      <w:szCs w:val="21"/>
                    </w:rPr>
                    <w:t>废水排放。</w:t>
                  </w:r>
                </w:p>
              </w:tc>
              <w:tc>
                <w:tcPr>
                  <w:tcW w:w="657" w:type="dxa"/>
                  <w:gridSpan w:val="2"/>
                  <w:tcBorders>
                    <w:tl2br w:val="nil"/>
                    <w:tr2bl w:val="nil"/>
                  </w:tcBorders>
                  <w:noWrap w:val="0"/>
                  <w:vAlign w:val="center"/>
                </w:tcPr>
                <w:p w14:paraId="74D5F1D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956CEB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51C3390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tcBorders>
                    <w:tl2br w:val="nil"/>
                    <w:tr2bl w:val="nil"/>
                  </w:tcBorders>
                  <w:noWrap w:val="0"/>
                  <w:vAlign w:val="center"/>
                </w:tcPr>
                <w:p w14:paraId="39D21C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环境风险防控</w:t>
                  </w:r>
                </w:p>
              </w:tc>
              <w:tc>
                <w:tcPr>
                  <w:tcW w:w="8618" w:type="dxa"/>
                  <w:gridSpan w:val="2"/>
                  <w:tcBorders>
                    <w:tl2br w:val="nil"/>
                    <w:tr2bl w:val="nil"/>
                  </w:tcBorders>
                  <w:noWrap w:val="0"/>
                  <w:vAlign w:val="center"/>
                </w:tcPr>
                <w:p w14:paraId="0339185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rFonts w:hint="eastAsia"/>
                      <w:color w:val="auto"/>
                      <w:sz w:val="21"/>
                      <w:szCs w:val="21"/>
                    </w:rPr>
                    <w:t>有效防控水源地环境风险。每年对集中式饮用水水源保护区开展基础调查与评估，将可能影响水源水质安全的风险源全部列入档案，加强风险应急防控，建立联防联控应急机制。推广供水水厂应急净化技术，储备应急供水专项物资，配置移动式应急净水设备，加强应急抢险专业队伍建设，及时有效处置饮用水水源突发环境事件。</w:t>
                  </w:r>
                </w:p>
              </w:tc>
              <w:tc>
                <w:tcPr>
                  <w:tcW w:w="1844" w:type="dxa"/>
                  <w:gridSpan w:val="2"/>
                  <w:tcBorders>
                    <w:tl2br w:val="nil"/>
                    <w:tr2bl w:val="nil"/>
                  </w:tcBorders>
                  <w:noWrap w:val="0"/>
                  <w:vAlign w:val="center"/>
                </w:tcPr>
                <w:p w14:paraId="43C669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本项目评价范围内无集中式饮用水水源保护区。</w:t>
                  </w:r>
                </w:p>
              </w:tc>
              <w:tc>
                <w:tcPr>
                  <w:tcW w:w="657" w:type="dxa"/>
                  <w:gridSpan w:val="2"/>
                  <w:tcBorders>
                    <w:tl2br w:val="nil"/>
                    <w:tr2bl w:val="nil"/>
                  </w:tcBorders>
                  <w:noWrap w:val="0"/>
                  <w:vAlign w:val="center"/>
                </w:tcPr>
                <w:p w14:paraId="60F4CC7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B7B0E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D7D19C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restart"/>
                  <w:tcBorders>
                    <w:tl2br w:val="nil"/>
                    <w:tr2bl w:val="nil"/>
                  </w:tcBorders>
                  <w:noWrap w:val="0"/>
                  <w:vAlign w:val="center"/>
                </w:tcPr>
                <w:p w14:paraId="25BD17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资源开发利用</w:t>
                  </w:r>
                </w:p>
              </w:tc>
              <w:tc>
                <w:tcPr>
                  <w:tcW w:w="8618" w:type="dxa"/>
                  <w:gridSpan w:val="2"/>
                  <w:tcBorders>
                    <w:tl2br w:val="nil"/>
                    <w:tr2bl w:val="nil"/>
                  </w:tcBorders>
                  <w:noWrap w:val="0"/>
                  <w:vAlign w:val="center"/>
                </w:tcPr>
                <w:p w14:paraId="25C0A7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、开展用水效率评估，建立万元工业增加值水耗指标等用水效率评估体系，把节水目标任务完成情况纳入地方政府政绩考核。将再生水、雨水和微咸水等非常规水源纳入水资源统一配置。</w:t>
                  </w:r>
                </w:p>
              </w:tc>
              <w:tc>
                <w:tcPr>
                  <w:tcW w:w="1844" w:type="dxa"/>
                  <w:gridSpan w:val="2"/>
                  <w:tcBorders>
                    <w:tl2br w:val="nil"/>
                    <w:tr2bl w:val="nil"/>
                  </w:tcBorders>
                  <w:noWrap w:val="0"/>
                  <w:vAlign w:val="center"/>
                </w:tcPr>
                <w:p w14:paraId="1811823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w:t>
                  </w:r>
                  <w:r>
                    <w:rPr>
                      <w:rFonts w:hint="eastAsia"/>
                      <w:color w:val="auto"/>
                      <w:sz w:val="21"/>
                      <w:szCs w:val="21"/>
                      <w:lang w:eastAsia="zh-CN"/>
                    </w:rPr>
                    <w:t>节约用水，洗车废水经沉淀后循环使用</w:t>
                  </w:r>
                  <w:r>
                    <w:rPr>
                      <w:rFonts w:hint="eastAsia"/>
                      <w:color w:val="auto"/>
                      <w:sz w:val="21"/>
                      <w:szCs w:val="21"/>
                    </w:rPr>
                    <w:t>。</w:t>
                  </w:r>
                </w:p>
              </w:tc>
              <w:tc>
                <w:tcPr>
                  <w:tcW w:w="657" w:type="dxa"/>
                  <w:gridSpan w:val="2"/>
                  <w:tcBorders>
                    <w:tl2br w:val="nil"/>
                    <w:tr2bl w:val="nil"/>
                  </w:tcBorders>
                  <w:noWrap w:val="0"/>
                  <w:vAlign w:val="center"/>
                </w:tcPr>
                <w:p w14:paraId="6966D42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334991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110" w:hRule="atLeast"/>
                <w:jc w:val="center"/>
              </w:trPr>
              <w:tc>
                <w:tcPr>
                  <w:tcW w:w="545" w:type="dxa"/>
                  <w:vMerge w:val="continue"/>
                  <w:tcBorders>
                    <w:tl2br w:val="nil"/>
                    <w:tr2bl w:val="nil"/>
                  </w:tcBorders>
                  <w:noWrap w:val="0"/>
                  <w:vAlign w:val="center"/>
                </w:tcPr>
                <w:p w14:paraId="287A709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21F626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27E2A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发展农业节水。调整农业种植结构，发展旱作节水农业，推进田间节水设施建设，大力推广耐旱节水品种、耕作保墒、地膜覆盖、秸秆还田、水肥一体化等农业综合节水技术。推广渠道防渗、管道输水、喷灌、微灌、农作物节水抗旱等技术，完善灌溉用水计量设施，推进规模化高效节水灌溉。加快高效节水灌溉示范项目建设，粮食主产区大力推广以高标准管灌为主的节水灌溉工程，蔬菜、果品和经济种植区大力推广微滴灌技术，规模化农场、承包大户积极推广喷灌技术。地上水灌区实施续建配套与节水改造。</w:t>
                  </w:r>
                </w:p>
              </w:tc>
              <w:tc>
                <w:tcPr>
                  <w:tcW w:w="1844" w:type="dxa"/>
                  <w:gridSpan w:val="2"/>
                  <w:tcBorders>
                    <w:tl2br w:val="nil"/>
                    <w:tr2bl w:val="nil"/>
                  </w:tcBorders>
                  <w:noWrap w:val="0"/>
                  <w:vAlign w:val="center"/>
                </w:tcPr>
                <w:p w14:paraId="4157495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7A2743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435DC3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restart"/>
                  <w:tcBorders>
                    <w:tl2br w:val="nil"/>
                    <w:tr2bl w:val="nil"/>
                  </w:tcBorders>
                  <w:noWrap w:val="0"/>
                  <w:vAlign w:val="center"/>
                </w:tcPr>
                <w:p w14:paraId="4FBC9F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土壤及地下水环境</w:t>
                  </w:r>
                </w:p>
              </w:tc>
              <w:tc>
                <w:tcPr>
                  <w:tcW w:w="994" w:type="dxa"/>
                  <w:gridSpan w:val="3"/>
                  <w:vMerge w:val="restart"/>
                  <w:tcBorders>
                    <w:tl2br w:val="nil"/>
                    <w:tr2bl w:val="nil"/>
                  </w:tcBorders>
                  <w:noWrap w:val="0"/>
                  <w:vAlign w:val="center"/>
                </w:tcPr>
                <w:p w14:paraId="093BF14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空间布局约束</w:t>
                  </w:r>
                </w:p>
              </w:tc>
              <w:tc>
                <w:tcPr>
                  <w:tcW w:w="8618" w:type="dxa"/>
                  <w:gridSpan w:val="2"/>
                  <w:tcBorders>
                    <w:tl2br w:val="nil"/>
                    <w:tr2bl w:val="nil"/>
                  </w:tcBorders>
                  <w:noWrap w:val="0"/>
                  <w:vAlign w:val="center"/>
                </w:tcPr>
                <w:p w14:paraId="4E1666F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、严格执行相关行业企业布局选址要求，禁止在居民区和学校、医院、疗养院、养老院等单位周边新建、改建、扩建可能造成土壤污染的建设项目。</w:t>
                  </w:r>
                </w:p>
              </w:tc>
              <w:tc>
                <w:tcPr>
                  <w:tcW w:w="1844" w:type="dxa"/>
                  <w:gridSpan w:val="2"/>
                  <w:tcBorders>
                    <w:tl2br w:val="nil"/>
                    <w:tr2bl w:val="nil"/>
                  </w:tcBorders>
                  <w:noWrap w:val="0"/>
                  <w:vAlign w:val="center"/>
                </w:tcPr>
                <w:p w14:paraId="2569877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本项目不新增占地。</w:t>
                  </w:r>
                </w:p>
              </w:tc>
              <w:tc>
                <w:tcPr>
                  <w:tcW w:w="657" w:type="dxa"/>
                  <w:gridSpan w:val="2"/>
                  <w:tcBorders>
                    <w:tl2br w:val="nil"/>
                    <w:tr2bl w:val="nil"/>
                  </w:tcBorders>
                  <w:noWrap w:val="0"/>
                  <w:vAlign w:val="center"/>
                </w:tcPr>
                <w:p w14:paraId="1C0510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006471A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0C2CA91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C0132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1ACD9B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color w:val="auto"/>
                      <w:sz w:val="21"/>
                      <w:szCs w:val="21"/>
                    </w:rPr>
                    <w:t>2</w:t>
                  </w:r>
                  <w:r>
                    <w:rPr>
                      <w:rFonts w:hint="eastAsia"/>
                      <w:color w:val="auto"/>
                      <w:sz w:val="21"/>
                      <w:szCs w:val="21"/>
                    </w:rPr>
                    <w:t>、禁止在集中式地下水饮用水水源地建设需要取水的地热能开发利用项目。禁止抽取难以更新的地下水用于需要取水的地热能开发利用项目。</w:t>
                  </w:r>
                </w:p>
              </w:tc>
              <w:tc>
                <w:tcPr>
                  <w:tcW w:w="1844" w:type="dxa"/>
                  <w:gridSpan w:val="2"/>
                  <w:tcBorders>
                    <w:tl2br w:val="nil"/>
                    <w:tr2bl w:val="nil"/>
                  </w:tcBorders>
                  <w:noWrap w:val="0"/>
                  <w:vAlign w:val="center"/>
                </w:tcPr>
                <w:p w14:paraId="096FFA8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本项目评价范围内不涉及集中式地下水饮用水水源地。</w:t>
                  </w:r>
                </w:p>
              </w:tc>
              <w:tc>
                <w:tcPr>
                  <w:tcW w:w="657" w:type="dxa"/>
                  <w:gridSpan w:val="2"/>
                  <w:tcBorders>
                    <w:tl2br w:val="nil"/>
                    <w:tr2bl w:val="nil"/>
                  </w:tcBorders>
                  <w:noWrap w:val="0"/>
                  <w:vAlign w:val="center"/>
                </w:tcPr>
                <w:p w14:paraId="1460B3D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FC4E68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5A9E41C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C39946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80EE10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color w:val="auto"/>
                      <w:sz w:val="21"/>
                      <w:szCs w:val="21"/>
                    </w:rPr>
                    <w:t>3</w:t>
                  </w:r>
                  <w:r>
                    <w:rPr>
                      <w:rFonts w:hint="eastAsia"/>
                      <w:color w:val="auto"/>
                      <w:sz w:val="21"/>
                      <w:szCs w:val="21"/>
                    </w:rPr>
                    <w:t>、地下水饮用水水源地优先保护区管控参照生态环境空间总体管控要求中地下水饮用水水源地保护区总体管控要求。</w:t>
                  </w:r>
                </w:p>
              </w:tc>
              <w:tc>
                <w:tcPr>
                  <w:tcW w:w="1844" w:type="dxa"/>
                  <w:gridSpan w:val="2"/>
                  <w:tcBorders>
                    <w:tl2br w:val="nil"/>
                    <w:tr2bl w:val="nil"/>
                  </w:tcBorders>
                  <w:noWrap w:val="0"/>
                  <w:vAlign w:val="center"/>
                </w:tcPr>
                <w:p w14:paraId="057A0CA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B045AF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3C97B4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51254DC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restart"/>
                  <w:tcBorders>
                    <w:tl2br w:val="nil"/>
                    <w:tr2bl w:val="nil"/>
                  </w:tcBorders>
                  <w:noWrap w:val="0"/>
                  <w:vAlign w:val="center"/>
                </w:tcPr>
                <w:p w14:paraId="32110C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污染物排放管控</w:t>
                  </w:r>
                </w:p>
              </w:tc>
              <w:tc>
                <w:tcPr>
                  <w:tcW w:w="8618" w:type="dxa"/>
                  <w:gridSpan w:val="2"/>
                  <w:tcBorders>
                    <w:tl2br w:val="nil"/>
                    <w:tr2bl w:val="nil"/>
                  </w:tcBorders>
                  <w:noWrap w:val="0"/>
                  <w:vAlign w:val="center"/>
                </w:tcPr>
                <w:p w14:paraId="4A7D1A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、严禁将污泥直接用作肥料，禁止不达标污泥就地堆放，结合污泥处理设施升级改造，逐步取消原生污泥简易填埋等不符合环保要求的处置方式。鼓励利用水泥厂等工业窑炉，开展污泥协同焚烧处置。</w:t>
                  </w:r>
                </w:p>
              </w:tc>
              <w:tc>
                <w:tcPr>
                  <w:tcW w:w="1844" w:type="dxa"/>
                  <w:gridSpan w:val="2"/>
                  <w:tcBorders>
                    <w:tl2br w:val="nil"/>
                    <w:tr2bl w:val="nil"/>
                  </w:tcBorders>
                  <w:noWrap w:val="0"/>
                  <w:vAlign w:val="center"/>
                </w:tcPr>
                <w:p w14:paraId="44868B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w:t>
                  </w:r>
                  <w:r>
                    <w:rPr>
                      <w:rFonts w:hint="eastAsia"/>
                      <w:color w:val="auto"/>
                      <w:sz w:val="21"/>
                      <w:szCs w:val="21"/>
                      <w:lang w:eastAsia="zh-CN"/>
                    </w:rPr>
                    <w:t>不涉及污泥</w:t>
                  </w:r>
                  <w:r>
                    <w:rPr>
                      <w:rFonts w:hint="eastAsia"/>
                      <w:color w:val="auto"/>
                      <w:sz w:val="21"/>
                      <w:szCs w:val="21"/>
                    </w:rPr>
                    <w:t>。</w:t>
                  </w:r>
                </w:p>
              </w:tc>
              <w:tc>
                <w:tcPr>
                  <w:tcW w:w="657" w:type="dxa"/>
                  <w:gridSpan w:val="2"/>
                  <w:tcBorders>
                    <w:tl2br w:val="nil"/>
                    <w:tr2bl w:val="nil"/>
                  </w:tcBorders>
                  <w:noWrap w:val="0"/>
                  <w:vAlign w:val="center"/>
                </w:tcPr>
                <w:p w14:paraId="17D9141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1A73E2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EAB15C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21687EE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50AFCA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严格落实总量控制制度，减少重金属污染物排放。新、改、扩建涉重金属重点行业建设项目，污染物排放实施等量或倍量替换，对重金属排放量继续上升的地区，暂停审批新增重金属污染物排放的建设项目。加大减排项目督导力度，确保项目按期实施。</w:t>
                  </w:r>
                </w:p>
              </w:tc>
              <w:tc>
                <w:tcPr>
                  <w:tcW w:w="1844" w:type="dxa"/>
                  <w:gridSpan w:val="2"/>
                  <w:tcBorders>
                    <w:tl2br w:val="nil"/>
                    <w:tr2bl w:val="nil"/>
                  </w:tcBorders>
                  <w:noWrap w:val="0"/>
                  <w:vAlign w:val="center"/>
                </w:tcPr>
                <w:p w14:paraId="0F7B3FA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本项目不涉及重金属排放。</w:t>
                  </w:r>
                </w:p>
              </w:tc>
              <w:tc>
                <w:tcPr>
                  <w:tcW w:w="657" w:type="dxa"/>
                  <w:gridSpan w:val="2"/>
                  <w:tcBorders>
                    <w:tl2br w:val="nil"/>
                    <w:tr2bl w:val="nil"/>
                  </w:tcBorders>
                  <w:noWrap w:val="0"/>
                  <w:vAlign w:val="center"/>
                </w:tcPr>
                <w:p w14:paraId="1948869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27DE80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56" w:hRule="atLeast"/>
                <w:jc w:val="center"/>
              </w:trPr>
              <w:tc>
                <w:tcPr>
                  <w:tcW w:w="545" w:type="dxa"/>
                  <w:vMerge w:val="continue"/>
                  <w:tcBorders>
                    <w:tl2br w:val="nil"/>
                    <w:tr2bl w:val="nil"/>
                  </w:tcBorders>
                  <w:noWrap w:val="0"/>
                  <w:vAlign w:val="center"/>
                </w:tcPr>
                <w:p w14:paraId="154ABAB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61F80A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EEF77B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严格危险废物经营许可审批，加强危险废物处置单位规范化管理核查。统筹推进危险废物利用处置能力建设，加快补齐利用处置设施短板。积极推进重点监管源智能监控体系建设，加大危险废物产生、贮存、转运、利用、处置全流程监管力度。规范和完善医疗废物分类收集处置体系。</w:t>
                  </w:r>
                </w:p>
              </w:tc>
              <w:tc>
                <w:tcPr>
                  <w:tcW w:w="1844" w:type="dxa"/>
                  <w:gridSpan w:val="2"/>
                  <w:tcBorders>
                    <w:tl2br w:val="nil"/>
                    <w:tr2bl w:val="nil"/>
                  </w:tcBorders>
                  <w:noWrap w:val="0"/>
                  <w:vAlign w:val="center"/>
                </w:tcPr>
                <w:p w14:paraId="2DF90A0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本项目不属于危险废物处置单位。</w:t>
                  </w:r>
                </w:p>
              </w:tc>
              <w:tc>
                <w:tcPr>
                  <w:tcW w:w="657" w:type="dxa"/>
                  <w:gridSpan w:val="2"/>
                  <w:tcBorders>
                    <w:tl2br w:val="nil"/>
                    <w:tr2bl w:val="nil"/>
                  </w:tcBorders>
                  <w:noWrap w:val="0"/>
                  <w:vAlign w:val="center"/>
                </w:tcPr>
                <w:p w14:paraId="23884B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EE5C86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2DD9073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1C50E8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B2EF9E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建设和运行固体废物处置设施，应当采取防扬散、防流失、防渗漏等措施，依法贮存、利用、处置固体废物。处置生活垃圾，应当优先采用焚烧处理技术，有计划地实现垃圾零填埋，已有的垃圾填埋处置设施应当建设渗滤液收集和处理、处置设施，并采取相应措施防止土壤污染。</w:t>
                  </w:r>
                </w:p>
              </w:tc>
              <w:tc>
                <w:tcPr>
                  <w:tcW w:w="1844" w:type="dxa"/>
                  <w:gridSpan w:val="2"/>
                  <w:tcBorders>
                    <w:tl2br w:val="nil"/>
                    <w:tr2bl w:val="nil"/>
                  </w:tcBorders>
                  <w:noWrap w:val="0"/>
                  <w:vAlign w:val="center"/>
                </w:tcPr>
                <w:p w14:paraId="0011150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w:t>
                  </w:r>
                  <w:r>
                    <w:rPr>
                      <w:rFonts w:hint="eastAsia"/>
                      <w:color w:val="auto"/>
                      <w:sz w:val="21"/>
                      <w:szCs w:val="21"/>
                      <w:lang w:eastAsia="zh-CN"/>
                    </w:rPr>
                    <w:t>固体废物</w:t>
                  </w:r>
                  <w:r>
                    <w:rPr>
                      <w:rFonts w:hint="eastAsia"/>
                      <w:color w:val="auto"/>
                      <w:sz w:val="21"/>
                      <w:szCs w:val="21"/>
                    </w:rPr>
                    <w:t>采取防扬散、防流失、防渗漏等措施</w:t>
                  </w:r>
                  <w:r>
                    <w:rPr>
                      <w:rFonts w:hint="eastAsia"/>
                      <w:color w:val="auto"/>
                      <w:sz w:val="21"/>
                      <w:szCs w:val="21"/>
                      <w:lang w:eastAsia="zh-CN"/>
                    </w:rPr>
                    <w:t>，</w:t>
                  </w:r>
                  <w:r>
                    <w:rPr>
                      <w:rFonts w:hint="eastAsia"/>
                      <w:color w:val="auto"/>
                      <w:sz w:val="21"/>
                      <w:szCs w:val="21"/>
                    </w:rPr>
                    <w:t>固体废物妥善处置。</w:t>
                  </w:r>
                </w:p>
              </w:tc>
              <w:tc>
                <w:tcPr>
                  <w:tcW w:w="657" w:type="dxa"/>
                  <w:gridSpan w:val="2"/>
                  <w:tcBorders>
                    <w:tl2br w:val="nil"/>
                    <w:tr2bl w:val="nil"/>
                  </w:tcBorders>
                  <w:noWrap w:val="0"/>
                  <w:vAlign w:val="center"/>
                </w:tcPr>
                <w:p w14:paraId="174D21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2AD5714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3225AA7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CFE28F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E437A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、严格危险废物源头管控，优化利用处置结构布局，提高应急保障能力。发展生态循环农业，提升农业废弃物综合利用率。健全完善制度、技术、市场、监管四大政策体系，实现固体废物和危险废物全链条监管。</w:t>
                  </w:r>
                </w:p>
              </w:tc>
              <w:tc>
                <w:tcPr>
                  <w:tcW w:w="1844" w:type="dxa"/>
                  <w:gridSpan w:val="2"/>
                  <w:tcBorders>
                    <w:tl2br w:val="nil"/>
                    <w:tr2bl w:val="nil"/>
                  </w:tcBorders>
                  <w:noWrap w:val="0"/>
                  <w:vAlign w:val="center"/>
                </w:tcPr>
                <w:p w14:paraId="797E1E1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本项目危险废物</w:t>
                  </w:r>
                  <w:r>
                    <w:rPr>
                      <w:rFonts w:hint="eastAsia"/>
                      <w:color w:val="auto"/>
                      <w:sz w:val="21"/>
                      <w:szCs w:val="21"/>
                      <w:lang w:eastAsia="zh-CN"/>
                    </w:rPr>
                    <w:t>按照要求进行储存和合理处置</w:t>
                  </w:r>
                  <w:r>
                    <w:rPr>
                      <w:rFonts w:hint="eastAsia"/>
                      <w:color w:val="auto"/>
                      <w:sz w:val="21"/>
                      <w:szCs w:val="21"/>
                    </w:rPr>
                    <w:t>。不涉及农业废弃物。</w:t>
                  </w:r>
                </w:p>
              </w:tc>
              <w:tc>
                <w:tcPr>
                  <w:tcW w:w="657" w:type="dxa"/>
                  <w:gridSpan w:val="2"/>
                  <w:tcBorders>
                    <w:tl2br w:val="nil"/>
                    <w:tr2bl w:val="nil"/>
                  </w:tcBorders>
                  <w:noWrap w:val="0"/>
                  <w:vAlign w:val="center"/>
                </w:tcPr>
                <w:p w14:paraId="205D20A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符合</w:t>
                  </w:r>
                </w:p>
              </w:tc>
            </w:tr>
            <w:tr w14:paraId="5724F2B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233D5FA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restart"/>
                  <w:tcBorders>
                    <w:tl2br w:val="nil"/>
                    <w:tr2bl w:val="nil"/>
                  </w:tcBorders>
                  <w:noWrap w:val="0"/>
                  <w:vAlign w:val="center"/>
                </w:tcPr>
                <w:p w14:paraId="680840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环境风险防控</w:t>
                  </w:r>
                </w:p>
              </w:tc>
              <w:tc>
                <w:tcPr>
                  <w:tcW w:w="8618" w:type="dxa"/>
                  <w:gridSpan w:val="2"/>
                  <w:tcBorders>
                    <w:tl2br w:val="nil"/>
                    <w:tr2bl w:val="nil"/>
                  </w:tcBorders>
                  <w:noWrap w:val="0"/>
                  <w:vAlign w:val="center"/>
                </w:tcPr>
                <w:p w14:paraId="37347B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、每年对集中式饮用水水源保护区开展基础调查与评估，将可能影响水源水质安全的风险源全部列入档案，实行“一源一案”，对每个风险源开展隐患排查、整改，编制风险应急方案，建立联防联控应急机制。</w:t>
                  </w:r>
                </w:p>
              </w:tc>
              <w:tc>
                <w:tcPr>
                  <w:tcW w:w="1844" w:type="dxa"/>
                  <w:gridSpan w:val="2"/>
                  <w:tcBorders>
                    <w:tl2br w:val="nil"/>
                    <w:tr2bl w:val="nil"/>
                  </w:tcBorders>
                  <w:noWrap w:val="0"/>
                  <w:vAlign w:val="center"/>
                </w:tcPr>
                <w:p w14:paraId="7C030B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本项目评价范围内无集中式饮用水水源保护区。</w:t>
                  </w:r>
                </w:p>
              </w:tc>
              <w:tc>
                <w:tcPr>
                  <w:tcW w:w="657" w:type="dxa"/>
                  <w:gridSpan w:val="2"/>
                  <w:tcBorders>
                    <w:tl2br w:val="nil"/>
                    <w:tr2bl w:val="nil"/>
                  </w:tcBorders>
                  <w:noWrap w:val="0"/>
                  <w:vAlign w:val="center"/>
                </w:tcPr>
                <w:p w14:paraId="024A43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B66B6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FA327E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A19492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24236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、尾矿库运营、管理单位应当按照规定加强尾矿库的安全管理，采取措施防止土壤污染。危库、险库、病库以及其他需要重点监管的尾矿库运营、管理单位应当按照规定进行土壤污染状况监测和定期评估。</w:t>
                  </w:r>
                </w:p>
              </w:tc>
              <w:tc>
                <w:tcPr>
                  <w:tcW w:w="1844" w:type="dxa"/>
                  <w:gridSpan w:val="2"/>
                  <w:tcBorders>
                    <w:tl2br w:val="nil"/>
                    <w:tr2bl w:val="nil"/>
                  </w:tcBorders>
                  <w:noWrap w:val="0"/>
                  <w:vAlign w:val="center"/>
                </w:tcPr>
                <w:p w14:paraId="6150A2A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0D4650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10773C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74E62BA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F0DF59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E69D34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、产生、收集、贮存、运输、利用、处置危险废物的单位，应当依法制定意外事故的防范措施和应急预案，并向所在地生态环境主管部门和其他负有固体废物污染环境防治监督管理职责的部门备案。</w:t>
                  </w:r>
                </w:p>
              </w:tc>
              <w:tc>
                <w:tcPr>
                  <w:tcW w:w="1844" w:type="dxa"/>
                  <w:gridSpan w:val="2"/>
                  <w:tcBorders>
                    <w:tl2br w:val="nil"/>
                    <w:tr2bl w:val="nil"/>
                  </w:tcBorders>
                  <w:noWrap w:val="0"/>
                  <w:vAlign w:val="center"/>
                </w:tcPr>
                <w:p w14:paraId="5EEE8CC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w:t>
                  </w:r>
                  <w:r>
                    <w:rPr>
                      <w:rFonts w:hint="eastAsia"/>
                      <w:color w:val="auto"/>
                      <w:sz w:val="21"/>
                      <w:szCs w:val="21"/>
                      <w:lang w:eastAsia="zh-CN"/>
                    </w:rPr>
                    <w:t>按要求制定突发环境事件应急预案</w:t>
                  </w:r>
                  <w:r>
                    <w:rPr>
                      <w:rFonts w:hint="eastAsia"/>
                      <w:color w:val="auto"/>
                      <w:sz w:val="21"/>
                      <w:szCs w:val="21"/>
                    </w:rPr>
                    <w:t>。</w:t>
                  </w:r>
                </w:p>
              </w:tc>
              <w:tc>
                <w:tcPr>
                  <w:tcW w:w="657" w:type="dxa"/>
                  <w:gridSpan w:val="2"/>
                  <w:tcBorders>
                    <w:tl2br w:val="nil"/>
                    <w:tr2bl w:val="nil"/>
                  </w:tcBorders>
                  <w:noWrap w:val="0"/>
                  <w:vAlign w:val="center"/>
                </w:tcPr>
                <w:p w14:paraId="639E370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2D2564C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334A37B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B833B7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8003C9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严格落实耕地风险防范措施。对安全利用类耕地，应结合当地主要作物品种和种植习惯，采取农艺调控、低积累品种替代、轮作间作等措施，降低农产品超标风险；对严格管控类耕地，依法划定特定农产品禁止生产区域，鼓励采取调整种植结构、退耕还林还草、退耕还湿、轮作休耕等风险管控措施。</w:t>
                  </w:r>
                </w:p>
              </w:tc>
              <w:tc>
                <w:tcPr>
                  <w:tcW w:w="1844" w:type="dxa"/>
                  <w:gridSpan w:val="2"/>
                  <w:tcBorders>
                    <w:tl2br w:val="nil"/>
                    <w:tr2bl w:val="nil"/>
                  </w:tcBorders>
                  <w:noWrap w:val="0"/>
                  <w:vAlign w:val="center"/>
                </w:tcPr>
                <w:p w14:paraId="1E692DA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95A460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C2E6BF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64" w:hRule="atLeast"/>
                <w:jc w:val="center"/>
              </w:trPr>
              <w:tc>
                <w:tcPr>
                  <w:tcW w:w="545" w:type="dxa"/>
                  <w:vMerge w:val="continue"/>
                  <w:tcBorders>
                    <w:tl2br w:val="nil"/>
                    <w:tr2bl w:val="nil"/>
                  </w:tcBorders>
                  <w:noWrap w:val="0"/>
                  <w:vAlign w:val="center"/>
                </w:tcPr>
                <w:p w14:paraId="64B2E2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465A6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A39CAB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强化污染地块土壤环境联动监管。抓好退城搬迁工业企业工矿用地土壤环境监督管理，土壤污染重点监管单位拆除设施、设备或者建筑物、构筑物，要制定土壤污染防治工作方案并按要求备案，防范拆除活动造成土壤和地下水污染，切实保障生态环境安全。</w:t>
                  </w:r>
                </w:p>
              </w:tc>
              <w:tc>
                <w:tcPr>
                  <w:tcW w:w="1844" w:type="dxa"/>
                  <w:gridSpan w:val="2"/>
                  <w:tcBorders>
                    <w:tl2br w:val="nil"/>
                    <w:tr2bl w:val="nil"/>
                  </w:tcBorders>
                  <w:noWrap w:val="0"/>
                  <w:vAlign w:val="center"/>
                </w:tcPr>
                <w:p w14:paraId="461837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lang w:eastAsia="zh-CN"/>
                    </w:rPr>
                    <w:t>本项目</w:t>
                  </w:r>
                  <w:r>
                    <w:rPr>
                      <w:rFonts w:hint="eastAsia"/>
                      <w:color w:val="auto"/>
                      <w:sz w:val="21"/>
                      <w:szCs w:val="21"/>
                    </w:rPr>
                    <w:t>不属于土壤污染重点监管单位，不涉及土壤污染。</w:t>
                  </w:r>
                </w:p>
              </w:tc>
              <w:tc>
                <w:tcPr>
                  <w:tcW w:w="657" w:type="dxa"/>
                  <w:gridSpan w:val="2"/>
                  <w:tcBorders>
                    <w:tl2br w:val="nil"/>
                    <w:tr2bl w:val="nil"/>
                  </w:tcBorders>
                  <w:noWrap w:val="0"/>
                  <w:vAlign w:val="center"/>
                </w:tcPr>
                <w:p w14:paraId="1A1DEDD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5FC14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307" w:hRule="atLeast"/>
                <w:jc w:val="center"/>
              </w:trPr>
              <w:tc>
                <w:tcPr>
                  <w:tcW w:w="545" w:type="dxa"/>
                  <w:vMerge w:val="continue"/>
                  <w:tcBorders>
                    <w:tl2br w:val="nil"/>
                    <w:tr2bl w:val="nil"/>
                  </w:tcBorders>
                  <w:noWrap w:val="0"/>
                  <w:vAlign w:val="center"/>
                </w:tcPr>
                <w:p w14:paraId="4687621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AB6141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BFF117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6</w:t>
                  </w:r>
                  <w:r>
                    <w:rPr>
                      <w:rFonts w:hint="eastAsia"/>
                      <w:color w:val="auto"/>
                      <w:sz w:val="21"/>
                      <w:szCs w:val="21"/>
                    </w:rPr>
                    <w:t>、严格建设用地准入管理。加强对土地征收、收回、收购的监督管理，对应当开展土壤污染状况调查而未进行调查的地块，以及列入疑似污染地块名单、污染地块名录、建设用地土壤污染风险管控和修复名录且未达到规划用途土壤环境质量要求的地块，不得进入供地程序进行再开发利用，未达到土壤污染风险管控、修复目标的地块，禁止开工建设任何与风险管控、修复无关的项目，不得批准环境影响评价技术文件、建设工程规划许可证等事项。涉及成片污染地块分期分批开发或周边土地开发的，要科学设定开发时序，防止受污染土壤及其后续风险管控和修复措施对周边人群产生影响。</w:t>
                  </w:r>
                </w:p>
              </w:tc>
              <w:tc>
                <w:tcPr>
                  <w:tcW w:w="1844" w:type="dxa"/>
                  <w:gridSpan w:val="2"/>
                  <w:tcBorders>
                    <w:tl2br w:val="nil"/>
                    <w:tr2bl w:val="nil"/>
                  </w:tcBorders>
                  <w:noWrap w:val="0"/>
                  <w:vAlign w:val="center"/>
                </w:tcPr>
                <w:p w14:paraId="5834C73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lang w:eastAsia="zh-CN"/>
                    </w:rPr>
                    <w:t>本项目</w:t>
                  </w:r>
                  <w:r>
                    <w:rPr>
                      <w:rFonts w:hint="eastAsia"/>
                      <w:color w:val="auto"/>
                      <w:sz w:val="21"/>
                      <w:szCs w:val="21"/>
                    </w:rPr>
                    <w:t>不存在土壤污染迹象，不涉及污染地块修复。</w:t>
                  </w:r>
                </w:p>
              </w:tc>
              <w:tc>
                <w:tcPr>
                  <w:tcW w:w="657" w:type="dxa"/>
                  <w:gridSpan w:val="2"/>
                  <w:tcBorders>
                    <w:tl2br w:val="nil"/>
                    <w:tr2bl w:val="nil"/>
                  </w:tcBorders>
                  <w:noWrap w:val="0"/>
                  <w:vAlign w:val="center"/>
                </w:tcPr>
                <w:p w14:paraId="33B8128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D4AF54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4C6B219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719539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0B0E2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7</w:t>
                  </w:r>
                  <w:r>
                    <w:rPr>
                      <w:rFonts w:hint="eastAsia"/>
                      <w:color w:val="auto"/>
                      <w:sz w:val="21"/>
                      <w:szCs w:val="21"/>
                    </w:rPr>
                    <w:t>、加强污染地块风险管控及修复。对暂不开发利用的污染地块，实施以防止污染扩散为目的的风险管控，设立标识、发布公告，并组织开展土壤、地表水、地下水、空气环境监测。对需要实施治理与修复的污染地块，应结合土地利用总体规划和城乡规划编制修复方案并组织实施。加强治理与修复施工的环境监理，并严防治理与修复过程中产生废水、废气和固体废物二次污染。</w:t>
                  </w:r>
                </w:p>
              </w:tc>
              <w:tc>
                <w:tcPr>
                  <w:tcW w:w="1844" w:type="dxa"/>
                  <w:gridSpan w:val="2"/>
                  <w:tcBorders>
                    <w:tl2br w:val="nil"/>
                    <w:tr2bl w:val="nil"/>
                  </w:tcBorders>
                  <w:noWrap w:val="0"/>
                  <w:vAlign w:val="center"/>
                </w:tcPr>
                <w:p w14:paraId="424ABDD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本项目不新增占地，不存在土壤污染迹象，不涉及污染地块修复。</w:t>
                  </w:r>
                </w:p>
              </w:tc>
              <w:tc>
                <w:tcPr>
                  <w:tcW w:w="657" w:type="dxa"/>
                  <w:gridSpan w:val="2"/>
                  <w:tcBorders>
                    <w:tl2br w:val="nil"/>
                    <w:tr2bl w:val="nil"/>
                  </w:tcBorders>
                  <w:noWrap w:val="0"/>
                  <w:vAlign w:val="center"/>
                </w:tcPr>
                <w:p w14:paraId="6272FAC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98FFAE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7A6B49C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24B9C2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30155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8</w:t>
                  </w:r>
                  <w:r>
                    <w:rPr>
                      <w:rFonts w:hint="eastAsia"/>
                      <w:color w:val="auto"/>
                      <w:sz w:val="21"/>
                      <w:szCs w:val="21"/>
                    </w:rPr>
                    <w:t>、县级以上地方人民政府应当根据地下水水源条件和需要，建设应急备用饮用水水源，制定应急预案，确保需要时正常使用。应急备用地下水水源结束应急使用后，应当立即停止取水。</w:t>
                  </w:r>
                </w:p>
              </w:tc>
              <w:tc>
                <w:tcPr>
                  <w:tcW w:w="1844" w:type="dxa"/>
                  <w:gridSpan w:val="2"/>
                  <w:tcBorders>
                    <w:tl2br w:val="nil"/>
                    <w:tr2bl w:val="nil"/>
                  </w:tcBorders>
                  <w:noWrap w:val="0"/>
                  <w:vAlign w:val="center"/>
                </w:tcPr>
                <w:p w14:paraId="43249A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6FD0A96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092A4E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F35B62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29F1A1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4CEAF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9</w:t>
                  </w:r>
                  <w:r>
                    <w:rPr>
                      <w:rFonts w:hint="eastAsia"/>
                      <w:color w:val="auto"/>
                      <w:sz w:val="21"/>
                      <w:szCs w:val="21"/>
                    </w:rPr>
                    <w:t>、针对存在地下水污染的化工园区、危险废物处置场和生活垃圾填埋场等，实施地下水污染风险管控，因地制宜选择阻隔、制度控制、渗透反应格栅等技术，阻止污染扩散，加强风险管控后期地下水环境监管。</w:t>
                  </w:r>
                </w:p>
              </w:tc>
              <w:tc>
                <w:tcPr>
                  <w:tcW w:w="1844" w:type="dxa"/>
                  <w:gridSpan w:val="2"/>
                  <w:tcBorders>
                    <w:tl2br w:val="nil"/>
                    <w:tr2bl w:val="nil"/>
                  </w:tcBorders>
                  <w:noWrap w:val="0"/>
                  <w:vAlign w:val="center"/>
                </w:tcPr>
                <w:p w14:paraId="436C7AC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930CC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6115EC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042" w:hRule="atLeast"/>
                <w:jc w:val="center"/>
              </w:trPr>
              <w:tc>
                <w:tcPr>
                  <w:tcW w:w="545" w:type="dxa"/>
                  <w:vMerge w:val="continue"/>
                  <w:tcBorders>
                    <w:tl2br w:val="nil"/>
                    <w:tr2bl w:val="nil"/>
                  </w:tcBorders>
                  <w:noWrap w:val="0"/>
                  <w:vAlign w:val="center"/>
                </w:tcPr>
                <w:p w14:paraId="5F9F5E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805F5F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093F8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10</w:t>
                  </w:r>
                  <w:r>
                    <w:rPr>
                      <w:rFonts w:hint="eastAsia"/>
                      <w:color w:val="auto"/>
                      <w:sz w:val="21"/>
                      <w:szCs w:val="21"/>
                    </w:rPr>
                    <w:t>、地下水污染风险重点管控区执行《唐山市地下水污染防治重点区划定方案（试行）》中管控类区域管理要求。</w:t>
                  </w:r>
                </w:p>
              </w:tc>
              <w:tc>
                <w:tcPr>
                  <w:tcW w:w="1844" w:type="dxa"/>
                  <w:gridSpan w:val="2"/>
                  <w:tcBorders>
                    <w:tl2br w:val="nil"/>
                    <w:tr2bl w:val="nil"/>
                  </w:tcBorders>
                  <w:noWrap w:val="0"/>
                  <w:vAlign w:val="center"/>
                </w:tcPr>
                <w:p w14:paraId="1774C13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本项目选址不涉及地下水污染风险重点管控区。</w:t>
                  </w:r>
                </w:p>
              </w:tc>
              <w:tc>
                <w:tcPr>
                  <w:tcW w:w="657" w:type="dxa"/>
                  <w:gridSpan w:val="2"/>
                  <w:tcBorders>
                    <w:tl2br w:val="nil"/>
                    <w:tr2bl w:val="nil"/>
                  </w:tcBorders>
                  <w:noWrap w:val="0"/>
                  <w:vAlign w:val="center"/>
                </w:tcPr>
                <w:p w14:paraId="0E188A0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EA2C7E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0" w:hRule="atLeast"/>
                <w:jc w:val="center"/>
              </w:trPr>
              <w:tc>
                <w:tcPr>
                  <w:tcW w:w="545" w:type="dxa"/>
                  <w:vMerge w:val="restart"/>
                  <w:tcBorders>
                    <w:tl2br w:val="nil"/>
                    <w:tr2bl w:val="nil"/>
                  </w:tcBorders>
                  <w:noWrap w:val="0"/>
                  <w:vAlign w:val="center"/>
                </w:tcPr>
                <w:p w14:paraId="7425A40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资源</w:t>
                  </w:r>
                </w:p>
              </w:tc>
              <w:tc>
                <w:tcPr>
                  <w:tcW w:w="403" w:type="dxa"/>
                  <w:vMerge w:val="restart"/>
                  <w:tcBorders>
                    <w:tl2br w:val="nil"/>
                    <w:tr2bl w:val="nil"/>
                  </w:tcBorders>
                  <w:noWrap w:val="0"/>
                  <w:vAlign w:val="center"/>
                </w:tcPr>
                <w:p w14:paraId="53FC9CB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水资源</w:t>
                  </w:r>
                </w:p>
              </w:tc>
              <w:tc>
                <w:tcPr>
                  <w:tcW w:w="591" w:type="dxa"/>
                  <w:gridSpan w:val="2"/>
                  <w:vMerge w:val="restart"/>
                  <w:tcBorders>
                    <w:tl2br w:val="nil"/>
                    <w:tr2bl w:val="nil"/>
                  </w:tcBorders>
                  <w:noWrap w:val="0"/>
                  <w:vAlign w:val="center"/>
                </w:tcPr>
                <w:p w14:paraId="69DE8A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资源利用效率要求</w:t>
                  </w:r>
                </w:p>
              </w:tc>
              <w:tc>
                <w:tcPr>
                  <w:tcW w:w="8618" w:type="dxa"/>
                  <w:gridSpan w:val="2"/>
                  <w:tcBorders>
                    <w:tl2br w:val="nil"/>
                    <w:tr2bl w:val="nil"/>
                  </w:tcBorders>
                  <w:noWrap w:val="0"/>
                  <w:vAlign w:val="center"/>
                </w:tcPr>
                <w:p w14:paraId="52CA499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严格地下水管理。在地下水禁采区内，除为保障地下工程施工安全和生产安全必须进行临时应急取（排）水、为消除对公共安全或者公共利益的危害临时应急取水，以及为开展地下水监测、勘探、试验少量取水外，禁止取用地下水。在地下水限采区内，对当地社会发展和群众生活有重大影响的重点建设项目确需取用地下水的，应按照用</w:t>
                  </w:r>
                  <w:r>
                    <w:rPr>
                      <w:color w:val="auto"/>
                      <w:sz w:val="21"/>
                      <w:szCs w:val="21"/>
                    </w:rPr>
                    <w:t>1</w:t>
                  </w:r>
                  <w:r>
                    <w:rPr>
                      <w:rFonts w:hint="eastAsia"/>
                      <w:color w:val="auto"/>
                      <w:sz w:val="21"/>
                      <w:szCs w:val="21"/>
                    </w:rPr>
                    <w:t>减</w:t>
                  </w:r>
                  <w:r>
                    <w:rPr>
                      <w:color w:val="auto"/>
                      <w:sz w:val="21"/>
                      <w:szCs w:val="21"/>
                    </w:rPr>
                    <w:t>2</w:t>
                  </w:r>
                  <w:r>
                    <w:rPr>
                      <w:rFonts w:hint="eastAsia"/>
                      <w:color w:val="auto"/>
                      <w:sz w:val="21"/>
                      <w:szCs w:val="21"/>
                    </w:rPr>
                    <w:t>的比例以及先减后加的原则，同步削减其他取水单位的地下水开采量，且不得深层、浅层地下水相互替代。地下水开发利用应当以浅层地下水为主。深层地下水作为战略储备水源、应急供水水源、无替代水源地区的居民生活水源，应当严格限制开采。</w:t>
                  </w:r>
                </w:p>
              </w:tc>
              <w:tc>
                <w:tcPr>
                  <w:tcW w:w="1844" w:type="dxa"/>
                  <w:gridSpan w:val="2"/>
                  <w:tcBorders>
                    <w:tl2br w:val="nil"/>
                    <w:tr2bl w:val="nil"/>
                  </w:tcBorders>
                  <w:noWrap w:val="0"/>
                  <w:vAlign w:val="center"/>
                </w:tcPr>
                <w:p w14:paraId="56E2AD4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color w:val="auto"/>
                      <w:sz w:val="21"/>
                      <w:szCs w:val="21"/>
                      <w:lang w:val="en-US" w:eastAsia="zh-CN"/>
                    </w:rPr>
                  </w:pPr>
                  <w:r>
                    <w:rPr>
                      <w:rFonts w:hint="default" w:ascii="Times New Roman" w:hAnsi="Times New Roman" w:eastAsia="宋体" w:cs="Times New Roman"/>
                      <w:i w:val="0"/>
                      <w:iCs w:val="0"/>
                      <w:caps w:val="0"/>
                      <w:color w:val="auto"/>
                      <w:spacing w:val="0"/>
                      <w:sz w:val="21"/>
                      <w:szCs w:val="21"/>
                    </w:rPr>
                    <w:t>企业现有取水手续齐全，已取得合法有效的取水许可证（编号：B130284G2021-18116），许可年取水量为2.34万m³/a。本次技改完成后，全厂用水总量仍小于许可取水量，无需新增取水指标，符合取水许可及水资源管理相关规定。</w:t>
                  </w:r>
                </w:p>
              </w:tc>
              <w:tc>
                <w:tcPr>
                  <w:tcW w:w="657" w:type="dxa"/>
                  <w:gridSpan w:val="2"/>
                  <w:tcBorders>
                    <w:tl2br w:val="nil"/>
                    <w:tr2bl w:val="nil"/>
                  </w:tcBorders>
                  <w:noWrap w:val="0"/>
                  <w:vAlign w:val="center"/>
                </w:tcPr>
                <w:p w14:paraId="7E76B20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符合</w:t>
                  </w:r>
                </w:p>
              </w:tc>
            </w:tr>
            <w:tr w14:paraId="20B2964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6C4ACB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2BAEA5D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407BB34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5C8E9B1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在地下水严重超采地区，实施轮作休耕、旱作雨养，适度退减灌溉面积。严格限制开采深层地下水用于农业灌溉。科学利用水库调蓄功能，用足用好外调水，合理利用当地地表水，鼓励利用非常规水，严格控制开采地下水，确需开采地下水的，由县级人民政府逐级报省人民政府批准。县级以上人民政府水行政主管部门应当加强大中型灌区续建配套和现代化改造，改善灌溉条件，提高灌溉用水效率，建设节水型灌区。</w:t>
                  </w:r>
                </w:p>
              </w:tc>
              <w:tc>
                <w:tcPr>
                  <w:tcW w:w="1844" w:type="dxa"/>
                  <w:gridSpan w:val="2"/>
                  <w:tcBorders>
                    <w:tl2br w:val="nil"/>
                    <w:tr2bl w:val="nil"/>
                  </w:tcBorders>
                  <w:noWrap w:val="0"/>
                  <w:vAlign w:val="center"/>
                </w:tcPr>
                <w:p w14:paraId="27A4411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lang w:eastAsia="zh-CN"/>
                    </w:rPr>
                    <w:t>本项目不涉及</w:t>
                  </w:r>
                  <w:r>
                    <w:rPr>
                      <w:rFonts w:hint="eastAsia"/>
                      <w:color w:val="auto"/>
                      <w:sz w:val="21"/>
                      <w:szCs w:val="21"/>
                    </w:rPr>
                    <w:t>。</w:t>
                  </w:r>
                </w:p>
              </w:tc>
              <w:tc>
                <w:tcPr>
                  <w:tcW w:w="657" w:type="dxa"/>
                  <w:gridSpan w:val="2"/>
                  <w:tcBorders>
                    <w:tl2br w:val="nil"/>
                    <w:tr2bl w:val="nil"/>
                  </w:tcBorders>
                  <w:noWrap w:val="0"/>
                  <w:vAlign w:val="center"/>
                </w:tcPr>
                <w:p w14:paraId="61C98DA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2DCD10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8" w:hRule="atLeast"/>
                <w:jc w:val="center"/>
              </w:trPr>
              <w:tc>
                <w:tcPr>
                  <w:tcW w:w="545" w:type="dxa"/>
                  <w:vMerge w:val="continue"/>
                  <w:tcBorders>
                    <w:tl2br w:val="nil"/>
                    <w:tr2bl w:val="nil"/>
                  </w:tcBorders>
                  <w:noWrap w:val="0"/>
                  <w:vAlign w:val="center"/>
                </w:tcPr>
                <w:p w14:paraId="1A1AFB7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2F99EE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38B7FFA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85AF2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、把节水作为水资源开发、利用、保护、配置、调度的前提，加强水资源调度管理。开展城镇后备水源建设，大力开发利用非常规水源，提高水资源的利用效率和效益。</w:t>
                  </w:r>
                </w:p>
              </w:tc>
              <w:tc>
                <w:tcPr>
                  <w:tcW w:w="1844" w:type="dxa"/>
                  <w:gridSpan w:val="2"/>
                  <w:tcBorders>
                    <w:tl2br w:val="nil"/>
                    <w:tr2bl w:val="nil"/>
                  </w:tcBorders>
                  <w:noWrap w:val="0"/>
                  <w:vAlign w:val="center"/>
                </w:tcPr>
                <w:p w14:paraId="2DBE83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eastAsia="宋体"/>
                      <w:color w:val="auto"/>
                      <w:sz w:val="21"/>
                      <w:szCs w:val="21"/>
                      <w:lang w:eastAsia="zh-CN"/>
                    </w:rPr>
                  </w:pPr>
                  <w:r>
                    <w:rPr>
                      <w:rFonts w:hint="eastAsia"/>
                      <w:color w:val="auto"/>
                      <w:sz w:val="21"/>
                      <w:szCs w:val="21"/>
                      <w:lang w:eastAsia="zh-CN"/>
                    </w:rPr>
                    <w:t>本项目节约用水。</w:t>
                  </w:r>
                </w:p>
              </w:tc>
              <w:tc>
                <w:tcPr>
                  <w:tcW w:w="657" w:type="dxa"/>
                  <w:gridSpan w:val="2"/>
                  <w:tcBorders>
                    <w:tl2br w:val="nil"/>
                    <w:tr2bl w:val="nil"/>
                  </w:tcBorders>
                  <w:noWrap w:val="0"/>
                  <w:vAlign w:val="center"/>
                </w:tcPr>
                <w:p w14:paraId="77493F5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符合</w:t>
                  </w:r>
                </w:p>
              </w:tc>
            </w:tr>
            <w:tr w14:paraId="7F55272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60C8DE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restart"/>
                  <w:tcBorders>
                    <w:tl2br w:val="nil"/>
                    <w:tr2bl w:val="nil"/>
                  </w:tcBorders>
                  <w:noWrap w:val="0"/>
                  <w:vAlign w:val="center"/>
                </w:tcPr>
                <w:p w14:paraId="28286CC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能源</w:t>
                  </w:r>
                </w:p>
              </w:tc>
              <w:tc>
                <w:tcPr>
                  <w:tcW w:w="591" w:type="dxa"/>
                  <w:gridSpan w:val="2"/>
                  <w:vMerge w:val="restart"/>
                  <w:tcBorders>
                    <w:tl2br w:val="nil"/>
                    <w:tr2bl w:val="nil"/>
                  </w:tcBorders>
                  <w:noWrap w:val="0"/>
                  <w:vAlign w:val="center"/>
                </w:tcPr>
                <w:p w14:paraId="1D672C9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资源利用效率要求</w:t>
                  </w:r>
                </w:p>
              </w:tc>
              <w:tc>
                <w:tcPr>
                  <w:tcW w:w="8618" w:type="dxa"/>
                  <w:gridSpan w:val="2"/>
                  <w:tcBorders>
                    <w:tl2br w:val="nil"/>
                    <w:tr2bl w:val="nil"/>
                  </w:tcBorders>
                  <w:noWrap w:val="0"/>
                  <w:vAlign w:val="center"/>
                </w:tcPr>
                <w:p w14:paraId="5C3ACE0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禁燃区内不得新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禁燃区内禁止原煤散烧。</w:t>
                  </w:r>
                </w:p>
              </w:tc>
              <w:tc>
                <w:tcPr>
                  <w:tcW w:w="1844" w:type="dxa"/>
                  <w:gridSpan w:val="2"/>
                  <w:tcBorders>
                    <w:tl2br w:val="nil"/>
                    <w:tr2bl w:val="nil"/>
                  </w:tcBorders>
                  <w:noWrap w:val="0"/>
                  <w:vAlign w:val="center"/>
                </w:tcPr>
                <w:p w14:paraId="1457D2A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本项目不新建高污染燃烧设施。</w:t>
                  </w:r>
                </w:p>
              </w:tc>
              <w:tc>
                <w:tcPr>
                  <w:tcW w:w="657" w:type="dxa"/>
                  <w:gridSpan w:val="2"/>
                  <w:tcBorders>
                    <w:tl2br w:val="nil"/>
                    <w:tr2bl w:val="nil"/>
                  </w:tcBorders>
                  <w:noWrap w:val="0"/>
                  <w:vAlign w:val="center"/>
                </w:tcPr>
                <w:p w14:paraId="29EE45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651B6F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71233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5CE8DB5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38368D2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129F35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禁燃区内禁止销售高污染燃料；禁止燃用煤炭及其制品（原料煤和发电、集中供热等具备高效污染治理设施企业用煤除外）；石油焦、油页岩、原油、重油、渣油、煤焦油；非专用锅炉或未配置高效除尘设施的专用锅炉燃用的生物质成型燃料等高污染燃料。</w:t>
                  </w:r>
                </w:p>
              </w:tc>
              <w:tc>
                <w:tcPr>
                  <w:tcW w:w="1844" w:type="dxa"/>
                  <w:gridSpan w:val="2"/>
                  <w:tcBorders>
                    <w:tl2br w:val="nil"/>
                    <w:tr2bl w:val="nil"/>
                  </w:tcBorders>
                  <w:noWrap w:val="0"/>
                  <w:vAlign w:val="center"/>
                </w:tcPr>
                <w:p w14:paraId="313ABEE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w:t>
                  </w:r>
                  <w:r>
                    <w:rPr>
                      <w:rFonts w:hint="eastAsia"/>
                      <w:color w:val="auto"/>
                      <w:sz w:val="21"/>
                      <w:szCs w:val="21"/>
                      <w:lang w:eastAsia="zh-CN"/>
                    </w:rPr>
                    <w:t>不涉及</w:t>
                  </w:r>
                  <w:r>
                    <w:rPr>
                      <w:rFonts w:hint="eastAsia"/>
                      <w:color w:val="auto"/>
                      <w:sz w:val="21"/>
                      <w:szCs w:val="21"/>
                    </w:rPr>
                    <w:t>。</w:t>
                  </w:r>
                </w:p>
              </w:tc>
              <w:tc>
                <w:tcPr>
                  <w:tcW w:w="657" w:type="dxa"/>
                  <w:gridSpan w:val="2"/>
                  <w:tcBorders>
                    <w:tl2br w:val="nil"/>
                    <w:tr2bl w:val="nil"/>
                  </w:tcBorders>
                  <w:noWrap w:val="0"/>
                  <w:vAlign w:val="center"/>
                </w:tcPr>
                <w:p w14:paraId="2A5357A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8E1DF8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EDB9C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206FB1D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537200D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0EF291C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、新建项目禁止配套建设自备燃煤电站。除热电联产外，禁止审批新建燃煤发电项目，现有多台燃煤机组装机容量合计达到国家规定要求的，可以按照煤炭等量替代的原则建设为大容量燃煤机组。</w:t>
                  </w:r>
                </w:p>
              </w:tc>
              <w:tc>
                <w:tcPr>
                  <w:tcW w:w="1844" w:type="dxa"/>
                  <w:gridSpan w:val="2"/>
                  <w:tcBorders>
                    <w:tl2br w:val="nil"/>
                    <w:tr2bl w:val="nil"/>
                  </w:tcBorders>
                  <w:noWrap w:val="0"/>
                  <w:vAlign w:val="center"/>
                </w:tcPr>
                <w:p w14:paraId="015C53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6C59202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069991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54592AF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55936CD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3F872B6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DA8CE7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、对以煤、石油焦、渣油、重油等为燃料的工业炉窑，加快使用清洁低碳能源以及利用工厂余热、电厂热力等进行替代，全市禁止掺烧高硫石油焦（硫含量大于</w:t>
                  </w:r>
                  <w:r>
                    <w:rPr>
                      <w:color w:val="auto"/>
                      <w:sz w:val="21"/>
                      <w:szCs w:val="21"/>
                    </w:rPr>
                    <w:t>3%</w:t>
                  </w:r>
                  <w:r>
                    <w:rPr>
                      <w:rFonts w:hint="eastAsia"/>
                      <w:color w:val="auto"/>
                      <w:sz w:val="21"/>
                      <w:szCs w:val="21"/>
                    </w:rPr>
                    <w:t>）。玻璃行业全面禁止掺烧高硫石油焦。</w:t>
                  </w:r>
                </w:p>
              </w:tc>
              <w:tc>
                <w:tcPr>
                  <w:tcW w:w="1844" w:type="dxa"/>
                  <w:gridSpan w:val="2"/>
                  <w:tcBorders>
                    <w:tl2br w:val="nil"/>
                    <w:tr2bl w:val="nil"/>
                  </w:tcBorders>
                  <w:noWrap w:val="0"/>
                  <w:vAlign w:val="center"/>
                </w:tcPr>
                <w:p w14:paraId="09460B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本项目不新建工业炉窑。</w:t>
                  </w:r>
                </w:p>
              </w:tc>
              <w:tc>
                <w:tcPr>
                  <w:tcW w:w="657" w:type="dxa"/>
                  <w:gridSpan w:val="2"/>
                  <w:tcBorders>
                    <w:tl2br w:val="nil"/>
                    <w:tr2bl w:val="nil"/>
                  </w:tcBorders>
                  <w:noWrap w:val="0"/>
                  <w:vAlign w:val="center"/>
                </w:tcPr>
                <w:p w14:paraId="7120714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054B81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3703A5C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7229DD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4535739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B83D90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、钢铁行业按期完成</w:t>
                  </w:r>
                  <w:r>
                    <w:rPr>
                      <w:color w:val="auto"/>
                      <w:sz w:val="21"/>
                      <w:szCs w:val="21"/>
                    </w:rPr>
                    <w:t>1000</w:t>
                  </w:r>
                  <w:r>
                    <w:rPr>
                      <w:rFonts w:hint="eastAsia"/>
                      <w:color w:val="auto"/>
                      <w:sz w:val="21"/>
                      <w:szCs w:val="21"/>
                    </w:rPr>
                    <w:t>立方米以下高炉、</w:t>
                  </w:r>
                  <w:r>
                    <w:rPr>
                      <w:color w:val="auto"/>
                      <w:sz w:val="21"/>
                      <w:szCs w:val="21"/>
                    </w:rPr>
                    <w:t>100</w:t>
                  </w:r>
                  <w:r>
                    <w:rPr>
                      <w:rFonts w:hint="eastAsia"/>
                      <w:color w:val="auto"/>
                      <w:sz w:val="21"/>
                      <w:szCs w:val="21"/>
                    </w:rPr>
                    <w:t>吨以下转炉升级改造，大力推广高炉富氧喷煤、大球团比等先进冶炼工艺技术，探索推进气基竖炉直接还原炼铁、熔融还原炼铁、富氢燃气炼铁积极推进全废钢电炉工艺，有序实施短流程炼钢改造。焦化行业加快高效精馏系统、高温高压干熄焦等节能技术推广应用。推动工业窑炉、油机、压缩机等重点用能设备进行系统节能改造。</w:t>
                  </w:r>
                </w:p>
              </w:tc>
              <w:tc>
                <w:tcPr>
                  <w:tcW w:w="1844" w:type="dxa"/>
                  <w:gridSpan w:val="2"/>
                  <w:tcBorders>
                    <w:tl2br w:val="nil"/>
                    <w:tr2bl w:val="nil"/>
                  </w:tcBorders>
                  <w:noWrap w:val="0"/>
                  <w:vAlign w:val="center"/>
                </w:tcPr>
                <w:p w14:paraId="73198DD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本项目不属于钢铁、焦化行业。</w:t>
                  </w:r>
                </w:p>
              </w:tc>
              <w:tc>
                <w:tcPr>
                  <w:tcW w:w="657" w:type="dxa"/>
                  <w:gridSpan w:val="2"/>
                  <w:tcBorders>
                    <w:tl2br w:val="nil"/>
                    <w:tr2bl w:val="nil"/>
                  </w:tcBorders>
                  <w:noWrap w:val="0"/>
                  <w:vAlign w:val="center"/>
                </w:tcPr>
                <w:p w14:paraId="740C1EB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BDCDD1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7D15ACD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restart"/>
                  <w:tcBorders>
                    <w:tl2br w:val="nil"/>
                    <w:tr2bl w:val="nil"/>
                  </w:tcBorders>
                  <w:noWrap w:val="0"/>
                  <w:vAlign w:val="center"/>
                </w:tcPr>
                <w:p w14:paraId="21318B0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岸线资源</w:t>
                  </w:r>
                </w:p>
              </w:tc>
              <w:tc>
                <w:tcPr>
                  <w:tcW w:w="591" w:type="dxa"/>
                  <w:gridSpan w:val="2"/>
                  <w:vMerge w:val="restart"/>
                  <w:tcBorders>
                    <w:tl2br w:val="nil"/>
                    <w:tr2bl w:val="nil"/>
                  </w:tcBorders>
                  <w:noWrap w:val="0"/>
                  <w:vAlign w:val="center"/>
                </w:tcPr>
                <w:p w14:paraId="6504FD8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资源利用效率要求</w:t>
                  </w:r>
                </w:p>
              </w:tc>
              <w:tc>
                <w:tcPr>
                  <w:tcW w:w="8618" w:type="dxa"/>
                  <w:gridSpan w:val="2"/>
                  <w:tcBorders>
                    <w:tl2br w:val="nil"/>
                    <w:tr2bl w:val="nil"/>
                  </w:tcBorders>
                  <w:noWrap w:val="0"/>
                  <w:vAlign w:val="center"/>
                </w:tcPr>
                <w:p w14:paraId="1570A80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w:t>
                  </w:r>
                  <w:r>
                    <w:rPr>
                      <w:rFonts w:hint="eastAsia"/>
                      <w:color w:val="auto"/>
                      <w:sz w:val="21"/>
                      <w:szCs w:val="21"/>
                    </w:rPr>
                    <w:t>、除国防安全需要外，禁止在严格保护岸线的保护范围内构建永久性建筑物、围填海、开采海砂、设置排污口等损害海岸地形地貌和生态环境的活动。</w:t>
                  </w:r>
                </w:p>
              </w:tc>
              <w:tc>
                <w:tcPr>
                  <w:tcW w:w="1844" w:type="dxa"/>
                  <w:gridSpan w:val="2"/>
                  <w:tcBorders>
                    <w:tl2br w:val="nil"/>
                    <w:tr2bl w:val="nil"/>
                  </w:tcBorders>
                  <w:noWrap w:val="0"/>
                  <w:vAlign w:val="center"/>
                </w:tcPr>
                <w:p w14:paraId="09A4AF3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6A032D7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F12E13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4F699A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10892BE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7A5526F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0EB539E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、限制开发岸线严格控制改变海岸自然形态和影响海岸生态功能的开发利用活动，预留未来发展空间，严格海域使用审批。</w:t>
                  </w:r>
                </w:p>
              </w:tc>
              <w:tc>
                <w:tcPr>
                  <w:tcW w:w="1844" w:type="dxa"/>
                  <w:gridSpan w:val="2"/>
                  <w:tcBorders>
                    <w:tl2br w:val="nil"/>
                    <w:tr2bl w:val="nil"/>
                  </w:tcBorders>
                  <w:noWrap w:val="0"/>
                  <w:vAlign w:val="center"/>
                </w:tcPr>
                <w:p w14:paraId="796DF4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47DBE6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B02E1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5DDEE8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5F5128F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6060CC6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A67F0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、优化利用岸线应集中布局确需占用海岸线的建设项目，严格控制占用岸线长度，提高投资强度和利用效率，优化海岸线开发利用格局。</w:t>
                  </w:r>
                </w:p>
              </w:tc>
              <w:tc>
                <w:tcPr>
                  <w:tcW w:w="1844" w:type="dxa"/>
                  <w:gridSpan w:val="2"/>
                  <w:tcBorders>
                    <w:tl2br w:val="nil"/>
                    <w:tr2bl w:val="nil"/>
                  </w:tcBorders>
                  <w:noWrap w:val="0"/>
                  <w:vAlign w:val="center"/>
                </w:tcPr>
                <w:p w14:paraId="1B1F154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784639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BDA9BE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B59929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403" w:type="dxa"/>
                  <w:vMerge w:val="continue"/>
                  <w:tcBorders>
                    <w:tl2br w:val="nil"/>
                    <w:tr2bl w:val="nil"/>
                  </w:tcBorders>
                  <w:noWrap w:val="0"/>
                  <w:vAlign w:val="center"/>
                </w:tcPr>
                <w:p w14:paraId="0F9D6A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591" w:type="dxa"/>
                  <w:gridSpan w:val="2"/>
                  <w:vMerge w:val="continue"/>
                  <w:tcBorders>
                    <w:tl2br w:val="nil"/>
                    <w:tr2bl w:val="nil"/>
                  </w:tcBorders>
                  <w:noWrap w:val="0"/>
                  <w:vAlign w:val="center"/>
                </w:tcPr>
                <w:p w14:paraId="55687D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0EEAE0C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严格限制建设项目占用自然岸线，确需占用自然岸线的建设项目应严格进行论证和审批。海域使用论证报告应明确提出占用自然岸线的必要性与合理性结论。不能满足自然岸线保有率管控目标和要求的建设项目用海不予批准。</w:t>
                  </w:r>
                </w:p>
              </w:tc>
              <w:tc>
                <w:tcPr>
                  <w:tcW w:w="1844" w:type="dxa"/>
                  <w:gridSpan w:val="2"/>
                  <w:tcBorders>
                    <w:tl2br w:val="nil"/>
                    <w:tr2bl w:val="nil"/>
                  </w:tcBorders>
                  <w:noWrap w:val="0"/>
                  <w:vAlign w:val="center"/>
                </w:tcPr>
                <w:p w14:paraId="2563B69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027934E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E5178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292" w:hRule="atLeast"/>
                <w:jc w:val="center"/>
              </w:trPr>
              <w:tc>
                <w:tcPr>
                  <w:tcW w:w="545" w:type="dxa"/>
                  <w:vMerge w:val="restart"/>
                  <w:tcBorders>
                    <w:tl2br w:val="nil"/>
                    <w:tr2bl w:val="nil"/>
                  </w:tcBorders>
                  <w:noWrap w:val="0"/>
                  <w:vAlign w:val="center"/>
                </w:tcPr>
                <w:p w14:paraId="4D6F7F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产业总体布局要求</w:t>
                  </w:r>
                </w:p>
              </w:tc>
              <w:tc>
                <w:tcPr>
                  <w:tcW w:w="994" w:type="dxa"/>
                  <w:gridSpan w:val="3"/>
                  <w:vMerge w:val="restart"/>
                  <w:tcBorders>
                    <w:tl2br w:val="nil"/>
                    <w:tr2bl w:val="nil"/>
                  </w:tcBorders>
                  <w:noWrap w:val="0"/>
                  <w:vAlign w:val="center"/>
                </w:tcPr>
                <w:p w14:paraId="78D959D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空间布局约束</w:t>
                  </w:r>
                </w:p>
              </w:tc>
              <w:tc>
                <w:tcPr>
                  <w:tcW w:w="8618" w:type="dxa"/>
                  <w:gridSpan w:val="2"/>
                  <w:tcBorders>
                    <w:tl2br w:val="nil"/>
                    <w:tr2bl w:val="nil"/>
                  </w:tcBorders>
                  <w:noWrap w:val="0"/>
                  <w:vAlign w:val="center"/>
                </w:tcPr>
                <w:p w14:paraId="15E5B69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auto"/>
                      <w:sz w:val="21"/>
                      <w:szCs w:val="21"/>
                    </w:rPr>
                  </w:pPr>
                  <w:r>
                    <w:rPr>
                      <w:color w:val="auto"/>
                      <w:sz w:val="21"/>
                      <w:szCs w:val="21"/>
                    </w:rPr>
                    <w:t>1</w:t>
                  </w:r>
                  <w:r>
                    <w:rPr>
                      <w:rFonts w:hint="eastAsia"/>
                      <w:color w:val="auto"/>
                      <w:sz w:val="21"/>
                      <w:szCs w:val="21"/>
                    </w:rPr>
                    <w:t>、严格执行《产业结构调整指导目录》《市场准入负面清单》《河北省禁止投资的产业目录》相关要求。</w:t>
                  </w:r>
                </w:p>
              </w:tc>
              <w:tc>
                <w:tcPr>
                  <w:tcW w:w="1844" w:type="dxa"/>
                  <w:gridSpan w:val="2"/>
                  <w:tcBorders>
                    <w:tl2br w:val="nil"/>
                    <w:tr2bl w:val="nil"/>
                  </w:tcBorders>
                  <w:noWrap w:val="0"/>
                  <w:vAlign w:val="center"/>
                </w:tcPr>
                <w:p w14:paraId="29AF112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lang w:eastAsia="zh-CN"/>
                    </w:rPr>
                    <w:t>严格执行相关要求。</w:t>
                  </w:r>
                </w:p>
              </w:tc>
              <w:tc>
                <w:tcPr>
                  <w:tcW w:w="657" w:type="dxa"/>
                  <w:gridSpan w:val="2"/>
                  <w:tcBorders>
                    <w:tl2br w:val="nil"/>
                    <w:tr2bl w:val="nil"/>
                  </w:tcBorders>
                  <w:noWrap w:val="0"/>
                  <w:vAlign w:val="center"/>
                </w:tcPr>
                <w:p w14:paraId="10CD8F6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符合</w:t>
                  </w:r>
                </w:p>
              </w:tc>
            </w:tr>
            <w:tr w14:paraId="2BC5E94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010F09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36A5B0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882CB2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2</w:t>
                  </w:r>
                  <w:r>
                    <w:rPr>
                      <w:rFonts w:hint="eastAsia"/>
                      <w:color w:val="auto"/>
                      <w:sz w:val="21"/>
                      <w:szCs w:val="21"/>
                    </w:rPr>
                    <w:t>、严格执行国家产业政策和准入标准，实行生态环境准入清单制度，禁止新建、扩建高污染项目，严格控制高耗能、高排放项目准入。新建、改建和扩建项目按照相关规定实行减量置换或者等量置换。</w:t>
                  </w:r>
                </w:p>
              </w:tc>
              <w:tc>
                <w:tcPr>
                  <w:tcW w:w="1844" w:type="dxa"/>
                  <w:gridSpan w:val="2"/>
                  <w:tcBorders>
                    <w:tl2br w:val="nil"/>
                    <w:tr2bl w:val="nil"/>
                  </w:tcBorders>
                  <w:noWrap w:val="0"/>
                  <w:vAlign w:val="center"/>
                </w:tcPr>
                <w:p w14:paraId="51FFB07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项目符合国家产业政策，符合环境准入清单要求，不属于高耗能、高排放项目。</w:t>
                  </w:r>
                </w:p>
              </w:tc>
              <w:tc>
                <w:tcPr>
                  <w:tcW w:w="657" w:type="dxa"/>
                  <w:gridSpan w:val="2"/>
                  <w:tcBorders>
                    <w:tl2br w:val="nil"/>
                    <w:tr2bl w:val="nil"/>
                  </w:tcBorders>
                  <w:noWrap w:val="0"/>
                  <w:vAlign w:val="center"/>
                </w:tcPr>
                <w:p w14:paraId="4E3071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符合</w:t>
                  </w:r>
                </w:p>
              </w:tc>
            </w:tr>
            <w:tr w14:paraId="248ADBC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7CCFC7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CE93A7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7D9406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3</w:t>
                  </w:r>
                  <w:r>
                    <w:rPr>
                      <w:rFonts w:hint="eastAsia"/>
                      <w:color w:val="auto"/>
                      <w:sz w:val="21"/>
                      <w:szCs w:val="21"/>
                    </w:rPr>
                    <w:t>、禁止投资钢铁冶炼、水泥、电解铝、平板玻璃等产能严重过剩行业和炼焦、有色、电石、铁合金等新增产能项目。</w:t>
                  </w:r>
                </w:p>
              </w:tc>
              <w:tc>
                <w:tcPr>
                  <w:tcW w:w="1844" w:type="dxa"/>
                  <w:gridSpan w:val="2"/>
                  <w:tcBorders>
                    <w:tl2br w:val="nil"/>
                    <w:tr2bl w:val="nil"/>
                  </w:tcBorders>
                  <w:noWrap w:val="0"/>
                  <w:vAlign w:val="center"/>
                </w:tcPr>
                <w:p w14:paraId="2707167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1629BF8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0958A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1CE37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41C197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A7CA98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4</w:t>
                  </w:r>
                  <w:r>
                    <w:rPr>
                      <w:rFonts w:hint="eastAsia"/>
                      <w:color w:val="auto"/>
                      <w:sz w:val="21"/>
                      <w:szCs w:val="21"/>
                    </w:rPr>
                    <w:t>、上一年度环境空气质量年平均浓度不达标的城市、水环境质量未达到要求的市县，相关污染物应按照建设项目所需替代的主要污染物排放总量指标的</w:t>
                  </w:r>
                  <w:r>
                    <w:rPr>
                      <w:color w:val="auto"/>
                      <w:sz w:val="21"/>
                      <w:szCs w:val="21"/>
                    </w:rPr>
                    <w:t>2</w:t>
                  </w:r>
                  <w:r>
                    <w:rPr>
                      <w:rFonts w:hint="eastAsia"/>
                      <w:color w:val="auto"/>
                      <w:sz w:val="21"/>
                      <w:szCs w:val="21"/>
                    </w:rPr>
                    <w:t>倍进行削减替代（燃煤发电机组大气污染物排放浓度基本达到燃气轮机组排放限值的除外）。</w:t>
                  </w:r>
                </w:p>
              </w:tc>
              <w:tc>
                <w:tcPr>
                  <w:tcW w:w="1844" w:type="dxa"/>
                  <w:gridSpan w:val="2"/>
                  <w:tcBorders>
                    <w:tl2br w:val="nil"/>
                    <w:tr2bl w:val="nil"/>
                  </w:tcBorders>
                  <w:noWrap w:val="0"/>
                  <w:vAlign w:val="center"/>
                </w:tcPr>
                <w:p w14:paraId="346B562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color w:val="auto"/>
                      <w:sz w:val="21"/>
                      <w:szCs w:val="21"/>
                    </w:rPr>
                    <w:t>本项目</w:t>
                  </w:r>
                  <w:r>
                    <w:rPr>
                      <w:rFonts w:hint="eastAsia"/>
                      <w:color w:val="auto"/>
                      <w:sz w:val="21"/>
                      <w:szCs w:val="21"/>
                      <w:lang w:eastAsia="zh-CN"/>
                    </w:rPr>
                    <w:t>不涉及主要污染物排放总量指标。</w:t>
                  </w:r>
                </w:p>
              </w:tc>
              <w:tc>
                <w:tcPr>
                  <w:tcW w:w="657" w:type="dxa"/>
                  <w:gridSpan w:val="2"/>
                  <w:tcBorders>
                    <w:tl2br w:val="nil"/>
                    <w:tr2bl w:val="nil"/>
                  </w:tcBorders>
                  <w:noWrap w:val="0"/>
                  <w:vAlign w:val="center"/>
                </w:tcPr>
                <w:p w14:paraId="0E730B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8E450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298CFB9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B5DAD8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E32B8A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5</w:t>
                  </w:r>
                  <w:r>
                    <w:rPr>
                      <w:rFonts w:hint="eastAsia"/>
                      <w:color w:val="auto"/>
                      <w:sz w:val="21"/>
                      <w:szCs w:val="21"/>
                    </w:rPr>
                    <w:t>、以水泥、平板玻璃、焦化、化工、制药等行业为重点，加快城市建成区重污染企业搬迁改造或关闭退出，县城和主要城镇建成区的重污染企业逐步实施退城搬迁。对不符合国家产业政策、不符合当地产业布局规划的分散燃煤（燃重油等）炉窑，鼓励搬迁入园并进行集中治理，推进治理装备升级改造，建设规模化和集约化工业企业。</w:t>
                  </w:r>
                </w:p>
              </w:tc>
              <w:tc>
                <w:tcPr>
                  <w:tcW w:w="1844" w:type="dxa"/>
                  <w:gridSpan w:val="2"/>
                  <w:tcBorders>
                    <w:tl2br w:val="nil"/>
                    <w:tr2bl w:val="nil"/>
                  </w:tcBorders>
                  <w:noWrap w:val="0"/>
                  <w:vAlign w:val="center"/>
                </w:tcPr>
                <w:p w14:paraId="093BE02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本项目不新增占地，不涉及退城搬迁。</w:t>
                  </w:r>
                </w:p>
              </w:tc>
              <w:tc>
                <w:tcPr>
                  <w:tcW w:w="657" w:type="dxa"/>
                  <w:gridSpan w:val="2"/>
                  <w:tcBorders>
                    <w:tl2br w:val="nil"/>
                    <w:tr2bl w:val="nil"/>
                  </w:tcBorders>
                  <w:noWrap w:val="0"/>
                  <w:vAlign w:val="center"/>
                </w:tcPr>
                <w:p w14:paraId="752539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8E639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483AE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761304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AD1DD3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6</w:t>
                  </w:r>
                  <w:r>
                    <w:rPr>
                      <w:rFonts w:hint="eastAsia"/>
                      <w:color w:val="auto"/>
                      <w:sz w:val="21"/>
                      <w:szCs w:val="21"/>
                    </w:rPr>
                    <w:t>、在优先保护类耕地集中区域严格控制新建有色金属冶炼、石油加工、化工、焦化、电镀、制革、铅蓄电池等行业企业，防止对耕地造成污染。</w:t>
                  </w:r>
                </w:p>
              </w:tc>
              <w:tc>
                <w:tcPr>
                  <w:tcW w:w="1844" w:type="dxa"/>
                  <w:gridSpan w:val="2"/>
                  <w:tcBorders>
                    <w:tl2br w:val="nil"/>
                    <w:tr2bl w:val="nil"/>
                  </w:tcBorders>
                  <w:noWrap w:val="0"/>
                  <w:vAlign w:val="center"/>
                </w:tcPr>
                <w:p w14:paraId="1A85239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6C31E2E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6D22A91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F4A733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45C5645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785B1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7</w:t>
                  </w:r>
                  <w:r>
                    <w:rPr>
                      <w:rFonts w:hint="eastAsia"/>
                      <w:color w:val="auto"/>
                      <w:sz w:val="21"/>
                      <w:szCs w:val="21"/>
                    </w:rPr>
                    <w:t>、新建、改建、扩建“两高”项目须符合生态环境保护法律法规和相关法定规划，满足重点污染物排放总量控制、碳排放达峰目标、生态环境准入清单、相关规划环评和相应行业建设项目环境准入条件、环评文件审批原则要求。</w:t>
                  </w:r>
                </w:p>
              </w:tc>
              <w:tc>
                <w:tcPr>
                  <w:tcW w:w="1844" w:type="dxa"/>
                  <w:gridSpan w:val="2"/>
                  <w:tcBorders>
                    <w:tl2br w:val="nil"/>
                    <w:tr2bl w:val="nil"/>
                  </w:tcBorders>
                  <w:noWrap w:val="0"/>
                  <w:vAlign w:val="center"/>
                </w:tcPr>
                <w:p w14:paraId="6FC4367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本项目不属于“两高”项目。</w:t>
                  </w:r>
                </w:p>
              </w:tc>
              <w:tc>
                <w:tcPr>
                  <w:tcW w:w="657" w:type="dxa"/>
                  <w:gridSpan w:val="2"/>
                  <w:tcBorders>
                    <w:tl2br w:val="nil"/>
                    <w:tr2bl w:val="nil"/>
                  </w:tcBorders>
                  <w:noWrap w:val="0"/>
                  <w:vAlign w:val="center"/>
                </w:tcPr>
                <w:p w14:paraId="317F851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16E3E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53E6EB0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14A9C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379669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8</w:t>
                  </w:r>
                  <w:r>
                    <w:rPr>
                      <w:rFonts w:hint="eastAsia"/>
                      <w:color w:val="auto"/>
                      <w:sz w:val="21"/>
                      <w:szCs w:val="21"/>
                    </w:rPr>
                    <w:t>、鼓励钢铁冶炼项目建设依托具备条件的现有钢铁冶炼生产厂区集聚发展，在现有厂区建设钢铁冶炼项目没有粗钢产能建设规模限制要求。对确有必要新选址（指不能与现有生产厂区共用公辅设施，下同）建设的钢铁冶炼项目粗钢产能规模要求如下：沿海地区（指拥有海岸线的设区市）不低于</w:t>
                  </w:r>
                  <w:r>
                    <w:rPr>
                      <w:color w:val="auto"/>
                      <w:sz w:val="21"/>
                      <w:szCs w:val="21"/>
                    </w:rPr>
                    <w:t>2000</w:t>
                  </w:r>
                  <w:r>
                    <w:rPr>
                      <w:rFonts w:hint="eastAsia"/>
                      <w:color w:val="auto"/>
                      <w:sz w:val="21"/>
                      <w:szCs w:val="21"/>
                    </w:rPr>
                    <w:t>万吨</w:t>
                  </w:r>
                  <w:r>
                    <w:rPr>
                      <w:color w:val="auto"/>
                      <w:sz w:val="21"/>
                      <w:szCs w:val="21"/>
                    </w:rPr>
                    <w:t>/</w:t>
                  </w:r>
                  <w:r>
                    <w:rPr>
                      <w:rFonts w:hint="eastAsia"/>
                      <w:color w:val="auto"/>
                      <w:sz w:val="21"/>
                      <w:szCs w:val="21"/>
                    </w:rPr>
                    <w:t>年（允许分两期建设，</w:t>
                  </w:r>
                  <w:r>
                    <w:rPr>
                      <w:color w:val="auto"/>
                      <w:sz w:val="21"/>
                      <w:szCs w:val="21"/>
                    </w:rPr>
                    <w:t>5</w:t>
                  </w:r>
                  <w:r>
                    <w:rPr>
                      <w:rFonts w:hint="eastAsia"/>
                      <w:color w:val="auto"/>
                      <w:sz w:val="21"/>
                      <w:szCs w:val="21"/>
                    </w:rPr>
                    <w:t>年内全部建成，一期不低于</w:t>
                  </w:r>
                  <w:r>
                    <w:rPr>
                      <w:color w:val="auto"/>
                      <w:sz w:val="21"/>
                      <w:szCs w:val="21"/>
                    </w:rPr>
                    <w:t>1000</w:t>
                  </w:r>
                  <w:r>
                    <w:rPr>
                      <w:rFonts w:hint="eastAsia"/>
                      <w:color w:val="auto"/>
                      <w:sz w:val="21"/>
                      <w:szCs w:val="21"/>
                    </w:rPr>
                    <w:t>万吨</w:t>
                  </w:r>
                  <w:r>
                    <w:rPr>
                      <w:color w:val="auto"/>
                      <w:sz w:val="21"/>
                      <w:szCs w:val="21"/>
                    </w:rPr>
                    <w:t>/</w:t>
                  </w:r>
                  <w:r>
                    <w:rPr>
                      <w:rFonts w:hint="eastAsia"/>
                      <w:color w:val="auto"/>
                      <w:sz w:val="21"/>
                      <w:szCs w:val="21"/>
                    </w:rPr>
                    <w:t>年）。</w:t>
                  </w:r>
                </w:p>
              </w:tc>
              <w:tc>
                <w:tcPr>
                  <w:tcW w:w="1844" w:type="dxa"/>
                  <w:gridSpan w:val="2"/>
                  <w:tcBorders>
                    <w:tl2br w:val="nil"/>
                    <w:tr2bl w:val="nil"/>
                  </w:tcBorders>
                  <w:noWrap w:val="0"/>
                  <w:vAlign w:val="center"/>
                </w:tcPr>
                <w:p w14:paraId="05D2712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047C724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7224195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72" w:hRule="atLeast"/>
                <w:jc w:val="center"/>
              </w:trPr>
              <w:tc>
                <w:tcPr>
                  <w:tcW w:w="545" w:type="dxa"/>
                  <w:vMerge w:val="continue"/>
                  <w:tcBorders>
                    <w:tl2br w:val="nil"/>
                    <w:tr2bl w:val="nil"/>
                  </w:tcBorders>
                  <w:noWrap w:val="0"/>
                  <w:vAlign w:val="center"/>
                </w:tcPr>
                <w:p w14:paraId="19F4CD9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5B9B07B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AD71DB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9</w:t>
                  </w:r>
                  <w:r>
                    <w:rPr>
                      <w:rFonts w:hint="eastAsia"/>
                      <w:color w:val="auto"/>
                      <w:sz w:val="21"/>
                      <w:szCs w:val="21"/>
                    </w:rPr>
                    <w:t>、严格规范危化品管理，逐步退出人口聚集区内危化品的生产、储存、加工机构，加快实施重污染企业搬迁；加强居住区生态环境防护，建设封闭式石化园区，严格控制危化品仓储基地、运输路径等，减少对居民生活影响。</w:t>
                  </w:r>
                </w:p>
              </w:tc>
              <w:tc>
                <w:tcPr>
                  <w:tcW w:w="1844" w:type="dxa"/>
                  <w:gridSpan w:val="2"/>
                  <w:tcBorders>
                    <w:tl2br w:val="nil"/>
                    <w:tr2bl w:val="nil"/>
                  </w:tcBorders>
                  <w:noWrap w:val="0"/>
                  <w:vAlign w:val="center"/>
                </w:tcPr>
                <w:p w14:paraId="116B646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7F1DEE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E08D6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110" w:hRule="atLeast"/>
                <w:jc w:val="center"/>
              </w:trPr>
              <w:tc>
                <w:tcPr>
                  <w:tcW w:w="545" w:type="dxa"/>
                  <w:vMerge w:val="continue"/>
                  <w:tcBorders>
                    <w:tl2br w:val="nil"/>
                    <w:tr2bl w:val="nil"/>
                  </w:tcBorders>
                  <w:noWrap w:val="0"/>
                  <w:vAlign w:val="center"/>
                </w:tcPr>
                <w:p w14:paraId="58F913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B63FCB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485BB5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10</w:t>
                  </w:r>
                  <w:r>
                    <w:rPr>
                      <w:rFonts w:hint="eastAsia"/>
                      <w:color w:val="auto"/>
                      <w:sz w:val="21"/>
                      <w:szCs w:val="21"/>
                    </w:rPr>
                    <w:t>、严格控制尿素、磷铵、电石、烧碱、聚氯乙烯、纯碱、黄磷等过剩行业新增产能，相关部门和机构不得违规办理土地（海域）供应、能评、环评和新增授信等业务，对符合政策要求的先进工艺改造提升项目应实行等量或减量置换。有序推进曹妃甸石化产业基地建设。未纳入《石化产业规划布局方案》的新建炼化项目一律不得建设。强化安全卫生防护距离和规划环评约束，不符合要求的化工园区、化工品储存项目要关闭退出，危险化学品生产企业搬迁改造及新建化工项目必须进入规范化工园区。</w:t>
                  </w:r>
                </w:p>
              </w:tc>
              <w:tc>
                <w:tcPr>
                  <w:tcW w:w="1844" w:type="dxa"/>
                  <w:gridSpan w:val="2"/>
                  <w:tcBorders>
                    <w:tl2br w:val="nil"/>
                    <w:tr2bl w:val="nil"/>
                  </w:tcBorders>
                  <w:noWrap w:val="0"/>
                  <w:vAlign w:val="center"/>
                </w:tcPr>
                <w:p w14:paraId="7AB4DB6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35ADBB8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523A605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3400C91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CE8487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868CA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11</w:t>
                  </w:r>
                  <w:r>
                    <w:rPr>
                      <w:rFonts w:hint="eastAsia"/>
                      <w:color w:val="auto"/>
                      <w:sz w:val="21"/>
                      <w:szCs w:val="21"/>
                    </w:rPr>
                    <w:t>、逐步淘汰</w:t>
                  </w:r>
                  <w:r>
                    <w:rPr>
                      <w:color w:val="auto"/>
                      <w:sz w:val="21"/>
                      <w:szCs w:val="21"/>
                    </w:rPr>
                    <w:t>180</w:t>
                  </w:r>
                  <w:r>
                    <w:rPr>
                      <w:rFonts w:hint="eastAsia"/>
                      <w:color w:val="auto"/>
                      <w:sz w:val="21"/>
                      <w:szCs w:val="21"/>
                    </w:rPr>
                    <w:t>平方米以下烧结机，逐步淘汰平面步进式烧结机，按照有关规定改造升级为大型带式烧结机；禁止新建球团竖炉，现有球团竖炉炉役到期不得大修，加快推动以链篦机</w:t>
                  </w:r>
                  <w:r>
                    <w:rPr>
                      <w:color w:val="auto"/>
                      <w:sz w:val="21"/>
                      <w:szCs w:val="21"/>
                    </w:rPr>
                    <w:t>-</w:t>
                  </w:r>
                  <w:r>
                    <w:rPr>
                      <w:rFonts w:hint="eastAsia"/>
                      <w:color w:val="auto"/>
                      <w:sz w:val="21"/>
                      <w:szCs w:val="21"/>
                    </w:rPr>
                    <w:t>回转窑或带式焙烧机工艺取代球团竖炉工艺，鼓励企业之间通过合资合作方式建设大型链篦机</w:t>
                  </w:r>
                  <w:r>
                    <w:rPr>
                      <w:color w:val="auto"/>
                      <w:sz w:val="21"/>
                      <w:szCs w:val="21"/>
                    </w:rPr>
                    <w:t>-</w:t>
                  </w:r>
                  <w:r>
                    <w:rPr>
                      <w:rFonts w:hint="eastAsia"/>
                      <w:color w:val="auto"/>
                      <w:sz w:val="21"/>
                      <w:szCs w:val="21"/>
                    </w:rPr>
                    <w:t>回转窑、带式焙烧机；加快推动以密闭皮带机取代汽车转运厂内大宗物料。</w:t>
                  </w:r>
                </w:p>
              </w:tc>
              <w:tc>
                <w:tcPr>
                  <w:tcW w:w="1844" w:type="dxa"/>
                  <w:gridSpan w:val="2"/>
                  <w:tcBorders>
                    <w:tl2br w:val="nil"/>
                    <w:tr2bl w:val="nil"/>
                  </w:tcBorders>
                  <w:noWrap w:val="0"/>
                  <w:vAlign w:val="center"/>
                </w:tcPr>
                <w:p w14:paraId="1C5256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54E213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9770D9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0E7E1D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EC648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03063F4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12</w:t>
                  </w:r>
                  <w:r>
                    <w:rPr>
                      <w:rFonts w:hint="eastAsia"/>
                      <w:color w:val="auto"/>
                      <w:sz w:val="21"/>
                      <w:szCs w:val="21"/>
                    </w:rPr>
                    <w:t>、技术装备全面升级，高炉逐步达到</w:t>
                  </w:r>
                  <w:r>
                    <w:rPr>
                      <w:color w:val="auto"/>
                      <w:sz w:val="21"/>
                      <w:szCs w:val="21"/>
                    </w:rPr>
                    <w:t>1000</w:t>
                  </w:r>
                  <w:r>
                    <w:rPr>
                      <w:rFonts w:hint="eastAsia"/>
                      <w:color w:val="auto"/>
                      <w:sz w:val="21"/>
                      <w:szCs w:val="21"/>
                    </w:rPr>
                    <w:t>立方米及以上、转炉逐步达到</w:t>
                  </w:r>
                  <w:r>
                    <w:rPr>
                      <w:color w:val="auto"/>
                      <w:sz w:val="21"/>
                      <w:szCs w:val="21"/>
                    </w:rPr>
                    <w:t>100</w:t>
                  </w:r>
                  <w:r>
                    <w:rPr>
                      <w:rFonts w:hint="eastAsia"/>
                      <w:color w:val="auto"/>
                      <w:sz w:val="21"/>
                      <w:szCs w:val="21"/>
                    </w:rPr>
                    <w:t>吨及以上、烧结机逐步达到</w:t>
                  </w:r>
                  <w:r>
                    <w:rPr>
                      <w:color w:val="auto"/>
                      <w:sz w:val="21"/>
                      <w:szCs w:val="21"/>
                    </w:rPr>
                    <w:t>180</w:t>
                  </w:r>
                  <w:r>
                    <w:rPr>
                      <w:rFonts w:hint="eastAsia"/>
                      <w:color w:val="auto"/>
                      <w:sz w:val="21"/>
                      <w:szCs w:val="21"/>
                    </w:rPr>
                    <w:t>平方米烧结机及以上。严格按照国家规定的产能减量置换政策实施改造升级，坚决杜绝借改造升级之机变相扩大生产能力；推广“一罐到底”工艺或采用鱼雷罐车运输铁水。</w:t>
                  </w:r>
                </w:p>
              </w:tc>
              <w:tc>
                <w:tcPr>
                  <w:tcW w:w="1844" w:type="dxa"/>
                  <w:gridSpan w:val="2"/>
                  <w:tcBorders>
                    <w:tl2br w:val="nil"/>
                    <w:tr2bl w:val="nil"/>
                  </w:tcBorders>
                  <w:noWrap w:val="0"/>
                  <w:vAlign w:val="center"/>
                </w:tcPr>
                <w:p w14:paraId="4DC1F67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21A28BE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5FC72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493650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03D9230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6B72769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13</w:t>
                  </w:r>
                  <w:r>
                    <w:rPr>
                      <w:rFonts w:hint="eastAsia"/>
                      <w:color w:val="auto"/>
                      <w:sz w:val="21"/>
                      <w:szCs w:val="21"/>
                    </w:rPr>
                    <w:t>、尚未配备脱硫装置的球团竖炉，立即停产淘汰，不再予以改造；烧结厂房实现全封闭。</w:t>
                  </w:r>
                </w:p>
              </w:tc>
              <w:tc>
                <w:tcPr>
                  <w:tcW w:w="1844" w:type="dxa"/>
                  <w:gridSpan w:val="2"/>
                  <w:tcBorders>
                    <w:tl2br w:val="nil"/>
                    <w:tr2bl w:val="nil"/>
                  </w:tcBorders>
                  <w:noWrap w:val="0"/>
                  <w:vAlign w:val="center"/>
                </w:tcPr>
                <w:p w14:paraId="40BC613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46DD851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BD6F4A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2C4E4DC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37FD7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54BB50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14</w:t>
                  </w:r>
                  <w:r>
                    <w:rPr>
                      <w:rFonts w:hint="eastAsia"/>
                      <w:color w:val="auto"/>
                      <w:sz w:val="21"/>
                      <w:szCs w:val="21"/>
                    </w:rPr>
                    <w:t>、严禁备案和新建扩大产能的水泥熟料、平板玻璃项目。确有必要新建的，必须制定产能置换方案，实施产能置换。用于产能置换的生产线，必须在建设项目投产前关停并完成拆除退出。</w:t>
                  </w:r>
                </w:p>
              </w:tc>
              <w:tc>
                <w:tcPr>
                  <w:tcW w:w="1844" w:type="dxa"/>
                  <w:gridSpan w:val="2"/>
                  <w:tcBorders>
                    <w:tl2br w:val="nil"/>
                    <w:tr2bl w:val="nil"/>
                  </w:tcBorders>
                  <w:noWrap w:val="0"/>
                  <w:vAlign w:val="center"/>
                </w:tcPr>
                <w:p w14:paraId="0F6CE3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7CE3620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1B6D23B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34188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16D627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021B414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15</w:t>
                  </w:r>
                  <w:r>
                    <w:rPr>
                      <w:rFonts w:hint="eastAsia"/>
                      <w:color w:val="auto"/>
                      <w:sz w:val="21"/>
                      <w:szCs w:val="21"/>
                    </w:rPr>
                    <w:t>、引导和支持优势水泥熟料企业开展对单独粉磨企业的整合。</w:t>
                  </w:r>
                </w:p>
              </w:tc>
              <w:tc>
                <w:tcPr>
                  <w:tcW w:w="1844" w:type="dxa"/>
                  <w:gridSpan w:val="2"/>
                  <w:tcBorders>
                    <w:tl2br w:val="nil"/>
                    <w:tr2bl w:val="nil"/>
                  </w:tcBorders>
                  <w:noWrap w:val="0"/>
                  <w:vAlign w:val="center"/>
                </w:tcPr>
                <w:p w14:paraId="47426DD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6CAF659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255FC7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6E7C367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3395C16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176EFD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16</w:t>
                  </w:r>
                  <w:r>
                    <w:rPr>
                      <w:rFonts w:hint="eastAsia"/>
                      <w:color w:val="auto"/>
                      <w:sz w:val="21"/>
                      <w:szCs w:val="21"/>
                    </w:rPr>
                    <w:t>、平板玻璃行业生产布局应满足《平板玻璃行业规范条件》要求。</w:t>
                  </w:r>
                </w:p>
              </w:tc>
              <w:tc>
                <w:tcPr>
                  <w:tcW w:w="1844" w:type="dxa"/>
                  <w:gridSpan w:val="2"/>
                  <w:tcBorders>
                    <w:tl2br w:val="nil"/>
                    <w:tr2bl w:val="nil"/>
                  </w:tcBorders>
                  <w:noWrap w:val="0"/>
                  <w:vAlign w:val="center"/>
                </w:tcPr>
                <w:p w14:paraId="6059B8F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0C679C6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3205F39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349E824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777088E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70F0826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17</w:t>
                  </w:r>
                  <w:r>
                    <w:rPr>
                      <w:rFonts w:hint="eastAsia"/>
                      <w:color w:val="auto"/>
                      <w:sz w:val="21"/>
                      <w:szCs w:val="21"/>
                    </w:rPr>
                    <w:t>、严格控制矿产资源开采总量，重点压减与煤炭、水泥、玻璃等过剩产能行业配套的矿产资源开采总量。停止新批石膏矿项目、平原区煤炭开发项目。暂停新增生产能力的产能过剩矿产开发项目审批，已有矿山暂停扩大矿区范围审批。暂停新上露天矿产开发项目审批，已有露天矿山暂停扩大矿区范围审批。暂停新上达不到工业品位的铁矿开发项目审批。做好矿区开发生态环境影响评估论证，论证不通过，一律禁止开发。</w:t>
                  </w:r>
                </w:p>
              </w:tc>
              <w:tc>
                <w:tcPr>
                  <w:tcW w:w="1844" w:type="dxa"/>
                  <w:gridSpan w:val="2"/>
                  <w:tcBorders>
                    <w:tl2br w:val="nil"/>
                    <w:tr2bl w:val="nil"/>
                  </w:tcBorders>
                  <w:noWrap w:val="0"/>
                  <w:vAlign w:val="center"/>
                </w:tcPr>
                <w:p w14:paraId="498068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1BD9E81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r w14:paraId="0642F1C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92" w:hRule="atLeast"/>
                <w:jc w:val="center"/>
              </w:trPr>
              <w:tc>
                <w:tcPr>
                  <w:tcW w:w="545" w:type="dxa"/>
                  <w:vMerge w:val="continue"/>
                  <w:tcBorders>
                    <w:tl2br w:val="nil"/>
                    <w:tr2bl w:val="nil"/>
                  </w:tcBorders>
                  <w:noWrap w:val="0"/>
                  <w:vAlign w:val="center"/>
                </w:tcPr>
                <w:p w14:paraId="11BFEC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994" w:type="dxa"/>
                  <w:gridSpan w:val="3"/>
                  <w:vMerge w:val="continue"/>
                  <w:tcBorders>
                    <w:tl2br w:val="nil"/>
                    <w:tr2bl w:val="nil"/>
                  </w:tcBorders>
                  <w:noWrap w:val="0"/>
                  <w:vAlign w:val="center"/>
                </w:tcPr>
                <w:p w14:paraId="601A446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p>
              </w:tc>
              <w:tc>
                <w:tcPr>
                  <w:tcW w:w="8618" w:type="dxa"/>
                  <w:gridSpan w:val="2"/>
                  <w:tcBorders>
                    <w:tl2br w:val="nil"/>
                    <w:tr2bl w:val="nil"/>
                  </w:tcBorders>
                  <w:noWrap w:val="0"/>
                  <w:vAlign w:val="center"/>
                </w:tcPr>
                <w:p w14:paraId="24C809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auto"/>
                      <w:sz w:val="21"/>
                      <w:szCs w:val="21"/>
                    </w:rPr>
                  </w:pPr>
                  <w:r>
                    <w:rPr>
                      <w:color w:val="auto"/>
                      <w:sz w:val="21"/>
                      <w:szCs w:val="21"/>
                    </w:rPr>
                    <w:t>18</w:t>
                  </w:r>
                  <w:r>
                    <w:rPr>
                      <w:rFonts w:hint="eastAsia"/>
                      <w:color w:val="auto"/>
                      <w:sz w:val="21"/>
                      <w:szCs w:val="21"/>
                    </w:rPr>
                    <w:t>、实施矿山关闭和停批。依法关闭严重破坏生态环境和严重浪费水资源的矿山；依法关闭列入煤炭去产能计划的煤矿；依法关闭限期整改仍达不到生态环境保护要求和环保、安全标准的矿山；依法关闭现有石膏矿和严重污染环境的石灰窑、小建材加工点。</w:t>
                  </w:r>
                </w:p>
              </w:tc>
              <w:tc>
                <w:tcPr>
                  <w:tcW w:w="1844" w:type="dxa"/>
                  <w:gridSpan w:val="2"/>
                  <w:tcBorders>
                    <w:tl2br w:val="nil"/>
                    <w:tr2bl w:val="nil"/>
                  </w:tcBorders>
                  <w:noWrap w:val="0"/>
                  <w:vAlign w:val="center"/>
                </w:tcPr>
                <w:p w14:paraId="14533FD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本项目不涉及。</w:t>
                  </w:r>
                </w:p>
              </w:tc>
              <w:tc>
                <w:tcPr>
                  <w:tcW w:w="657" w:type="dxa"/>
                  <w:gridSpan w:val="2"/>
                  <w:tcBorders>
                    <w:tl2br w:val="nil"/>
                    <w:tr2bl w:val="nil"/>
                  </w:tcBorders>
                  <w:noWrap w:val="0"/>
                  <w:vAlign w:val="center"/>
                </w:tcPr>
                <w:p w14:paraId="304C98D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1"/>
                      <w:szCs w:val="21"/>
                    </w:rPr>
                  </w:pPr>
                  <w:r>
                    <w:rPr>
                      <w:rFonts w:hint="eastAsia"/>
                      <w:color w:val="auto"/>
                      <w:sz w:val="21"/>
                      <w:szCs w:val="21"/>
                    </w:rPr>
                    <w:t>不涉及</w:t>
                  </w:r>
                </w:p>
              </w:tc>
            </w:tr>
          </w:tbl>
          <w:p w14:paraId="0D0E06D2">
            <w:pPr>
              <w:keepNext w:val="0"/>
              <w:keepLines w:val="0"/>
              <w:pageBreakBefore w:val="0"/>
              <w:widowControl w:val="0"/>
              <w:numPr>
                <w:ilvl w:val="0"/>
                <w:numId w:val="0"/>
              </w:numPr>
              <w:shd w:val="clear"/>
              <w:tabs>
                <w:tab w:val="left" w:pos="0"/>
              </w:tabs>
              <w:kinsoku/>
              <w:wordWrap/>
              <w:overflowPunct/>
              <w:topLinePunct w:val="0"/>
              <w:autoSpaceDE/>
              <w:autoSpaceDN/>
              <w:bidi w:val="0"/>
              <w:adjustRightInd/>
              <w:snapToGrid/>
              <w:ind w:leftChars="0"/>
              <w:jc w:val="both"/>
              <w:textAlignment w:val="auto"/>
              <w:rPr>
                <w:rFonts w:hint="eastAsia" w:ascii="Times New Roman" w:hAnsi="Times New Roman" w:eastAsia="宋体" w:cs="Times New Roman"/>
                <w:b/>
                <w:bCs/>
                <w:color w:val="auto"/>
                <w:spacing w:val="0"/>
                <w:sz w:val="21"/>
                <w:szCs w:val="21"/>
                <w:highlight w:val="none"/>
                <w:lang w:val="en-US" w:eastAsia="zh-CN"/>
              </w:rPr>
            </w:pPr>
          </w:p>
          <w:p w14:paraId="6527123C">
            <w:pPr>
              <w:pStyle w:val="15"/>
              <w:shd w:val="clear"/>
              <w:rPr>
                <w:rFonts w:hint="eastAsia" w:ascii="Times New Roman" w:hAnsi="Times New Roman" w:eastAsia="宋体" w:cs="Times New Roman"/>
                <w:b/>
                <w:bCs/>
                <w:color w:val="auto"/>
                <w:spacing w:val="0"/>
                <w:sz w:val="21"/>
                <w:szCs w:val="21"/>
                <w:highlight w:val="none"/>
                <w:lang w:val="en-US" w:eastAsia="zh-CN"/>
              </w:rPr>
            </w:pPr>
          </w:p>
          <w:p w14:paraId="0697C252">
            <w:pPr>
              <w:shd w:val="clear"/>
              <w:rPr>
                <w:rFonts w:hint="eastAsia" w:ascii="Times New Roman" w:hAnsi="Times New Roman" w:eastAsia="宋体" w:cs="Times New Roman"/>
                <w:b/>
                <w:bCs/>
                <w:color w:val="auto"/>
                <w:spacing w:val="0"/>
                <w:sz w:val="21"/>
                <w:szCs w:val="21"/>
                <w:highlight w:val="none"/>
                <w:lang w:val="en-US" w:eastAsia="zh-CN"/>
              </w:rPr>
            </w:pPr>
          </w:p>
          <w:p w14:paraId="1B14962A">
            <w:pPr>
              <w:pStyle w:val="15"/>
              <w:shd w:val="clear"/>
              <w:rPr>
                <w:rFonts w:hint="eastAsia" w:ascii="Times New Roman" w:hAnsi="Times New Roman" w:eastAsia="宋体" w:cs="Times New Roman"/>
                <w:b/>
                <w:bCs/>
                <w:color w:val="auto"/>
                <w:spacing w:val="0"/>
                <w:sz w:val="21"/>
                <w:szCs w:val="21"/>
                <w:highlight w:val="none"/>
                <w:lang w:val="en-US" w:eastAsia="zh-CN"/>
              </w:rPr>
            </w:pPr>
          </w:p>
          <w:p w14:paraId="5E9655C0">
            <w:pPr>
              <w:shd w:val="clear"/>
              <w:rPr>
                <w:rFonts w:hint="eastAsia" w:ascii="Times New Roman" w:hAnsi="Times New Roman" w:eastAsia="宋体" w:cs="Times New Roman"/>
                <w:b/>
                <w:bCs/>
                <w:color w:val="auto"/>
                <w:spacing w:val="0"/>
                <w:sz w:val="21"/>
                <w:szCs w:val="21"/>
                <w:highlight w:val="none"/>
                <w:lang w:val="en-US" w:eastAsia="zh-CN"/>
              </w:rPr>
            </w:pPr>
          </w:p>
          <w:p w14:paraId="40F42499">
            <w:pPr>
              <w:pStyle w:val="15"/>
              <w:shd w:val="clear"/>
              <w:rPr>
                <w:rFonts w:hint="eastAsia" w:ascii="Times New Roman" w:hAnsi="Times New Roman" w:eastAsia="宋体" w:cs="Times New Roman"/>
                <w:b/>
                <w:bCs/>
                <w:color w:val="auto"/>
                <w:spacing w:val="0"/>
                <w:sz w:val="21"/>
                <w:szCs w:val="21"/>
                <w:highlight w:val="none"/>
                <w:lang w:val="en-US" w:eastAsia="zh-CN"/>
              </w:rPr>
            </w:pPr>
          </w:p>
          <w:p w14:paraId="6A13FDD8">
            <w:pPr>
              <w:shd w:val="clear"/>
              <w:rPr>
                <w:rFonts w:hint="eastAsia" w:ascii="Times New Roman" w:hAnsi="Times New Roman" w:eastAsia="宋体" w:cs="Times New Roman"/>
                <w:b/>
                <w:bCs/>
                <w:color w:val="auto"/>
                <w:spacing w:val="0"/>
                <w:sz w:val="21"/>
                <w:szCs w:val="21"/>
                <w:highlight w:val="none"/>
                <w:lang w:val="en-US" w:eastAsia="zh-CN"/>
              </w:rPr>
            </w:pPr>
          </w:p>
          <w:p w14:paraId="4D9A54F5">
            <w:pPr>
              <w:pStyle w:val="15"/>
              <w:shd w:val="clear"/>
              <w:rPr>
                <w:rFonts w:hint="eastAsia"/>
                <w:color w:val="auto"/>
                <w:lang w:val="en-US" w:eastAsia="zh-CN"/>
              </w:rPr>
            </w:pPr>
          </w:p>
          <w:p w14:paraId="294E151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与唐山市陆域环境管控单元生态环境准入清单符合性分析一览表</w:t>
            </w:r>
          </w:p>
          <w:tbl>
            <w:tblPr>
              <w:tblStyle w:val="33"/>
              <w:tblW w:w="1271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38"/>
              <w:gridCol w:w="413"/>
              <w:gridCol w:w="985"/>
              <w:gridCol w:w="695"/>
              <w:gridCol w:w="733"/>
              <w:gridCol w:w="863"/>
              <w:gridCol w:w="5735"/>
              <w:gridCol w:w="1739"/>
              <w:gridCol w:w="916"/>
            </w:tblGrid>
            <w:tr w14:paraId="6AE413C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8" w:hRule="atLeast"/>
                <w:tblHeader/>
                <w:jc w:val="center"/>
              </w:trPr>
              <w:tc>
                <w:tcPr>
                  <w:tcW w:w="638" w:type="dxa"/>
                  <w:tcBorders>
                    <w:tl2br w:val="nil"/>
                    <w:tr2bl w:val="nil"/>
                  </w:tcBorders>
                  <w:vAlign w:val="center"/>
                </w:tcPr>
                <w:p w14:paraId="44283C7E">
                  <w:pPr>
                    <w:shd w:val="clear"/>
                    <w:spacing w:line="0" w:lineRule="atLeast"/>
                    <w:ind w:firstLine="0" w:firstLineChars="0"/>
                    <w:jc w:val="center"/>
                    <w:rPr>
                      <w:b w:val="0"/>
                      <w:bCs w:val="0"/>
                      <w:color w:val="auto"/>
                      <w:sz w:val="21"/>
                      <w:szCs w:val="21"/>
                    </w:rPr>
                  </w:pPr>
                  <w:r>
                    <w:rPr>
                      <w:b w:val="0"/>
                      <w:bCs w:val="0"/>
                      <w:color w:val="auto"/>
                      <w:sz w:val="21"/>
                      <w:szCs w:val="21"/>
                    </w:rPr>
                    <w:t>编号</w:t>
                  </w:r>
                </w:p>
              </w:tc>
              <w:tc>
                <w:tcPr>
                  <w:tcW w:w="413" w:type="dxa"/>
                  <w:tcBorders>
                    <w:tl2br w:val="nil"/>
                    <w:tr2bl w:val="nil"/>
                  </w:tcBorders>
                  <w:vAlign w:val="center"/>
                </w:tcPr>
                <w:p w14:paraId="1A440F51">
                  <w:pPr>
                    <w:shd w:val="clear"/>
                    <w:spacing w:line="0" w:lineRule="atLeast"/>
                    <w:ind w:firstLine="0" w:firstLineChars="0"/>
                    <w:jc w:val="center"/>
                    <w:rPr>
                      <w:b w:val="0"/>
                      <w:bCs w:val="0"/>
                      <w:color w:val="auto"/>
                      <w:sz w:val="21"/>
                      <w:szCs w:val="21"/>
                    </w:rPr>
                  </w:pPr>
                  <w:r>
                    <w:rPr>
                      <w:b w:val="0"/>
                      <w:bCs w:val="0"/>
                      <w:color w:val="auto"/>
                      <w:sz w:val="21"/>
                      <w:szCs w:val="21"/>
                    </w:rPr>
                    <w:t>区县</w:t>
                  </w:r>
                </w:p>
              </w:tc>
              <w:tc>
                <w:tcPr>
                  <w:tcW w:w="985" w:type="dxa"/>
                  <w:tcBorders>
                    <w:tl2br w:val="nil"/>
                    <w:tr2bl w:val="nil"/>
                  </w:tcBorders>
                  <w:vAlign w:val="center"/>
                </w:tcPr>
                <w:p w14:paraId="1F4FB2BE">
                  <w:pPr>
                    <w:shd w:val="clear"/>
                    <w:spacing w:line="0" w:lineRule="atLeast"/>
                    <w:ind w:firstLine="0" w:firstLineChars="0"/>
                    <w:jc w:val="center"/>
                    <w:rPr>
                      <w:b w:val="0"/>
                      <w:bCs w:val="0"/>
                      <w:color w:val="auto"/>
                      <w:sz w:val="21"/>
                      <w:szCs w:val="21"/>
                      <w:lang w:val="zh-CN"/>
                    </w:rPr>
                  </w:pPr>
                  <w:r>
                    <w:rPr>
                      <w:b w:val="0"/>
                      <w:bCs w:val="0"/>
                      <w:color w:val="auto"/>
                      <w:sz w:val="21"/>
                      <w:szCs w:val="21"/>
                    </w:rPr>
                    <w:t>乡镇</w:t>
                  </w:r>
                </w:p>
              </w:tc>
              <w:tc>
                <w:tcPr>
                  <w:tcW w:w="695" w:type="dxa"/>
                  <w:tcBorders>
                    <w:tl2br w:val="nil"/>
                    <w:tr2bl w:val="nil"/>
                  </w:tcBorders>
                  <w:vAlign w:val="center"/>
                </w:tcPr>
                <w:p w14:paraId="079B94BB">
                  <w:pPr>
                    <w:shd w:val="clear"/>
                    <w:spacing w:line="0" w:lineRule="atLeast"/>
                    <w:ind w:firstLine="0" w:firstLineChars="0"/>
                    <w:jc w:val="center"/>
                    <w:rPr>
                      <w:b w:val="0"/>
                      <w:bCs w:val="0"/>
                      <w:color w:val="auto"/>
                      <w:sz w:val="21"/>
                      <w:szCs w:val="21"/>
                    </w:rPr>
                  </w:pPr>
                  <w:r>
                    <w:rPr>
                      <w:rFonts w:hint="eastAsia"/>
                      <w:b w:val="0"/>
                      <w:bCs w:val="0"/>
                      <w:color w:val="auto"/>
                      <w:sz w:val="21"/>
                      <w:szCs w:val="21"/>
                    </w:rPr>
                    <w:t>单元类别</w:t>
                  </w:r>
                </w:p>
              </w:tc>
              <w:tc>
                <w:tcPr>
                  <w:tcW w:w="733" w:type="dxa"/>
                  <w:tcBorders>
                    <w:tl2br w:val="nil"/>
                    <w:tr2bl w:val="nil"/>
                  </w:tcBorders>
                  <w:vAlign w:val="center"/>
                </w:tcPr>
                <w:p w14:paraId="623827E0">
                  <w:pPr>
                    <w:shd w:val="clear"/>
                    <w:spacing w:line="0" w:lineRule="atLeast"/>
                    <w:ind w:firstLine="0" w:firstLineChars="0"/>
                    <w:jc w:val="center"/>
                    <w:rPr>
                      <w:b w:val="0"/>
                      <w:bCs w:val="0"/>
                      <w:color w:val="auto"/>
                      <w:sz w:val="21"/>
                      <w:szCs w:val="21"/>
                      <w:lang w:val="zh-CN"/>
                    </w:rPr>
                  </w:pPr>
                  <w:r>
                    <w:rPr>
                      <w:b w:val="0"/>
                      <w:bCs w:val="0"/>
                      <w:color w:val="auto"/>
                      <w:sz w:val="21"/>
                      <w:szCs w:val="21"/>
                      <w:lang w:val="zh-CN"/>
                    </w:rPr>
                    <w:t>环境要素类别</w:t>
                  </w:r>
                </w:p>
              </w:tc>
              <w:tc>
                <w:tcPr>
                  <w:tcW w:w="863" w:type="dxa"/>
                  <w:tcBorders>
                    <w:tl2br w:val="nil"/>
                    <w:tr2bl w:val="nil"/>
                  </w:tcBorders>
                  <w:vAlign w:val="center"/>
                </w:tcPr>
                <w:p w14:paraId="411348C0">
                  <w:pPr>
                    <w:shd w:val="clear"/>
                    <w:spacing w:line="0" w:lineRule="atLeast"/>
                    <w:ind w:firstLine="0" w:firstLineChars="0"/>
                    <w:jc w:val="center"/>
                    <w:rPr>
                      <w:b w:val="0"/>
                      <w:bCs w:val="0"/>
                      <w:color w:val="auto"/>
                      <w:sz w:val="21"/>
                      <w:szCs w:val="21"/>
                    </w:rPr>
                  </w:pPr>
                  <w:r>
                    <w:rPr>
                      <w:b w:val="0"/>
                      <w:bCs w:val="0"/>
                      <w:color w:val="auto"/>
                      <w:sz w:val="21"/>
                      <w:szCs w:val="21"/>
                    </w:rPr>
                    <w:t>维度</w:t>
                  </w:r>
                </w:p>
              </w:tc>
              <w:tc>
                <w:tcPr>
                  <w:tcW w:w="5735" w:type="dxa"/>
                  <w:tcBorders>
                    <w:tl2br w:val="nil"/>
                    <w:tr2bl w:val="nil"/>
                  </w:tcBorders>
                  <w:vAlign w:val="center"/>
                </w:tcPr>
                <w:p w14:paraId="7E23EB25">
                  <w:pPr>
                    <w:shd w:val="clear"/>
                    <w:spacing w:line="0" w:lineRule="atLeast"/>
                    <w:ind w:firstLine="0" w:firstLineChars="0"/>
                    <w:jc w:val="center"/>
                    <w:rPr>
                      <w:b w:val="0"/>
                      <w:bCs w:val="0"/>
                      <w:color w:val="auto"/>
                      <w:sz w:val="21"/>
                      <w:szCs w:val="21"/>
                    </w:rPr>
                  </w:pPr>
                  <w:r>
                    <w:rPr>
                      <w:b w:val="0"/>
                      <w:bCs w:val="0"/>
                      <w:color w:val="auto"/>
                      <w:sz w:val="21"/>
                      <w:szCs w:val="21"/>
                    </w:rPr>
                    <w:t>管控措施</w:t>
                  </w:r>
                </w:p>
              </w:tc>
              <w:tc>
                <w:tcPr>
                  <w:tcW w:w="1739" w:type="dxa"/>
                  <w:tcBorders>
                    <w:tl2br w:val="nil"/>
                    <w:tr2bl w:val="nil"/>
                  </w:tcBorders>
                  <w:vAlign w:val="center"/>
                </w:tcPr>
                <w:p w14:paraId="66DB5EE8">
                  <w:pPr>
                    <w:shd w:val="clear"/>
                    <w:spacing w:line="0" w:lineRule="atLeast"/>
                    <w:ind w:firstLine="0" w:firstLineChars="0"/>
                    <w:jc w:val="center"/>
                    <w:rPr>
                      <w:b w:val="0"/>
                      <w:bCs w:val="0"/>
                      <w:color w:val="auto"/>
                      <w:sz w:val="21"/>
                      <w:szCs w:val="21"/>
                    </w:rPr>
                  </w:pPr>
                  <w:r>
                    <w:rPr>
                      <w:b w:val="0"/>
                      <w:bCs w:val="0"/>
                      <w:color w:val="auto"/>
                      <w:kern w:val="0"/>
                      <w:sz w:val="21"/>
                      <w:szCs w:val="21"/>
                    </w:rPr>
                    <w:t>项目情况</w:t>
                  </w:r>
                </w:p>
              </w:tc>
              <w:tc>
                <w:tcPr>
                  <w:tcW w:w="916" w:type="dxa"/>
                  <w:tcBorders>
                    <w:tl2br w:val="nil"/>
                    <w:tr2bl w:val="nil"/>
                  </w:tcBorders>
                  <w:vAlign w:val="center"/>
                </w:tcPr>
                <w:p w14:paraId="05F48586">
                  <w:pPr>
                    <w:shd w:val="clear"/>
                    <w:spacing w:line="0" w:lineRule="atLeast"/>
                    <w:ind w:firstLine="0" w:firstLineChars="0"/>
                    <w:jc w:val="center"/>
                    <w:rPr>
                      <w:b w:val="0"/>
                      <w:bCs w:val="0"/>
                      <w:color w:val="auto"/>
                      <w:sz w:val="21"/>
                      <w:szCs w:val="21"/>
                      <w:lang w:val="zh-CN"/>
                    </w:rPr>
                  </w:pPr>
                  <w:r>
                    <w:rPr>
                      <w:b w:val="0"/>
                      <w:bCs w:val="0"/>
                      <w:color w:val="auto"/>
                      <w:kern w:val="0"/>
                      <w:sz w:val="21"/>
                      <w:szCs w:val="21"/>
                    </w:rPr>
                    <w:t>本项目符合性</w:t>
                  </w:r>
                </w:p>
              </w:tc>
            </w:tr>
            <w:tr w14:paraId="5A9E6E8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6" w:hRule="atLeast"/>
                <w:jc w:val="center"/>
              </w:trPr>
              <w:tc>
                <w:tcPr>
                  <w:tcW w:w="638" w:type="dxa"/>
                  <w:vMerge w:val="restart"/>
                  <w:tcBorders>
                    <w:tl2br w:val="nil"/>
                    <w:tr2bl w:val="nil"/>
                  </w:tcBorders>
                  <w:vAlign w:val="center"/>
                </w:tcPr>
                <w:p w14:paraId="4E1A10F8">
                  <w:pPr>
                    <w:shd w:val="clear"/>
                    <w:spacing w:line="0" w:lineRule="atLeast"/>
                    <w:ind w:firstLine="0" w:firstLineChars="0"/>
                    <w:jc w:val="center"/>
                    <w:rPr>
                      <w:b w:val="0"/>
                      <w:bCs w:val="0"/>
                      <w:color w:val="auto"/>
                      <w:sz w:val="21"/>
                      <w:szCs w:val="21"/>
                    </w:rPr>
                  </w:pPr>
                  <w:r>
                    <w:rPr>
                      <w:b w:val="0"/>
                      <w:bCs w:val="0"/>
                      <w:color w:val="auto"/>
                      <w:sz w:val="21"/>
                      <w:szCs w:val="21"/>
                      <w:lang w:val="zh-CN"/>
                    </w:rPr>
                    <w:t>ZH1302</w:t>
                  </w:r>
                  <w:r>
                    <w:rPr>
                      <w:rFonts w:hint="eastAsia"/>
                      <w:b w:val="0"/>
                      <w:bCs w:val="0"/>
                      <w:color w:val="auto"/>
                      <w:sz w:val="21"/>
                      <w:szCs w:val="21"/>
                    </w:rPr>
                    <w:t>8430001</w:t>
                  </w:r>
                </w:p>
              </w:tc>
              <w:tc>
                <w:tcPr>
                  <w:tcW w:w="413" w:type="dxa"/>
                  <w:vMerge w:val="restart"/>
                  <w:tcBorders>
                    <w:tl2br w:val="nil"/>
                    <w:tr2bl w:val="nil"/>
                  </w:tcBorders>
                  <w:vAlign w:val="center"/>
                </w:tcPr>
                <w:p w14:paraId="0BD014D4">
                  <w:pPr>
                    <w:shd w:val="clear"/>
                    <w:spacing w:line="0" w:lineRule="atLeast"/>
                    <w:ind w:firstLine="0" w:firstLineChars="0"/>
                    <w:jc w:val="center"/>
                    <w:rPr>
                      <w:b w:val="0"/>
                      <w:bCs w:val="0"/>
                      <w:color w:val="auto"/>
                      <w:sz w:val="21"/>
                      <w:szCs w:val="21"/>
                      <w:lang w:val="zh-CN"/>
                    </w:rPr>
                  </w:pPr>
                  <w:r>
                    <w:rPr>
                      <w:rFonts w:hint="eastAsia"/>
                      <w:b w:val="0"/>
                      <w:bCs w:val="0"/>
                      <w:color w:val="auto"/>
                      <w:sz w:val="21"/>
                      <w:szCs w:val="21"/>
                      <w:lang w:val="zh-CN"/>
                    </w:rPr>
                    <w:t>滦州市</w:t>
                  </w:r>
                </w:p>
              </w:tc>
              <w:tc>
                <w:tcPr>
                  <w:tcW w:w="985" w:type="dxa"/>
                  <w:vMerge w:val="restart"/>
                  <w:tcBorders>
                    <w:tl2br w:val="nil"/>
                    <w:tr2bl w:val="nil"/>
                  </w:tcBorders>
                  <w:vAlign w:val="center"/>
                </w:tcPr>
                <w:p w14:paraId="4433A973">
                  <w:pPr>
                    <w:shd w:val="clear"/>
                    <w:spacing w:line="0" w:lineRule="atLeast"/>
                    <w:ind w:firstLine="0" w:firstLineChars="0"/>
                    <w:jc w:val="center"/>
                    <w:rPr>
                      <w:b w:val="0"/>
                      <w:bCs w:val="0"/>
                      <w:color w:val="auto"/>
                      <w:sz w:val="21"/>
                      <w:szCs w:val="21"/>
                      <w:lang w:val="zh-CN"/>
                    </w:rPr>
                  </w:pPr>
                  <w:r>
                    <w:rPr>
                      <w:rFonts w:hint="eastAsia"/>
                      <w:b w:val="0"/>
                      <w:bCs w:val="0"/>
                      <w:color w:val="auto"/>
                      <w:sz w:val="21"/>
                      <w:szCs w:val="21"/>
                      <w:lang w:val="zh-CN"/>
                    </w:rPr>
                    <w:t>茨榆坨镇、东安各庄镇、古城街道、古马镇、九百户镇、雷庄镇、滦城路街道、滦河街道、响嘡街道、小马庄镇、油榨镇</w:t>
                  </w:r>
                </w:p>
              </w:tc>
              <w:tc>
                <w:tcPr>
                  <w:tcW w:w="695" w:type="dxa"/>
                  <w:vMerge w:val="restart"/>
                  <w:tcBorders>
                    <w:tl2br w:val="nil"/>
                    <w:tr2bl w:val="nil"/>
                  </w:tcBorders>
                  <w:vAlign w:val="center"/>
                </w:tcPr>
                <w:p w14:paraId="0944A421">
                  <w:pPr>
                    <w:shd w:val="clear"/>
                    <w:spacing w:line="0" w:lineRule="atLeast"/>
                    <w:ind w:firstLine="0" w:firstLineChars="0"/>
                    <w:jc w:val="center"/>
                    <w:rPr>
                      <w:b w:val="0"/>
                      <w:bCs w:val="0"/>
                      <w:color w:val="auto"/>
                      <w:sz w:val="21"/>
                      <w:szCs w:val="21"/>
                    </w:rPr>
                  </w:pPr>
                  <w:r>
                    <w:rPr>
                      <w:rFonts w:hint="eastAsia"/>
                      <w:b w:val="0"/>
                      <w:bCs w:val="0"/>
                      <w:color w:val="auto"/>
                      <w:sz w:val="21"/>
                      <w:szCs w:val="21"/>
                    </w:rPr>
                    <w:t>一般管控单元</w:t>
                  </w:r>
                </w:p>
              </w:tc>
              <w:tc>
                <w:tcPr>
                  <w:tcW w:w="733" w:type="dxa"/>
                  <w:vMerge w:val="restart"/>
                  <w:tcBorders>
                    <w:tl2br w:val="nil"/>
                    <w:tr2bl w:val="nil"/>
                  </w:tcBorders>
                  <w:vAlign w:val="center"/>
                </w:tcPr>
                <w:p w14:paraId="79E7C2C4">
                  <w:pPr>
                    <w:shd w:val="clear"/>
                    <w:spacing w:line="0" w:lineRule="atLeast"/>
                    <w:ind w:firstLine="0" w:firstLineChars="0"/>
                    <w:jc w:val="center"/>
                    <w:rPr>
                      <w:rFonts w:hint="eastAsia" w:eastAsia="宋体"/>
                      <w:b w:val="0"/>
                      <w:bCs w:val="0"/>
                      <w:color w:val="auto"/>
                      <w:sz w:val="21"/>
                      <w:szCs w:val="21"/>
                      <w:lang w:val="en-US" w:eastAsia="zh-CN"/>
                    </w:rPr>
                  </w:pPr>
                  <w:r>
                    <w:rPr>
                      <w:rFonts w:hint="eastAsia"/>
                      <w:b w:val="0"/>
                      <w:bCs w:val="0"/>
                      <w:color w:val="auto"/>
                      <w:sz w:val="21"/>
                      <w:szCs w:val="21"/>
                      <w:lang w:val="en-US" w:eastAsia="zh-CN"/>
                    </w:rPr>
                    <w:t>/</w:t>
                  </w:r>
                </w:p>
              </w:tc>
              <w:tc>
                <w:tcPr>
                  <w:tcW w:w="863" w:type="dxa"/>
                  <w:tcBorders>
                    <w:tl2br w:val="nil"/>
                    <w:tr2bl w:val="nil"/>
                  </w:tcBorders>
                  <w:vAlign w:val="center"/>
                </w:tcPr>
                <w:p w14:paraId="563B59A2">
                  <w:pPr>
                    <w:shd w:val="clear"/>
                    <w:spacing w:line="0" w:lineRule="atLeast"/>
                    <w:ind w:firstLine="0" w:firstLineChars="0"/>
                    <w:jc w:val="center"/>
                    <w:rPr>
                      <w:b w:val="0"/>
                      <w:bCs w:val="0"/>
                      <w:color w:val="auto"/>
                      <w:sz w:val="21"/>
                      <w:szCs w:val="21"/>
                      <w:lang w:val="zh-CN"/>
                    </w:rPr>
                  </w:pPr>
                  <w:r>
                    <w:rPr>
                      <w:b w:val="0"/>
                      <w:bCs w:val="0"/>
                      <w:color w:val="auto"/>
                      <w:sz w:val="21"/>
                      <w:szCs w:val="21"/>
                      <w:lang w:val="zh-CN"/>
                    </w:rPr>
                    <w:t>空间布局约束</w:t>
                  </w:r>
                </w:p>
              </w:tc>
              <w:tc>
                <w:tcPr>
                  <w:tcW w:w="5735" w:type="dxa"/>
                  <w:tcBorders>
                    <w:tl2br w:val="nil"/>
                    <w:tr2bl w:val="nil"/>
                  </w:tcBorders>
                  <w:vAlign w:val="center"/>
                </w:tcPr>
                <w:p w14:paraId="4A3D521D">
                  <w:pPr>
                    <w:shd w:val="clear"/>
                    <w:spacing w:line="0" w:lineRule="atLeast"/>
                    <w:ind w:firstLine="0" w:firstLineChars="0"/>
                    <w:jc w:val="left"/>
                    <w:rPr>
                      <w:b w:val="0"/>
                      <w:bCs w:val="0"/>
                      <w:color w:val="auto"/>
                      <w:sz w:val="21"/>
                      <w:szCs w:val="21"/>
                    </w:rPr>
                  </w:pPr>
                  <w:r>
                    <w:rPr>
                      <w:rFonts w:hint="eastAsia"/>
                      <w:b w:val="0"/>
                      <w:bCs w:val="0"/>
                      <w:color w:val="auto"/>
                      <w:sz w:val="21"/>
                      <w:szCs w:val="21"/>
                    </w:rPr>
                    <w:t>1、严格控制探矿权数量，严格审查与规划论证。在符合矿山准入条件前提下，可以优先设置采矿权。</w:t>
                  </w:r>
                </w:p>
                <w:p w14:paraId="614653D4">
                  <w:pPr>
                    <w:shd w:val="clear"/>
                    <w:spacing w:line="0" w:lineRule="atLeast"/>
                    <w:ind w:firstLine="0" w:firstLineChars="0"/>
                    <w:jc w:val="left"/>
                    <w:rPr>
                      <w:b w:val="0"/>
                      <w:bCs w:val="0"/>
                      <w:color w:val="auto"/>
                    </w:rPr>
                  </w:pPr>
                  <w:r>
                    <w:rPr>
                      <w:rFonts w:hint="eastAsia"/>
                      <w:b w:val="0"/>
                      <w:bCs w:val="0"/>
                      <w:color w:val="auto"/>
                      <w:sz w:val="21"/>
                      <w:szCs w:val="21"/>
                    </w:rPr>
                    <w:t>2、严控“两高”行业新增产能。不再审批水泥等产能过剩行业。</w:t>
                  </w:r>
                </w:p>
              </w:tc>
              <w:tc>
                <w:tcPr>
                  <w:tcW w:w="1739" w:type="dxa"/>
                  <w:tcBorders>
                    <w:tl2br w:val="nil"/>
                    <w:tr2bl w:val="nil"/>
                  </w:tcBorders>
                  <w:vAlign w:val="center"/>
                </w:tcPr>
                <w:p w14:paraId="1FA45FC9">
                  <w:pPr>
                    <w:shd w:val="clear"/>
                    <w:spacing w:line="0" w:lineRule="atLeast"/>
                    <w:ind w:firstLine="0" w:firstLineChars="0"/>
                    <w:jc w:val="left"/>
                    <w:rPr>
                      <w:b w:val="0"/>
                      <w:bCs w:val="0"/>
                      <w:color w:val="auto"/>
                      <w:sz w:val="21"/>
                      <w:szCs w:val="21"/>
                    </w:rPr>
                  </w:pPr>
                  <w:r>
                    <w:rPr>
                      <w:rFonts w:hint="eastAsia"/>
                      <w:b w:val="0"/>
                      <w:bCs w:val="0"/>
                      <w:color w:val="auto"/>
                      <w:sz w:val="21"/>
                      <w:szCs w:val="21"/>
                    </w:rPr>
                    <w:t>本项目不在上述管控项目之列</w:t>
                  </w:r>
                  <w:r>
                    <w:rPr>
                      <w:rFonts w:hint="eastAsia"/>
                      <w:b w:val="0"/>
                      <w:bCs w:val="0"/>
                      <w:color w:val="auto"/>
                      <w:sz w:val="21"/>
                      <w:szCs w:val="21"/>
                      <w:lang w:val="zh-CN"/>
                    </w:rPr>
                    <w:t>。</w:t>
                  </w:r>
                </w:p>
              </w:tc>
              <w:tc>
                <w:tcPr>
                  <w:tcW w:w="916" w:type="dxa"/>
                  <w:tcBorders>
                    <w:tl2br w:val="nil"/>
                    <w:tr2bl w:val="nil"/>
                  </w:tcBorders>
                  <w:vAlign w:val="center"/>
                </w:tcPr>
                <w:p w14:paraId="16276F3A">
                  <w:pPr>
                    <w:shd w:val="clear"/>
                    <w:spacing w:line="0" w:lineRule="atLeast"/>
                    <w:ind w:firstLine="0" w:firstLineChars="0"/>
                    <w:jc w:val="center"/>
                    <w:rPr>
                      <w:b w:val="0"/>
                      <w:bCs w:val="0"/>
                      <w:color w:val="auto"/>
                      <w:sz w:val="21"/>
                      <w:szCs w:val="21"/>
                    </w:rPr>
                  </w:pPr>
                  <w:r>
                    <w:rPr>
                      <w:rFonts w:hint="eastAsia"/>
                      <w:b w:val="0"/>
                      <w:bCs w:val="0"/>
                      <w:color w:val="auto"/>
                      <w:sz w:val="21"/>
                      <w:szCs w:val="21"/>
                    </w:rPr>
                    <w:t>符合</w:t>
                  </w:r>
                </w:p>
              </w:tc>
            </w:tr>
            <w:tr w14:paraId="52EFB61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6" w:hRule="atLeast"/>
                <w:jc w:val="center"/>
              </w:trPr>
              <w:tc>
                <w:tcPr>
                  <w:tcW w:w="638" w:type="dxa"/>
                  <w:vMerge w:val="continue"/>
                  <w:tcBorders>
                    <w:tl2br w:val="nil"/>
                    <w:tr2bl w:val="nil"/>
                  </w:tcBorders>
                  <w:vAlign w:val="center"/>
                </w:tcPr>
                <w:p w14:paraId="38EB01F3">
                  <w:pPr>
                    <w:shd w:val="clear"/>
                    <w:spacing w:line="0" w:lineRule="atLeast"/>
                    <w:ind w:firstLine="0" w:firstLineChars="0"/>
                    <w:jc w:val="center"/>
                    <w:rPr>
                      <w:b w:val="0"/>
                      <w:bCs w:val="0"/>
                      <w:color w:val="auto"/>
                      <w:sz w:val="21"/>
                      <w:szCs w:val="21"/>
                      <w:lang w:val="zh-CN"/>
                    </w:rPr>
                  </w:pPr>
                </w:p>
              </w:tc>
              <w:tc>
                <w:tcPr>
                  <w:tcW w:w="413" w:type="dxa"/>
                  <w:vMerge w:val="continue"/>
                  <w:tcBorders>
                    <w:tl2br w:val="nil"/>
                    <w:tr2bl w:val="nil"/>
                  </w:tcBorders>
                  <w:vAlign w:val="center"/>
                </w:tcPr>
                <w:p w14:paraId="4DDD3DD3">
                  <w:pPr>
                    <w:shd w:val="clear"/>
                    <w:spacing w:line="0" w:lineRule="atLeast"/>
                    <w:ind w:firstLine="0" w:firstLineChars="0"/>
                    <w:jc w:val="center"/>
                    <w:rPr>
                      <w:b w:val="0"/>
                      <w:bCs w:val="0"/>
                      <w:color w:val="auto"/>
                      <w:sz w:val="21"/>
                      <w:szCs w:val="21"/>
                      <w:lang w:val="zh-CN"/>
                    </w:rPr>
                  </w:pPr>
                </w:p>
              </w:tc>
              <w:tc>
                <w:tcPr>
                  <w:tcW w:w="985" w:type="dxa"/>
                  <w:vMerge w:val="continue"/>
                  <w:tcBorders>
                    <w:tl2br w:val="nil"/>
                    <w:tr2bl w:val="nil"/>
                  </w:tcBorders>
                  <w:vAlign w:val="center"/>
                </w:tcPr>
                <w:p w14:paraId="50332CBC">
                  <w:pPr>
                    <w:shd w:val="clear"/>
                    <w:spacing w:line="0" w:lineRule="atLeast"/>
                    <w:ind w:firstLine="0" w:firstLineChars="0"/>
                    <w:jc w:val="center"/>
                    <w:rPr>
                      <w:b w:val="0"/>
                      <w:bCs w:val="0"/>
                      <w:color w:val="auto"/>
                      <w:sz w:val="21"/>
                      <w:szCs w:val="21"/>
                      <w:lang w:val="zh-CN"/>
                    </w:rPr>
                  </w:pPr>
                </w:p>
              </w:tc>
              <w:tc>
                <w:tcPr>
                  <w:tcW w:w="695" w:type="dxa"/>
                  <w:vMerge w:val="continue"/>
                  <w:tcBorders>
                    <w:tl2br w:val="nil"/>
                    <w:tr2bl w:val="nil"/>
                  </w:tcBorders>
                  <w:vAlign w:val="center"/>
                </w:tcPr>
                <w:p w14:paraId="4D888324">
                  <w:pPr>
                    <w:shd w:val="clear"/>
                    <w:spacing w:line="0" w:lineRule="atLeast"/>
                    <w:ind w:firstLine="0" w:firstLineChars="0"/>
                    <w:jc w:val="center"/>
                    <w:rPr>
                      <w:b w:val="0"/>
                      <w:bCs w:val="0"/>
                      <w:color w:val="auto"/>
                      <w:sz w:val="21"/>
                      <w:szCs w:val="21"/>
                      <w:lang w:val="zh-CN"/>
                    </w:rPr>
                  </w:pPr>
                </w:p>
              </w:tc>
              <w:tc>
                <w:tcPr>
                  <w:tcW w:w="733" w:type="dxa"/>
                  <w:vMerge w:val="continue"/>
                  <w:tcBorders>
                    <w:tl2br w:val="nil"/>
                    <w:tr2bl w:val="nil"/>
                  </w:tcBorders>
                  <w:vAlign w:val="center"/>
                </w:tcPr>
                <w:p w14:paraId="1514731E">
                  <w:pPr>
                    <w:shd w:val="clear"/>
                    <w:spacing w:line="0" w:lineRule="atLeast"/>
                    <w:ind w:firstLine="0" w:firstLineChars="0"/>
                    <w:jc w:val="center"/>
                    <w:rPr>
                      <w:b w:val="0"/>
                      <w:bCs w:val="0"/>
                      <w:color w:val="auto"/>
                      <w:sz w:val="21"/>
                      <w:szCs w:val="21"/>
                      <w:lang w:val="zh-CN"/>
                    </w:rPr>
                  </w:pPr>
                </w:p>
              </w:tc>
              <w:tc>
                <w:tcPr>
                  <w:tcW w:w="863" w:type="dxa"/>
                  <w:tcBorders>
                    <w:tl2br w:val="nil"/>
                    <w:tr2bl w:val="nil"/>
                  </w:tcBorders>
                  <w:vAlign w:val="center"/>
                </w:tcPr>
                <w:p w14:paraId="4DE701D6">
                  <w:pPr>
                    <w:shd w:val="clear"/>
                    <w:spacing w:line="0" w:lineRule="atLeast"/>
                    <w:ind w:firstLine="0" w:firstLineChars="0"/>
                    <w:jc w:val="center"/>
                    <w:rPr>
                      <w:b w:val="0"/>
                      <w:bCs w:val="0"/>
                      <w:color w:val="auto"/>
                      <w:sz w:val="21"/>
                      <w:szCs w:val="21"/>
                      <w:lang w:val="zh-CN"/>
                    </w:rPr>
                  </w:pPr>
                  <w:r>
                    <w:rPr>
                      <w:b w:val="0"/>
                      <w:bCs w:val="0"/>
                      <w:color w:val="auto"/>
                      <w:sz w:val="21"/>
                      <w:szCs w:val="21"/>
                      <w:lang w:val="zh-CN"/>
                    </w:rPr>
                    <w:t>污染物排放管控</w:t>
                  </w:r>
                </w:p>
              </w:tc>
              <w:tc>
                <w:tcPr>
                  <w:tcW w:w="5735" w:type="dxa"/>
                  <w:tcBorders>
                    <w:tl2br w:val="nil"/>
                    <w:tr2bl w:val="nil"/>
                  </w:tcBorders>
                  <w:vAlign w:val="center"/>
                </w:tcPr>
                <w:p w14:paraId="245562D1">
                  <w:pPr>
                    <w:shd w:val="clear"/>
                    <w:spacing w:line="0" w:lineRule="atLeast"/>
                    <w:ind w:firstLine="0" w:firstLineChars="0"/>
                    <w:jc w:val="left"/>
                    <w:rPr>
                      <w:b w:val="0"/>
                      <w:bCs w:val="0"/>
                      <w:color w:val="auto"/>
                      <w:sz w:val="21"/>
                      <w:szCs w:val="21"/>
                    </w:rPr>
                  </w:pPr>
                  <w:r>
                    <w:rPr>
                      <w:rFonts w:hint="eastAsia"/>
                      <w:b w:val="0"/>
                      <w:bCs w:val="0"/>
                      <w:color w:val="auto"/>
                      <w:sz w:val="21"/>
                      <w:szCs w:val="21"/>
                    </w:rPr>
                    <w:t>1、完成当地下达的重金属减排指标。</w:t>
                  </w:r>
                </w:p>
                <w:p w14:paraId="158A5240">
                  <w:pPr>
                    <w:shd w:val="clear"/>
                    <w:spacing w:line="0" w:lineRule="atLeast"/>
                    <w:ind w:firstLine="0" w:firstLineChars="0"/>
                    <w:jc w:val="left"/>
                    <w:rPr>
                      <w:b w:val="0"/>
                      <w:bCs w:val="0"/>
                      <w:color w:val="auto"/>
                      <w:sz w:val="21"/>
                      <w:szCs w:val="21"/>
                      <w:lang w:val="zh-CN"/>
                    </w:rPr>
                  </w:pPr>
                  <w:r>
                    <w:rPr>
                      <w:rFonts w:hint="eastAsia"/>
                      <w:b w:val="0"/>
                      <w:bCs w:val="0"/>
                      <w:color w:val="auto"/>
                      <w:sz w:val="21"/>
                      <w:szCs w:val="21"/>
                    </w:rPr>
                    <w:t>2、加快推进水泥重点行业污染深度治理，各工序（环节）排污点源全部完成治理设施升级改造，推进企业环境管理精细化，确保污染物稳定达标排放</w:t>
                  </w:r>
                  <w:r>
                    <w:rPr>
                      <w:rFonts w:hint="eastAsia"/>
                      <w:b w:val="0"/>
                      <w:bCs w:val="0"/>
                      <w:color w:val="auto"/>
                      <w:sz w:val="21"/>
                      <w:szCs w:val="21"/>
                      <w:lang w:val="zh-CN"/>
                    </w:rPr>
                    <w:t>。</w:t>
                  </w:r>
                </w:p>
              </w:tc>
              <w:tc>
                <w:tcPr>
                  <w:tcW w:w="1739" w:type="dxa"/>
                  <w:tcBorders>
                    <w:tl2br w:val="nil"/>
                    <w:tr2bl w:val="nil"/>
                  </w:tcBorders>
                  <w:vAlign w:val="center"/>
                </w:tcPr>
                <w:p w14:paraId="23C50ACC">
                  <w:pPr>
                    <w:shd w:val="clear"/>
                    <w:spacing w:line="0" w:lineRule="atLeast"/>
                    <w:ind w:firstLine="0" w:firstLineChars="0"/>
                    <w:jc w:val="left"/>
                    <w:rPr>
                      <w:b w:val="0"/>
                      <w:bCs w:val="0"/>
                      <w:color w:val="auto"/>
                      <w:sz w:val="21"/>
                      <w:szCs w:val="21"/>
                    </w:rPr>
                  </w:pPr>
                  <w:r>
                    <w:rPr>
                      <w:rFonts w:hint="eastAsia"/>
                      <w:b w:val="0"/>
                      <w:bCs w:val="0"/>
                      <w:color w:val="auto"/>
                      <w:sz w:val="21"/>
                      <w:szCs w:val="21"/>
                    </w:rPr>
                    <w:t>本项目不涉及重金属，不属于水泥行业。</w:t>
                  </w:r>
                </w:p>
              </w:tc>
              <w:tc>
                <w:tcPr>
                  <w:tcW w:w="916" w:type="dxa"/>
                  <w:tcBorders>
                    <w:tl2br w:val="nil"/>
                    <w:tr2bl w:val="nil"/>
                  </w:tcBorders>
                  <w:vAlign w:val="center"/>
                </w:tcPr>
                <w:p w14:paraId="5671452F">
                  <w:pPr>
                    <w:shd w:val="clear"/>
                    <w:spacing w:line="0" w:lineRule="atLeast"/>
                    <w:ind w:firstLine="0" w:firstLineChars="0"/>
                    <w:jc w:val="center"/>
                    <w:rPr>
                      <w:b w:val="0"/>
                      <w:bCs w:val="0"/>
                      <w:color w:val="auto"/>
                      <w:sz w:val="21"/>
                      <w:szCs w:val="21"/>
                    </w:rPr>
                  </w:pPr>
                  <w:r>
                    <w:rPr>
                      <w:rFonts w:hint="eastAsia"/>
                      <w:b w:val="0"/>
                      <w:bCs w:val="0"/>
                      <w:color w:val="auto"/>
                      <w:sz w:val="21"/>
                      <w:szCs w:val="21"/>
                    </w:rPr>
                    <w:t>符合</w:t>
                  </w:r>
                </w:p>
              </w:tc>
            </w:tr>
            <w:tr w14:paraId="1D9940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6" w:hRule="atLeast"/>
                <w:jc w:val="center"/>
              </w:trPr>
              <w:tc>
                <w:tcPr>
                  <w:tcW w:w="638" w:type="dxa"/>
                  <w:vMerge w:val="continue"/>
                  <w:tcBorders>
                    <w:tl2br w:val="nil"/>
                    <w:tr2bl w:val="nil"/>
                  </w:tcBorders>
                  <w:vAlign w:val="center"/>
                </w:tcPr>
                <w:p w14:paraId="0DF81252">
                  <w:pPr>
                    <w:shd w:val="clear"/>
                    <w:spacing w:line="0" w:lineRule="atLeast"/>
                    <w:ind w:firstLine="0" w:firstLineChars="0"/>
                    <w:jc w:val="center"/>
                    <w:rPr>
                      <w:b w:val="0"/>
                      <w:bCs w:val="0"/>
                      <w:color w:val="auto"/>
                      <w:sz w:val="21"/>
                      <w:szCs w:val="21"/>
                      <w:lang w:val="zh-CN"/>
                    </w:rPr>
                  </w:pPr>
                </w:p>
              </w:tc>
              <w:tc>
                <w:tcPr>
                  <w:tcW w:w="413" w:type="dxa"/>
                  <w:vMerge w:val="continue"/>
                  <w:tcBorders>
                    <w:tl2br w:val="nil"/>
                    <w:tr2bl w:val="nil"/>
                  </w:tcBorders>
                  <w:vAlign w:val="center"/>
                </w:tcPr>
                <w:p w14:paraId="53E93AB5">
                  <w:pPr>
                    <w:shd w:val="clear"/>
                    <w:spacing w:line="0" w:lineRule="atLeast"/>
                    <w:ind w:firstLine="0" w:firstLineChars="0"/>
                    <w:jc w:val="center"/>
                    <w:rPr>
                      <w:b w:val="0"/>
                      <w:bCs w:val="0"/>
                      <w:color w:val="auto"/>
                      <w:sz w:val="21"/>
                      <w:szCs w:val="21"/>
                      <w:lang w:val="zh-CN"/>
                    </w:rPr>
                  </w:pPr>
                </w:p>
              </w:tc>
              <w:tc>
                <w:tcPr>
                  <w:tcW w:w="985" w:type="dxa"/>
                  <w:vMerge w:val="continue"/>
                  <w:tcBorders>
                    <w:tl2br w:val="nil"/>
                    <w:tr2bl w:val="nil"/>
                  </w:tcBorders>
                  <w:vAlign w:val="center"/>
                </w:tcPr>
                <w:p w14:paraId="7D9E80CB">
                  <w:pPr>
                    <w:shd w:val="clear"/>
                    <w:spacing w:line="0" w:lineRule="atLeast"/>
                    <w:ind w:firstLine="0" w:firstLineChars="0"/>
                    <w:jc w:val="center"/>
                    <w:rPr>
                      <w:b w:val="0"/>
                      <w:bCs w:val="0"/>
                      <w:color w:val="auto"/>
                      <w:sz w:val="21"/>
                      <w:szCs w:val="21"/>
                      <w:lang w:val="zh-CN"/>
                    </w:rPr>
                  </w:pPr>
                </w:p>
              </w:tc>
              <w:tc>
                <w:tcPr>
                  <w:tcW w:w="695" w:type="dxa"/>
                  <w:vMerge w:val="continue"/>
                  <w:tcBorders>
                    <w:tl2br w:val="nil"/>
                    <w:tr2bl w:val="nil"/>
                  </w:tcBorders>
                  <w:vAlign w:val="center"/>
                </w:tcPr>
                <w:p w14:paraId="4D03BB18">
                  <w:pPr>
                    <w:shd w:val="clear"/>
                    <w:spacing w:line="0" w:lineRule="atLeast"/>
                    <w:ind w:firstLine="0" w:firstLineChars="0"/>
                    <w:jc w:val="center"/>
                    <w:rPr>
                      <w:b w:val="0"/>
                      <w:bCs w:val="0"/>
                      <w:color w:val="auto"/>
                      <w:sz w:val="21"/>
                      <w:szCs w:val="21"/>
                      <w:lang w:val="zh-CN"/>
                    </w:rPr>
                  </w:pPr>
                </w:p>
              </w:tc>
              <w:tc>
                <w:tcPr>
                  <w:tcW w:w="733" w:type="dxa"/>
                  <w:vMerge w:val="continue"/>
                  <w:tcBorders>
                    <w:tl2br w:val="nil"/>
                    <w:tr2bl w:val="nil"/>
                  </w:tcBorders>
                  <w:vAlign w:val="center"/>
                </w:tcPr>
                <w:p w14:paraId="74D6AB0C">
                  <w:pPr>
                    <w:shd w:val="clear"/>
                    <w:spacing w:line="0" w:lineRule="atLeast"/>
                    <w:ind w:firstLine="0" w:firstLineChars="0"/>
                    <w:jc w:val="center"/>
                    <w:rPr>
                      <w:b w:val="0"/>
                      <w:bCs w:val="0"/>
                      <w:color w:val="auto"/>
                      <w:sz w:val="21"/>
                      <w:szCs w:val="21"/>
                      <w:lang w:val="zh-CN"/>
                    </w:rPr>
                  </w:pPr>
                </w:p>
              </w:tc>
              <w:tc>
                <w:tcPr>
                  <w:tcW w:w="863" w:type="dxa"/>
                  <w:tcBorders>
                    <w:tl2br w:val="nil"/>
                    <w:tr2bl w:val="nil"/>
                  </w:tcBorders>
                  <w:vAlign w:val="center"/>
                </w:tcPr>
                <w:p w14:paraId="2CABDD7B">
                  <w:pPr>
                    <w:shd w:val="clear"/>
                    <w:spacing w:line="0" w:lineRule="atLeast"/>
                    <w:ind w:firstLine="0" w:firstLineChars="0"/>
                    <w:jc w:val="center"/>
                    <w:rPr>
                      <w:b w:val="0"/>
                      <w:bCs w:val="0"/>
                      <w:color w:val="auto"/>
                      <w:sz w:val="21"/>
                      <w:szCs w:val="21"/>
                      <w:lang w:val="zh-CN"/>
                    </w:rPr>
                  </w:pPr>
                  <w:r>
                    <w:rPr>
                      <w:b w:val="0"/>
                      <w:bCs w:val="0"/>
                      <w:color w:val="auto"/>
                      <w:sz w:val="21"/>
                      <w:szCs w:val="21"/>
                      <w:lang w:val="zh-CN"/>
                    </w:rPr>
                    <w:t>环境风险防控</w:t>
                  </w:r>
                </w:p>
              </w:tc>
              <w:tc>
                <w:tcPr>
                  <w:tcW w:w="5735" w:type="dxa"/>
                  <w:tcBorders>
                    <w:tl2br w:val="nil"/>
                    <w:tr2bl w:val="nil"/>
                  </w:tcBorders>
                  <w:vAlign w:val="center"/>
                </w:tcPr>
                <w:p w14:paraId="6B0F4714">
                  <w:pPr>
                    <w:shd w:val="clear"/>
                    <w:spacing w:line="0" w:lineRule="atLeast"/>
                    <w:ind w:firstLine="0" w:firstLineChars="0"/>
                    <w:jc w:val="left"/>
                    <w:rPr>
                      <w:b w:val="0"/>
                      <w:bCs w:val="0"/>
                      <w:color w:val="auto"/>
                      <w:sz w:val="21"/>
                      <w:szCs w:val="21"/>
                    </w:rPr>
                  </w:pPr>
                  <w:r>
                    <w:rPr>
                      <w:rFonts w:hint="eastAsia"/>
                      <w:b w:val="0"/>
                      <w:bCs w:val="0"/>
                      <w:color w:val="auto"/>
                      <w:sz w:val="21"/>
                      <w:szCs w:val="21"/>
                      <w:lang w:val="zh-CN"/>
                    </w:rPr>
                    <w:t>加强对公共安全形势和风险的整体研判、动态监测，准确掌握本地区本领域本系统各类风险情况。建立健全重大公共安全隐患公告制度，完善应急救援体系和组织体系，及时消除安全隐患。</w:t>
                  </w:r>
                </w:p>
              </w:tc>
              <w:tc>
                <w:tcPr>
                  <w:tcW w:w="1739" w:type="dxa"/>
                  <w:tcBorders>
                    <w:tl2br w:val="nil"/>
                    <w:tr2bl w:val="nil"/>
                  </w:tcBorders>
                  <w:vAlign w:val="center"/>
                </w:tcPr>
                <w:p w14:paraId="6DE9D156">
                  <w:pPr>
                    <w:shd w:val="clear"/>
                    <w:spacing w:line="0" w:lineRule="atLeast"/>
                    <w:ind w:firstLine="0" w:firstLineChars="0"/>
                    <w:jc w:val="left"/>
                    <w:rPr>
                      <w:b w:val="0"/>
                      <w:bCs w:val="0"/>
                      <w:color w:val="auto"/>
                      <w:sz w:val="21"/>
                      <w:szCs w:val="21"/>
                    </w:rPr>
                  </w:pPr>
                  <w:r>
                    <w:rPr>
                      <w:rFonts w:hint="eastAsia"/>
                      <w:b w:val="0"/>
                      <w:bCs w:val="0"/>
                      <w:color w:val="auto"/>
                      <w:sz w:val="21"/>
                      <w:szCs w:val="21"/>
                    </w:rPr>
                    <w:t>本项目不涉及。</w:t>
                  </w:r>
                </w:p>
              </w:tc>
              <w:tc>
                <w:tcPr>
                  <w:tcW w:w="916" w:type="dxa"/>
                  <w:tcBorders>
                    <w:tl2br w:val="nil"/>
                    <w:tr2bl w:val="nil"/>
                  </w:tcBorders>
                  <w:vAlign w:val="center"/>
                </w:tcPr>
                <w:p w14:paraId="755908FB">
                  <w:pPr>
                    <w:shd w:val="clear"/>
                    <w:spacing w:line="0" w:lineRule="atLeast"/>
                    <w:ind w:firstLine="0" w:firstLineChars="0"/>
                    <w:jc w:val="center"/>
                    <w:rPr>
                      <w:b w:val="0"/>
                      <w:bCs w:val="0"/>
                      <w:color w:val="auto"/>
                      <w:sz w:val="21"/>
                      <w:szCs w:val="21"/>
                    </w:rPr>
                  </w:pPr>
                  <w:r>
                    <w:rPr>
                      <w:rFonts w:hint="eastAsia"/>
                      <w:b w:val="0"/>
                      <w:bCs w:val="0"/>
                      <w:color w:val="auto"/>
                      <w:sz w:val="21"/>
                      <w:szCs w:val="21"/>
                    </w:rPr>
                    <w:t>符合</w:t>
                  </w:r>
                </w:p>
              </w:tc>
            </w:tr>
            <w:tr w14:paraId="43AA492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2" w:hRule="atLeast"/>
                <w:jc w:val="center"/>
              </w:trPr>
              <w:tc>
                <w:tcPr>
                  <w:tcW w:w="638" w:type="dxa"/>
                  <w:vMerge w:val="continue"/>
                  <w:tcBorders>
                    <w:tl2br w:val="nil"/>
                    <w:tr2bl w:val="nil"/>
                  </w:tcBorders>
                  <w:vAlign w:val="center"/>
                </w:tcPr>
                <w:p w14:paraId="0458AE52">
                  <w:pPr>
                    <w:shd w:val="clear"/>
                    <w:spacing w:line="0" w:lineRule="atLeast"/>
                    <w:ind w:firstLine="0" w:firstLineChars="0"/>
                    <w:jc w:val="center"/>
                    <w:rPr>
                      <w:b w:val="0"/>
                      <w:bCs w:val="0"/>
                      <w:color w:val="auto"/>
                      <w:sz w:val="21"/>
                      <w:szCs w:val="21"/>
                      <w:lang w:val="zh-CN"/>
                    </w:rPr>
                  </w:pPr>
                </w:p>
              </w:tc>
              <w:tc>
                <w:tcPr>
                  <w:tcW w:w="413" w:type="dxa"/>
                  <w:vMerge w:val="continue"/>
                  <w:tcBorders>
                    <w:tl2br w:val="nil"/>
                    <w:tr2bl w:val="nil"/>
                  </w:tcBorders>
                  <w:vAlign w:val="center"/>
                </w:tcPr>
                <w:p w14:paraId="0E74D2BD">
                  <w:pPr>
                    <w:shd w:val="clear"/>
                    <w:spacing w:line="0" w:lineRule="atLeast"/>
                    <w:ind w:firstLine="0" w:firstLineChars="0"/>
                    <w:jc w:val="center"/>
                    <w:rPr>
                      <w:b w:val="0"/>
                      <w:bCs w:val="0"/>
                      <w:color w:val="auto"/>
                      <w:sz w:val="21"/>
                      <w:szCs w:val="21"/>
                      <w:lang w:val="zh-CN"/>
                    </w:rPr>
                  </w:pPr>
                </w:p>
              </w:tc>
              <w:tc>
                <w:tcPr>
                  <w:tcW w:w="985" w:type="dxa"/>
                  <w:vMerge w:val="continue"/>
                  <w:tcBorders>
                    <w:tl2br w:val="nil"/>
                    <w:tr2bl w:val="nil"/>
                  </w:tcBorders>
                  <w:vAlign w:val="center"/>
                </w:tcPr>
                <w:p w14:paraId="3A024EF7">
                  <w:pPr>
                    <w:shd w:val="clear"/>
                    <w:spacing w:line="0" w:lineRule="atLeast"/>
                    <w:ind w:firstLine="0" w:firstLineChars="0"/>
                    <w:jc w:val="center"/>
                    <w:rPr>
                      <w:b w:val="0"/>
                      <w:bCs w:val="0"/>
                      <w:color w:val="auto"/>
                      <w:sz w:val="21"/>
                      <w:szCs w:val="21"/>
                      <w:lang w:val="zh-CN"/>
                    </w:rPr>
                  </w:pPr>
                </w:p>
              </w:tc>
              <w:tc>
                <w:tcPr>
                  <w:tcW w:w="695" w:type="dxa"/>
                  <w:vMerge w:val="continue"/>
                  <w:tcBorders>
                    <w:tl2br w:val="nil"/>
                    <w:tr2bl w:val="nil"/>
                  </w:tcBorders>
                  <w:vAlign w:val="center"/>
                </w:tcPr>
                <w:p w14:paraId="00728FFD">
                  <w:pPr>
                    <w:shd w:val="clear"/>
                    <w:spacing w:line="0" w:lineRule="atLeast"/>
                    <w:ind w:firstLine="0" w:firstLineChars="0"/>
                    <w:jc w:val="center"/>
                    <w:rPr>
                      <w:b w:val="0"/>
                      <w:bCs w:val="0"/>
                      <w:color w:val="auto"/>
                      <w:sz w:val="21"/>
                      <w:szCs w:val="21"/>
                      <w:lang w:val="zh-CN"/>
                    </w:rPr>
                  </w:pPr>
                </w:p>
              </w:tc>
              <w:tc>
                <w:tcPr>
                  <w:tcW w:w="733" w:type="dxa"/>
                  <w:vMerge w:val="continue"/>
                  <w:tcBorders>
                    <w:tl2br w:val="nil"/>
                    <w:tr2bl w:val="nil"/>
                  </w:tcBorders>
                  <w:vAlign w:val="center"/>
                </w:tcPr>
                <w:p w14:paraId="3B5A6042">
                  <w:pPr>
                    <w:shd w:val="clear"/>
                    <w:spacing w:line="0" w:lineRule="atLeast"/>
                    <w:ind w:firstLine="0" w:firstLineChars="0"/>
                    <w:jc w:val="center"/>
                    <w:rPr>
                      <w:b w:val="0"/>
                      <w:bCs w:val="0"/>
                      <w:color w:val="auto"/>
                      <w:sz w:val="21"/>
                      <w:szCs w:val="21"/>
                      <w:lang w:val="zh-CN"/>
                    </w:rPr>
                  </w:pPr>
                </w:p>
              </w:tc>
              <w:tc>
                <w:tcPr>
                  <w:tcW w:w="863" w:type="dxa"/>
                  <w:tcBorders>
                    <w:tl2br w:val="nil"/>
                    <w:tr2bl w:val="nil"/>
                  </w:tcBorders>
                  <w:vAlign w:val="center"/>
                </w:tcPr>
                <w:p w14:paraId="553561A0">
                  <w:pPr>
                    <w:shd w:val="clear"/>
                    <w:spacing w:line="0" w:lineRule="atLeast"/>
                    <w:ind w:firstLine="0" w:firstLineChars="0"/>
                    <w:jc w:val="center"/>
                    <w:rPr>
                      <w:b w:val="0"/>
                      <w:bCs w:val="0"/>
                      <w:color w:val="auto"/>
                      <w:sz w:val="21"/>
                      <w:szCs w:val="21"/>
                      <w:lang w:val="zh-CN"/>
                    </w:rPr>
                  </w:pPr>
                  <w:r>
                    <w:rPr>
                      <w:b w:val="0"/>
                      <w:bCs w:val="0"/>
                      <w:color w:val="auto"/>
                      <w:sz w:val="21"/>
                      <w:szCs w:val="21"/>
                      <w:lang w:val="zh-CN"/>
                    </w:rPr>
                    <w:t>资源利用效率要求</w:t>
                  </w:r>
                </w:p>
              </w:tc>
              <w:tc>
                <w:tcPr>
                  <w:tcW w:w="5735" w:type="dxa"/>
                  <w:tcBorders>
                    <w:tl2br w:val="nil"/>
                    <w:tr2bl w:val="nil"/>
                  </w:tcBorders>
                  <w:vAlign w:val="center"/>
                </w:tcPr>
                <w:p w14:paraId="166113EA">
                  <w:pPr>
                    <w:shd w:val="clear"/>
                    <w:spacing w:line="0" w:lineRule="atLeast"/>
                    <w:ind w:firstLine="0" w:firstLineChars="0"/>
                    <w:jc w:val="left"/>
                    <w:rPr>
                      <w:b w:val="0"/>
                      <w:bCs w:val="0"/>
                      <w:color w:val="auto"/>
                      <w:sz w:val="21"/>
                      <w:szCs w:val="21"/>
                      <w:lang w:val="zh-CN"/>
                    </w:rPr>
                  </w:pPr>
                  <w:r>
                    <w:rPr>
                      <w:rFonts w:hint="eastAsia"/>
                      <w:b w:val="0"/>
                      <w:bCs w:val="0"/>
                      <w:color w:val="auto"/>
                      <w:sz w:val="21"/>
                      <w:szCs w:val="21"/>
                      <w:lang w:val="zh-CN"/>
                    </w:rPr>
                    <w:t>围绕水泥传统产业，加大科技改造力度，提高节能减排水平和资源综合利用水平，实现向低投入、低消耗、低污染、高产出的“三低一高”转变，突出节能消耗减排治污，大力发展战略性新兴产业。</w:t>
                  </w:r>
                </w:p>
              </w:tc>
              <w:tc>
                <w:tcPr>
                  <w:tcW w:w="1739" w:type="dxa"/>
                  <w:tcBorders>
                    <w:tl2br w:val="nil"/>
                    <w:tr2bl w:val="nil"/>
                  </w:tcBorders>
                  <w:vAlign w:val="center"/>
                </w:tcPr>
                <w:p w14:paraId="2C2DFE99">
                  <w:pPr>
                    <w:shd w:val="clear"/>
                    <w:spacing w:line="0" w:lineRule="atLeast"/>
                    <w:ind w:firstLine="0" w:firstLineChars="0"/>
                    <w:jc w:val="left"/>
                    <w:rPr>
                      <w:b w:val="0"/>
                      <w:bCs w:val="0"/>
                      <w:color w:val="auto"/>
                      <w:sz w:val="21"/>
                      <w:szCs w:val="21"/>
                    </w:rPr>
                  </w:pPr>
                  <w:r>
                    <w:rPr>
                      <w:rFonts w:hint="eastAsia"/>
                      <w:b w:val="0"/>
                      <w:bCs w:val="0"/>
                      <w:color w:val="auto"/>
                      <w:sz w:val="21"/>
                      <w:szCs w:val="21"/>
                    </w:rPr>
                    <w:t>本项目</w:t>
                  </w:r>
                  <w:r>
                    <w:rPr>
                      <w:rFonts w:hint="eastAsia"/>
                      <w:b w:val="0"/>
                      <w:bCs w:val="0"/>
                      <w:color w:val="auto"/>
                      <w:sz w:val="21"/>
                      <w:szCs w:val="21"/>
                      <w:lang w:val="zh-CN"/>
                    </w:rPr>
                    <w:t>加大科技改造力度，提高节能减排水平和资源综合利用水平。</w:t>
                  </w:r>
                </w:p>
              </w:tc>
              <w:tc>
                <w:tcPr>
                  <w:tcW w:w="916" w:type="dxa"/>
                  <w:tcBorders>
                    <w:tl2br w:val="nil"/>
                    <w:tr2bl w:val="nil"/>
                  </w:tcBorders>
                  <w:vAlign w:val="center"/>
                </w:tcPr>
                <w:p w14:paraId="4D231818">
                  <w:pPr>
                    <w:shd w:val="clear"/>
                    <w:spacing w:line="0" w:lineRule="atLeast"/>
                    <w:ind w:firstLine="0" w:firstLineChars="0"/>
                    <w:jc w:val="center"/>
                    <w:rPr>
                      <w:b w:val="0"/>
                      <w:bCs w:val="0"/>
                      <w:color w:val="auto"/>
                      <w:sz w:val="21"/>
                      <w:szCs w:val="21"/>
                    </w:rPr>
                  </w:pPr>
                  <w:r>
                    <w:rPr>
                      <w:rFonts w:hint="eastAsia"/>
                      <w:b w:val="0"/>
                      <w:bCs w:val="0"/>
                      <w:color w:val="auto"/>
                      <w:sz w:val="21"/>
                      <w:szCs w:val="21"/>
                    </w:rPr>
                    <w:t>符合</w:t>
                  </w:r>
                </w:p>
              </w:tc>
            </w:tr>
          </w:tbl>
          <w:p w14:paraId="67991BB6">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lang w:val="zh-CN"/>
              </w:rPr>
              <w:t>综上所述，</w:t>
            </w:r>
            <w:r>
              <w:rPr>
                <w:rFonts w:hint="default"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lang w:val="zh-CN"/>
              </w:rPr>
              <w:t>的建设符合</w:t>
            </w:r>
            <w:r>
              <w:rPr>
                <w:rFonts w:hint="default" w:ascii="Times New Roman" w:hAnsi="Times New Roman" w:cs="Times New Roman"/>
                <w:color w:val="auto"/>
                <w:highlight w:val="none"/>
                <w:lang w:val="en-US" w:eastAsia="zh-CN"/>
              </w:rPr>
              <w:t>唐山市</w:t>
            </w:r>
            <w:r>
              <w:rPr>
                <w:rFonts w:hint="default" w:ascii="Times New Roman" w:hAnsi="Times New Roman" w:cs="Times New Roman"/>
                <w:color w:val="auto"/>
                <w:highlight w:val="none"/>
                <w:lang w:val="zh-CN"/>
              </w:rPr>
              <w:t>“三线一单”管控要求。</w:t>
            </w:r>
          </w:p>
          <w:p w14:paraId="407D8A3B">
            <w:pPr>
              <w:pStyle w:val="15"/>
              <w:shd w:val="clear"/>
              <w:rPr>
                <w:rFonts w:hint="default" w:ascii="Times New Roman" w:hAnsi="Times New Roman" w:cs="Times New Roman"/>
                <w:color w:val="auto"/>
                <w:highlight w:val="none"/>
                <w:lang w:val="zh-CN"/>
              </w:rPr>
            </w:pPr>
          </w:p>
          <w:p w14:paraId="157F4829">
            <w:pPr>
              <w:shd w:val="clear"/>
              <w:rPr>
                <w:rFonts w:hint="default"/>
                <w:color w:val="auto"/>
                <w:lang w:val="zh-CN"/>
              </w:rPr>
            </w:pPr>
          </w:p>
          <w:p w14:paraId="5458CDED">
            <w:pPr>
              <w:shd w:val="clear"/>
              <w:rPr>
                <w:rFonts w:hint="default" w:ascii="Times New Roman" w:hAnsi="Times New Roman" w:cs="Times New Roman"/>
                <w:color w:val="auto"/>
                <w:highlight w:val="none"/>
                <w:lang w:val="zh-CN"/>
              </w:rPr>
            </w:pPr>
          </w:p>
          <w:p w14:paraId="180517E7">
            <w:pPr>
              <w:pStyle w:val="15"/>
              <w:shd w:val="clear"/>
              <w:rPr>
                <w:rFonts w:hint="default"/>
                <w:color w:val="auto"/>
                <w:lang w:val="zh-CN"/>
              </w:rPr>
            </w:pPr>
          </w:p>
          <w:p w14:paraId="7CEBEC13">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480" w:lineRule="exact"/>
              <w:ind w:leftChars="200" w:right="0" w:rightChars="0"/>
              <w:jc w:val="left"/>
              <w:textAlignment w:val="auto"/>
              <w:rPr>
                <w:rFonts w:hint="eastAsia" w:cs="Times New Roman"/>
                <w:b/>
                <w:bCs w:val="0"/>
                <w:smallCaps w:val="0"/>
                <w:color w:val="auto"/>
                <w:spacing w:val="0"/>
                <w:kern w:val="0"/>
                <w:position w:val="0"/>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5、与《煤场、料场、渣场扬尘污染控制技术规范》（DB13/T2352-2016）相关要求的符合性分析</w:t>
            </w:r>
          </w:p>
          <w:p w14:paraId="7487411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项目与</w:t>
            </w:r>
            <w:r>
              <w:rPr>
                <w:rFonts w:hint="eastAsia" w:ascii="Times New Roman" w:hAnsi="Times New Roman" w:eastAsia="宋体" w:cs="Times New Roman"/>
                <w:b/>
                <w:bCs w:val="0"/>
                <w:color w:val="auto"/>
                <w:sz w:val="21"/>
                <w:szCs w:val="21"/>
                <w:highlight w:val="none"/>
                <w:lang w:val="en-US" w:eastAsia="zh-CN"/>
              </w:rPr>
              <w:t>《煤场、料场、渣场扬尘污染控制技术规范》</w:t>
            </w:r>
            <w:r>
              <w:rPr>
                <w:rFonts w:hint="eastAsia" w:ascii="Times New Roman" w:hAnsi="Times New Roman" w:eastAsia="宋体" w:cs="Times New Roman"/>
                <w:b/>
                <w:bCs/>
                <w:color w:val="auto"/>
                <w:spacing w:val="0"/>
                <w:sz w:val="21"/>
                <w:szCs w:val="21"/>
                <w:highlight w:val="none"/>
                <w:lang w:val="en-US" w:eastAsia="zh-CN"/>
              </w:rPr>
              <w:t>的符合性分析</w:t>
            </w:r>
          </w:p>
          <w:tbl>
            <w:tblPr>
              <w:tblStyle w:val="32"/>
              <w:tblW w:w="4864"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490"/>
              <w:gridCol w:w="936"/>
              <w:gridCol w:w="538"/>
              <w:gridCol w:w="578"/>
              <w:gridCol w:w="5613"/>
              <w:gridCol w:w="4032"/>
              <w:gridCol w:w="487"/>
            </w:tblGrid>
            <w:tr w14:paraId="6984195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293" w:hRule="atLeast"/>
                <w:jc w:val="center"/>
              </w:trPr>
              <w:tc>
                <w:tcPr>
                  <w:tcW w:w="193" w:type="pct"/>
                  <w:tcBorders>
                    <w:tl2br w:val="nil"/>
                    <w:tr2bl w:val="nil"/>
                  </w:tcBorders>
                  <w:noWrap w:val="0"/>
                  <w:vAlign w:val="center"/>
                </w:tcPr>
                <w:p w14:paraId="07BE38D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序号</w:t>
                  </w:r>
                </w:p>
              </w:tc>
              <w:tc>
                <w:tcPr>
                  <w:tcW w:w="3023" w:type="pct"/>
                  <w:gridSpan w:val="4"/>
                  <w:tcBorders>
                    <w:tl2br w:val="nil"/>
                    <w:tr2bl w:val="nil"/>
                  </w:tcBorders>
                  <w:noWrap w:val="0"/>
                  <w:vAlign w:val="center"/>
                </w:tcPr>
                <w:p w14:paraId="03D5D9B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相关文件</w:t>
                  </w:r>
                </w:p>
              </w:tc>
              <w:tc>
                <w:tcPr>
                  <w:tcW w:w="1590" w:type="pct"/>
                  <w:tcBorders>
                    <w:tl2br w:val="nil"/>
                    <w:tr2bl w:val="nil"/>
                  </w:tcBorders>
                  <w:noWrap w:val="0"/>
                  <w:vAlign w:val="center"/>
                </w:tcPr>
                <w:p w14:paraId="496D90B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eastAsia="zh-CN"/>
                    </w:rPr>
                    <w:t>工程情况</w:t>
                  </w:r>
                </w:p>
              </w:tc>
              <w:tc>
                <w:tcPr>
                  <w:tcW w:w="192" w:type="pct"/>
                  <w:tcBorders>
                    <w:tl2br w:val="nil"/>
                    <w:tr2bl w:val="nil"/>
                  </w:tcBorders>
                  <w:noWrap w:val="0"/>
                  <w:vAlign w:val="center"/>
                </w:tcPr>
                <w:p w14:paraId="7FD26A1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eastAsia="zh-CN"/>
                    </w:rPr>
                    <w:t>结论</w:t>
                  </w:r>
                </w:p>
              </w:tc>
            </w:tr>
            <w:tr w14:paraId="04E4141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529" w:hRule="atLeast"/>
                <w:jc w:val="center"/>
              </w:trPr>
              <w:tc>
                <w:tcPr>
                  <w:tcW w:w="193" w:type="pct"/>
                  <w:vMerge w:val="restart"/>
                  <w:tcBorders>
                    <w:tl2br w:val="nil"/>
                    <w:tr2bl w:val="nil"/>
                  </w:tcBorders>
                  <w:noWrap w:val="0"/>
                  <w:vAlign w:val="center"/>
                </w:tcPr>
                <w:p w14:paraId="361EB87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1</w:t>
                  </w:r>
                </w:p>
              </w:tc>
              <w:tc>
                <w:tcPr>
                  <w:tcW w:w="369" w:type="pct"/>
                  <w:vMerge w:val="restart"/>
                  <w:tcBorders>
                    <w:tl2br w:val="nil"/>
                    <w:tr2bl w:val="nil"/>
                  </w:tcBorders>
                  <w:noWrap w:val="0"/>
                  <w:vAlign w:val="center"/>
                </w:tcPr>
                <w:p w14:paraId="67667B1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《煤场、料场、渣场扬尘污染控制技术规范》（DB13/T2352-2016）</w:t>
                  </w:r>
                </w:p>
              </w:tc>
              <w:tc>
                <w:tcPr>
                  <w:tcW w:w="212" w:type="pct"/>
                  <w:vMerge w:val="restart"/>
                  <w:tcBorders>
                    <w:tl2br w:val="nil"/>
                    <w:tr2bl w:val="nil"/>
                  </w:tcBorders>
                  <w:noWrap w:val="0"/>
                  <w:vAlign w:val="center"/>
                </w:tcPr>
                <w:p w14:paraId="28970BB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其他行业</w:t>
                  </w:r>
                </w:p>
              </w:tc>
              <w:tc>
                <w:tcPr>
                  <w:tcW w:w="227" w:type="pct"/>
                  <w:tcBorders>
                    <w:tl2br w:val="nil"/>
                    <w:tr2bl w:val="nil"/>
                  </w:tcBorders>
                  <w:noWrap w:val="0"/>
                  <w:vAlign w:val="center"/>
                </w:tcPr>
                <w:p w14:paraId="159013C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物料运输、装卸</w:t>
                  </w:r>
                </w:p>
              </w:tc>
              <w:tc>
                <w:tcPr>
                  <w:tcW w:w="2214" w:type="pct"/>
                  <w:tcBorders>
                    <w:tl2br w:val="nil"/>
                    <w:tr2bl w:val="nil"/>
                  </w:tcBorders>
                  <w:noWrap w:val="0"/>
                  <w:vAlign w:val="center"/>
                </w:tcPr>
                <w:p w14:paraId="599B75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cs="Times New Roman"/>
                      <w:color w:val="auto"/>
                      <w:spacing w:val="0"/>
                      <w:sz w:val="21"/>
                      <w:szCs w:val="21"/>
                      <w:lang w:val="en-US" w:eastAsia="zh-CN"/>
                    </w:rPr>
                  </w:pPr>
                  <w:r>
                    <w:rPr>
                      <w:rFonts w:hint="eastAsia" w:cs="Times New Roman"/>
                      <w:color w:val="auto"/>
                      <w:spacing w:val="0"/>
                      <w:sz w:val="21"/>
                      <w:szCs w:val="21"/>
                      <w:lang w:val="en-US" w:eastAsia="zh-CN"/>
                    </w:rPr>
                    <w:t>1.</w:t>
                  </w:r>
                  <w:r>
                    <w:rPr>
                      <w:rFonts w:hint="eastAsia" w:ascii="Times New Roman" w:hAnsi="Times New Roman" w:cs="Times New Roman"/>
                      <w:color w:val="auto"/>
                      <w:spacing w:val="0"/>
                      <w:sz w:val="21"/>
                      <w:szCs w:val="21"/>
                      <w:lang w:val="en-US" w:eastAsia="zh-CN"/>
                    </w:rPr>
                    <w:t xml:space="preserve">粉状物料（如铁精粉、生石灰粉等干料）运输车辆应采用密闭车斗或罐车。 </w:t>
                  </w:r>
                </w:p>
                <w:p w14:paraId="131BF01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lang w:val="en-US" w:eastAsia="zh-CN"/>
                    </w:rPr>
                  </w:pPr>
                  <w:r>
                    <w:rPr>
                      <w:rFonts w:hint="eastAsia" w:cs="Times New Roman"/>
                      <w:color w:val="auto"/>
                      <w:spacing w:val="0"/>
                      <w:sz w:val="21"/>
                      <w:szCs w:val="21"/>
                      <w:lang w:val="en-US" w:eastAsia="zh-CN"/>
                    </w:rPr>
                    <w:t>2.</w:t>
                  </w:r>
                  <w:r>
                    <w:rPr>
                      <w:rFonts w:hint="eastAsia" w:ascii="Times New Roman" w:hAnsi="Times New Roman" w:cs="Times New Roman"/>
                      <w:color w:val="auto"/>
                      <w:spacing w:val="0"/>
                      <w:sz w:val="21"/>
                      <w:szCs w:val="21"/>
                      <w:lang w:val="en-US" w:eastAsia="zh-CN"/>
                    </w:rPr>
                    <w:t>块状物料（如烧结矿、球团矿、焦炭等物料）运输车辆装载高度最高点不得超过车辆槽帮上沿40cm，两侧边缘应当低于槽帮上缘10cm。车斗应用苫布覆盖，苫布边缘至少要遮住槽帮上沿以下15cm。物料转运时转运设施应采取密闭措施，转运站和落料点配套抽风收尘装置。</w:t>
                  </w:r>
                </w:p>
                <w:p w14:paraId="3577B3F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lang w:val="en-US" w:eastAsia="zh-CN"/>
                    </w:rPr>
                  </w:pPr>
                  <w:r>
                    <w:rPr>
                      <w:rFonts w:hint="eastAsia" w:cs="Times New Roman"/>
                      <w:color w:val="auto"/>
                      <w:spacing w:val="0"/>
                      <w:sz w:val="21"/>
                      <w:szCs w:val="21"/>
                      <w:lang w:val="en-US" w:eastAsia="zh-CN"/>
                    </w:rPr>
                    <w:t>3.</w:t>
                  </w:r>
                  <w:r>
                    <w:rPr>
                      <w:rFonts w:hint="eastAsia" w:ascii="Times New Roman" w:hAnsi="Times New Roman" w:cs="Times New Roman"/>
                      <w:color w:val="auto"/>
                      <w:spacing w:val="0"/>
                      <w:sz w:val="21"/>
                      <w:szCs w:val="21"/>
                      <w:lang w:val="en-US" w:eastAsia="zh-CN"/>
                    </w:rPr>
                    <w:t>应设置洗车平台，完善排水设施，防止泥土粘带。运输车辆在煤场、料场出口内侧设置洗车平台，车辆驶离煤场、料场前，应在洗车平台清洗轮胎及车身，不得带泥上路。洗车平台四周应设置防溢座、废水导流渠、废水收集池、沉砂池及其它防治设施，收集洗车以及降水过程中产生的废水和泥浆。</w:t>
                  </w:r>
                </w:p>
                <w:p w14:paraId="6B2305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4.</w:t>
                  </w:r>
                  <w:r>
                    <w:rPr>
                      <w:rFonts w:hint="eastAsia" w:ascii="Times New Roman" w:hAnsi="Times New Roman" w:cs="Times New Roman"/>
                      <w:color w:val="auto"/>
                      <w:spacing w:val="0"/>
                      <w:sz w:val="21"/>
                      <w:szCs w:val="21"/>
                      <w:lang w:val="en-US" w:eastAsia="zh-CN"/>
                    </w:rPr>
                    <w:t>露天装卸物料应当采取洒水、喷淋等抑尘措施，密闭输送物料应在装卸处配备吸尘、喷淋等设施。</w:t>
                  </w:r>
                </w:p>
              </w:tc>
              <w:tc>
                <w:tcPr>
                  <w:tcW w:w="1590" w:type="pct"/>
                  <w:tcBorders>
                    <w:tl2br w:val="nil"/>
                    <w:tr2bl w:val="nil"/>
                  </w:tcBorders>
                  <w:noWrap w:val="0"/>
                  <w:vAlign w:val="center"/>
                </w:tcPr>
                <w:p w14:paraId="71F2F5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本项目所有物料按</w:t>
                  </w:r>
                  <w:r>
                    <w:rPr>
                      <w:rFonts w:hint="default" w:ascii="Times New Roman" w:hAnsi="Times New Roman" w:eastAsia="宋体" w:cs="Times New Roman"/>
                      <w:color w:val="auto"/>
                      <w:spacing w:val="0"/>
                      <w:sz w:val="21"/>
                      <w:szCs w:val="21"/>
                      <w:highlight w:val="none"/>
                      <w:lang w:val="en-US" w:eastAsia="zh-CN"/>
                    </w:rPr>
                    <w:t>要求进行运输；</w:t>
                  </w:r>
                  <w:r>
                    <w:rPr>
                      <w:rFonts w:hint="eastAsia" w:cs="Times New Roman"/>
                      <w:color w:val="auto"/>
                      <w:spacing w:val="0"/>
                      <w:sz w:val="21"/>
                      <w:szCs w:val="21"/>
                      <w:highlight w:val="none"/>
                      <w:lang w:val="en-US" w:eastAsia="zh-CN"/>
                    </w:rPr>
                    <w:t>本项目依托现有洗车平台，</w:t>
                  </w:r>
                  <w:r>
                    <w:rPr>
                      <w:rFonts w:hint="default" w:ascii="Times New Roman" w:hAnsi="Times New Roman" w:eastAsia="宋体" w:cs="Times New Roman"/>
                      <w:color w:val="auto"/>
                      <w:spacing w:val="0"/>
                      <w:sz w:val="21"/>
                      <w:szCs w:val="21"/>
                      <w:highlight w:val="none"/>
                      <w:lang w:val="en-US" w:eastAsia="zh-CN"/>
                    </w:rPr>
                    <w:t>洗车平台设置</w:t>
                  </w:r>
                  <w:r>
                    <w:rPr>
                      <w:rFonts w:hint="eastAsia" w:ascii="Times New Roman" w:hAnsi="Times New Roman" w:eastAsia="宋体" w:cs="Times New Roman"/>
                      <w:color w:val="auto"/>
                      <w:spacing w:val="0"/>
                      <w:sz w:val="21"/>
                      <w:szCs w:val="21"/>
                      <w:highlight w:val="none"/>
                      <w:lang w:val="en-US" w:eastAsia="zh-CN"/>
                    </w:rPr>
                    <w:t>厂区于</w:t>
                  </w:r>
                  <w:r>
                    <w:rPr>
                      <w:rFonts w:hint="default" w:ascii="Times New Roman" w:hAnsi="Times New Roman" w:eastAsia="宋体" w:cs="Times New Roman"/>
                      <w:color w:val="auto"/>
                      <w:spacing w:val="0"/>
                      <w:sz w:val="21"/>
                      <w:szCs w:val="21"/>
                      <w:highlight w:val="none"/>
                      <w:lang w:val="en-US" w:eastAsia="zh-CN"/>
                    </w:rPr>
                    <w:t>出入口处，并配套建设沉淀池、清水池，洗车废水循环使用；</w:t>
                  </w:r>
                  <w:r>
                    <w:rPr>
                      <w:rFonts w:hint="eastAsia" w:ascii="Times New Roman" w:hAnsi="Times New Roman" w:eastAsia="宋体" w:cs="Times New Roman"/>
                      <w:color w:val="auto"/>
                      <w:spacing w:val="0"/>
                      <w:sz w:val="21"/>
                      <w:szCs w:val="21"/>
                      <w:highlight w:val="none"/>
                      <w:lang w:val="en-US" w:eastAsia="zh-CN"/>
                    </w:rPr>
                    <w:t>项目原料</w:t>
                  </w:r>
                  <w:r>
                    <w:rPr>
                      <w:rFonts w:hint="default" w:ascii="Times New Roman" w:hAnsi="Times New Roman" w:eastAsia="宋体" w:cs="Times New Roman"/>
                      <w:color w:val="auto"/>
                      <w:spacing w:val="0"/>
                      <w:sz w:val="21"/>
                      <w:szCs w:val="21"/>
                      <w:highlight w:val="none"/>
                      <w:lang w:val="en-US" w:eastAsia="zh-CN"/>
                    </w:rPr>
                    <w:t>装卸、存储均在</w:t>
                  </w:r>
                  <w:r>
                    <w:rPr>
                      <w:rFonts w:hint="eastAsia" w:ascii="Times New Roman" w:hAnsi="Times New Roman" w:eastAsia="宋体" w:cs="Times New Roman"/>
                      <w:color w:val="auto"/>
                      <w:spacing w:val="0"/>
                      <w:sz w:val="21"/>
                      <w:szCs w:val="21"/>
                      <w:highlight w:val="none"/>
                      <w:lang w:val="en-US" w:eastAsia="zh-CN"/>
                    </w:rPr>
                    <w:t>封闭的</w:t>
                  </w:r>
                  <w:r>
                    <w:rPr>
                      <w:rFonts w:hint="eastAsia" w:cs="Times New Roman"/>
                      <w:color w:val="auto"/>
                      <w:spacing w:val="0"/>
                      <w:sz w:val="21"/>
                      <w:szCs w:val="21"/>
                      <w:highlight w:val="none"/>
                      <w:lang w:val="en-US" w:eastAsia="zh-CN"/>
                    </w:rPr>
                    <w:t>预处理车间</w:t>
                  </w:r>
                  <w:r>
                    <w:rPr>
                      <w:rFonts w:hint="eastAsia" w:ascii="Times New Roman" w:hAnsi="Times New Roman" w:eastAsia="宋体" w:cs="Times New Roman"/>
                      <w:color w:val="auto"/>
                      <w:spacing w:val="0"/>
                      <w:sz w:val="21"/>
                      <w:szCs w:val="21"/>
                      <w:highlight w:val="none"/>
                      <w:lang w:val="en-US" w:eastAsia="zh-CN"/>
                    </w:rPr>
                    <w:t>内</w:t>
                  </w:r>
                  <w:r>
                    <w:rPr>
                      <w:rFonts w:hint="default" w:ascii="Times New Roman" w:hAnsi="Times New Roman" w:eastAsia="宋体" w:cs="Times New Roman"/>
                      <w:color w:val="auto"/>
                      <w:spacing w:val="0"/>
                      <w:sz w:val="21"/>
                      <w:szCs w:val="21"/>
                      <w:highlight w:val="none"/>
                      <w:lang w:val="en-US" w:eastAsia="zh-CN"/>
                    </w:rPr>
                    <w:t>进行</w:t>
                  </w:r>
                  <w:r>
                    <w:rPr>
                      <w:rFonts w:hint="eastAsia" w:ascii="Times New Roman" w:hAnsi="Times New Roman" w:eastAsia="宋体" w:cs="Times New Roman"/>
                      <w:color w:val="auto"/>
                      <w:spacing w:val="0"/>
                      <w:sz w:val="21"/>
                      <w:szCs w:val="21"/>
                      <w:highlight w:val="none"/>
                      <w:lang w:val="en-US" w:eastAsia="zh-CN"/>
                    </w:rPr>
                    <w:t>，</w:t>
                  </w:r>
                  <w:r>
                    <w:rPr>
                      <w:rFonts w:hint="eastAsia" w:cs="Times New Roman"/>
                      <w:color w:val="auto"/>
                      <w:spacing w:val="0"/>
                      <w:sz w:val="21"/>
                      <w:szCs w:val="21"/>
                      <w:highlight w:val="none"/>
                      <w:lang w:val="en-US" w:eastAsia="zh-CN"/>
                    </w:rPr>
                    <w:t>预处理车间</w:t>
                  </w:r>
                  <w:r>
                    <w:rPr>
                      <w:rFonts w:hint="default" w:ascii="Times New Roman" w:hAnsi="Times New Roman" w:eastAsia="宋体" w:cs="Times New Roman"/>
                      <w:color w:val="auto"/>
                      <w:spacing w:val="0"/>
                      <w:sz w:val="21"/>
                      <w:szCs w:val="21"/>
                      <w:highlight w:val="none"/>
                      <w:lang w:val="en-US" w:eastAsia="zh-CN"/>
                    </w:rPr>
                    <w:t>并设置喷雾抑尘设施</w:t>
                  </w:r>
                  <w:r>
                    <w:rPr>
                      <w:rFonts w:hint="eastAsia" w:ascii="Times New Roman" w:hAnsi="Times New Roman" w:eastAsia="宋体"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密闭输送物料在装卸处配备吸尘、喷淋等设施。</w:t>
                  </w:r>
                </w:p>
              </w:tc>
              <w:tc>
                <w:tcPr>
                  <w:tcW w:w="192" w:type="pct"/>
                  <w:tcBorders>
                    <w:tl2br w:val="nil"/>
                    <w:tr2bl w:val="nil"/>
                  </w:tcBorders>
                  <w:noWrap w:val="0"/>
                  <w:vAlign w:val="center"/>
                </w:tcPr>
                <w:p w14:paraId="77E1334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3C29B13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518" w:hRule="atLeast"/>
                <w:jc w:val="center"/>
              </w:trPr>
              <w:tc>
                <w:tcPr>
                  <w:tcW w:w="193" w:type="pct"/>
                  <w:vMerge w:val="continue"/>
                  <w:tcBorders>
                    <w:tl2br w:val="nil"/>
                    <w:tr2bl w:val="nil"/>
                  </w:tcBorders>
                  <w:noWrap w:val="0"/>
                  <w:vAlign w:val="center"/>
                </w:tcPr>
                <w:p w14:paraId="03FA033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rPr>
                  </w:pPr>
                </w:p>
              </w:tc>
              <w:tc>
                <w:tcPr>
                  <w:tcW w:w="369" w:type="pct"/>
                  <w:vMerge w:val="continue"/>
                  <w:tcBorders>
                    <w:tl2br w:val="nil"/>
                    <w:tr2bl w:val="nil"/>
                  </w:tcBorders>
                  <w:noWrap w:val="0"/>
                  <w:vAlign w:val="center"/>
                </w:tcPr>
                <w:p w14:paraId="1F2E531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212" w:type="pct"/>
                  <w:vMerge w:val="continue"/>
                  <w:tcBorders>
                    <w:tl2br w:val="nil"/>
                    <w:tr2bl w:val="nil"/>
                  </w:tcBorders>
                  <w:noWrap w:val="0"/>
                  <w:vAlign w:val="center"/>
                </w:tcPr>
                <w:p w14:paraId="624E5F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227" w:type="pct"/>
                  <w:tcBorders>
                    <w:tl2br w:val="nil"/>
                    <w:tr2bl w:val="nil"/>
                  </w:tcBorders>
                  <w:noWrap w:val="0"/>
                  <w:vAlign w:val="center"/>
                </w:tcPr>
                <w:p w14:paraId="2BFCF36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物料储存</w:t>
                  </w:r>
                </w:p>
              </w:tc>
              <w:tc>
                <w:tcPr>
                  <w:tcW w:w="2214" w:type="pct"/>
                  <w:tcBorders>
                    <w:tl2br w:val="nil"/>
                    <w:tr2bl w:val="nil"/>
                  </w:tcBorders>
                  <w:noWrap w:val="0"/>
                  <w:vAlign w:val="center"/>
                </w:tcPr>
                <w:p w14:paraId="6CD5D1AA">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ascii="Times New Roman" w:hAnsi="Times New Roman" w:cs="Times New Roman"/>
                      <w:color w:val="auto"/>
                      <w:spacing w:val="0"/>
                      <w:sz w:val="21"/>
                      <w:szCs w:val="21"/>
                      <w:lang w:val="en-US" w:eastAsia="zh-CN"/>
                    </w:rPr>
                  </w:pPr>
                  <w:r>
                    <w:rPr>
                      <w:rFonts w:hint="eastAsia" w:cs="Times New Roman"/>
                      <w:color w:val="auto"/>
                      <w:spacing w:val="0"/>
                      <w:sz w:val="21"/>
                      <w:szCs w:val="21"/>
                      <w:lang w:val="en-US" w:eastAsia="zh-CN"/>
                    </w:rPr>
                    <w:t>1.</w:t>
                  </w:r>
                  <w:r>
                    <w:rPr>
                      <w:rFonts w:hint="eastAsia" w:ascii="Times New Roman" w:hAnsi="Times New Roman" w:cs="Times New Roman"/>
                      <w:color w:val="auto"/>
                      <w:spacing w:val="0"/>
                      <w:sz w:val="21"/>
                      <w:szCs w:val="21"/>
                      <w:lang w:val="en-US" w:eastAsia="zh-CN"/>
                    </w:rPr>
                    <w:t>粉状物料储存可采用入棚、入仓储存，棚内设有喷淋装置，在物料装卸时洒水降尘，棚内应设置横向防雨天窗，也可采用防风抑尘网+喷淋装置进行储存</w:t>
                  </w:r>
                </w:p>
                <w:p w14:paraId="0DDFDE0F">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2.</w:t>
                  </w:r>
                  <w:r>
                    <w:rPr>
                      <w:rFonts w:hint="eastAsia" w:ascii="Times New Roman" w:hAnsi="Times New Roman" w:cs="Times New Roman"/>
                      <w:color w:val="auto"/>
                      <w:spacing w:val="0"/>
                      <w:sz w:val="21"/>
                      <w:szCs w:val="21"/>
                      <w:lang w:val="en-US" w:eastAsia="zh-CN"/>
                    </w:rPr>
                    <w:t>块状物料储存可采用入棚、入仓方式储存，也可采用防风抑尘网+喷淋装置储存，露天堆场贮存过程中，必须采取洒水、遮盖或喷洒抑尘剂等措施控制扬尘。</w:t>
                  </w:r>
                </w:p>
              </w:tc>
              <w:tc>
                <w:tcPr>
                  <w:tcW w:w="1590" w:type="pct"/>
                  <w:tcBorders>
                    <w:tl2br w:val="nil"/>
                    <w:tr2bl w:val="nil"/>
                  </w:tcBorders>
                  <w:shd w:val="clear" w:color="auto" w:fill="auto"/>
                  <w:noWrap w:val="0"/>
                  <w:vAlign w:val="center"/>
                </w:tcPr>
                <w:p w14:paraId="72A6EF8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本项目原料储存于封闭的预处理车间内，预处理车间配置</w:t>
                  </w:r>
                  <w:r>
                    <w:rPr>
                      <w:rFonts w:hint="default" w:ascii="Times New Roman" w:hAnsi="Times New Roman" w:eastAsia="宋体" w:cs="Times New Roman"/>
                      <w:color w:val="auto"/>
                      <w:spacing w:val="0"/>
                      <w:sz w:val="21"/>
                      <w:szCs w:val="21"/>
                      <w:highlight w:val="none"/>
                      <w:lang w:val="en-US" w:eastAsia="zh-CN"/>
                    </w:rPr>
                    <w:t>喷雾抑尘设施</w:t>
                  </w:r>
                  <w:r>
                    <w:rPr>
                      <w:rFonts w:hint="eastAsia" w:ascii="Times New Roman" w:hAnsi="Times New Roman" w:cs="Times New Roman"/>
                      <w:color w:val="auto"/>
                      <w:spacing w:val="0"/>
                      <w:sz w:val="21"/>
                      <w:szCs w:val="21"/>
                      <w:highlight w:val="none"/>
                      <w:lang w:val="en-US" w:eastAsia="zh-CN"/>
                    </w:rPr>
                    <w:t>。</w:t>
                  </w:r>
                </w:p>
              </w:tc>
              <w:tc>
                <w:tcPr>
                  <w:tcW w:w="192" w:type="pct"/>
                  <w:tcBorders>
                    <w:tl2br w:val="nil"/>
                    <w:tr2bl w:val="nil"/>
                  </w:tcBorders>
                  <w:shd w:val="clear" w:color="auto" w:fill="auto"/>
                  <w:noWrap w:val="0"/>
                  <w:vAlign w:val="center"/>
                </w:tcPr>
                <w:p w14:paraId="635201C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rPr>
                    <w:t>符合</w:t>
                  </w:r>
                </w:p>
              </w:tc>
            </w:tr>
            <w:tr w14:paraId="31A65B9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792" w:hRule="atLeast"/>
                <w:jc w:val="center"/>
              </w:trPr>
              <w:tc>
                <w:tcPr>
                  <w:tcW w:w="193" w:type="pct"/>
                  <w:vMerge w:val="continue"/>
                  <w:tcBorders>
                    <w:tl2br w:val="nil"/>
                    <w:tr2bl w:val="nil"/>
                  </w:tcBorders>
                  <w:noWrap w:val="0"/>
                  <w:vAlign w:val="center"/>
                </w:tcPr>
                <w:p w14:paraId="13CBAA0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369" w:type="pct"/>
                  <w:vMerge w:val="continue"/>
                  <w:tcBorders>
                    <w:tl2br w:val="nil"/>
                    <w:tr2bl w:val="nil"/>
                  </w:tcBorders>
                  <w:noWrap w:val="0"/>
                  <w:vAlign w:val="center"/>
                </w:tcPr>
                <w:p w14:paraId="4FA95BC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sz w:val="21"/>
                      <w:szCs w:val="21"/>
                      <w:lang w:val="en-US" w:eastAsia="zh-CN"/>
                    </w:rPr>
                  </w:pPr>
                </w:p>
              </w:tc>
              <w:tc>
                <w:tcPr>
                  <w:tcW w:w="440" w:type="pct"/>
                  <w:gridSpan w:val="2"/>
                  <w:tcBorders>
                    <w:tl2br w:val="nil"/>
                    <w:tr2bl w:val="nil"/>
                  </w:tcBorders>
                  <w:noWrap w:val="0"/>
                  <w:vAlign w:val="center"/>
                </w:tcPr>
                <w:p w14:paraId="60D2252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厂内运输道路</w:t>
                  </w:r>
                </w:p>
              </w:tc>
              <w:tc>
                <w:tcPr>
                  <w:tcW w:w="2214" w:type="pct"/>
                  <w:tcBorders>
                    <w:tl2br w:val="nil"/>
                    <w:tr2bl w:val="nil"/>
                  </w:tcBorders>
                  <w:noWrap w:val="0"/>
                  <w:vAlign w:val="center"/>
                </w:tcPr>
                <w:p w14:paraId="5694B04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cs="Times New Roman"/>
                      <w:color w:val="auto"/>
                      <w:spacing w:val="0"/>
                      <w:sz w:val="21"/>
                      <w:szCs w:val="21"/>
                      <w:lang w:val="en-US" w:eastAsia="zh-CN"/>
                    </w:rPr>
                    <w:t>各工业企业厂区道路应进行硬化，定期清扫、洒水，以保持道路积尘处于低负荷状态</w:t>
                  </w:r>
                  <w:r>
                    <w:rPr>
                      <w:rFonts w:hint="eastAsia" w:cs="Times New Roman"/>
                      <w:color w:val="auto"/>
                      <w:spacing w:val="0"/>
                      <w:sz w:val="21"/>
                      <w:szCs w:val="21"/>
                      <w:lang w:val="en-US" w:eastAsia="zh-CN"/>
                    </w:rPr>
                    <w:t>。</w:t>
                  </w:r>
                </w:p>
              </w:tc>
              <w:tc>
                <w:tcPr>
                  <w:tcW w:w="1590" w:type="pct"/>
                  <w:tcBorders>
                    <w:tl2br w:val="nil"/>
                    <w:tr2bl w:val="nil"/>
                  </w:tcBorders>
                  <w:noWrap w:val="0"/>
                  <w:vAlign w:val="center"/>
                </w:tcPr>
                <w:p w14:paraId="0907AB2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厂区内路面全部硬化、无破损，厂区实现“非硬即绿”</w:t>
                  </w:r>
                  <w:r>
                    <w:rPr>
                      <w:rFonts w:hint="eastAsia" w:ascii="Times New Roman" w:hAnsi="Times New Roman" w:eastAsia="宋体" w:cs="Times New Roman"/>
                      <w:color w:val="auto"/>
                      <w:spacing w:val="0"/>
                      <w:sz w:val="21"/>
                      <w:szCs w:val="21"/>
                      <w:highlight w:val="none"/>
                      <w:lang w:val="zh-CN"/>
                    </w:rPr>
                    <w:t>。</w:t>
                  </w:r>
                  <w:r>
                    <w:rPr>
                      <w:rFonts w:hint="eastAsia" w:cs="Times New Roman"/>
                      <w:color w:val="auto"/>
                      <w:spacing w:val="0"/>
                      <w:sz w:val="21"/>
                      <w:szCs w:val="21"/>
                      <w:highlight w:val="none"/>
                      <w:lang w:val="zh-CN"/>
                    </w:rPr>
                    <w:t>企业</w:t>
                  </w:r>
                  <w:r>
                    <w:rPr>
                      <w:rFonts w:hint="eastAsia" w:ascii="Times New Roman" w:hAnsi="Times New Roman" w:cs="Times New Roman"/>
                      <w:color w:val="auto"/>
                      <w:spacing w:val="0"/>
                      <w:sz w:val="21"/>
                      <w:szCs w:val="21"/>
                      <w:highlight w:val="none"/>
                      <w:lang w:val="en-US" w:eastAsia="zh-CN"/>
                    </w:rPr>
                    <w:t>定期清扫、洒水，保持道路积尘处于低负荷状态。</w:t>
                  </w:r>
                </w:p>
              </w:tc>
              <w:tc>
                <w:tcPr>
                  <w:tcW w:w="192" w:type="pct"/>
                  <w:tcBorders>
                    <w:tl2br w:val="nil"/>
                    <w:tr2bl w:val="nil"/>
                  </w:tcBorders>
                  <w:noWrap w:val="0"/>
                  <w:vAlign w:val="center"/>
                </w:tcPr>
                <w:p w14:paraId="16B46F1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bl>
          <w:p w14:paraId="4E384603">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b w:val="0"/>
                <w:bCs/>
                <w:color w:val="auto"/>
                <w:highlight w:val="none"/>
                <w:lang w:val="zh-CN"/>
              </w:rPr>
            </w:pPr>
            <w:r>
              <w:rPr>
                <w:rFonts w:hint="eastAsia" w:ascii="Times New Roman" w:hAnsi="Times New Roman" w:cs="Times New Roman"/>
                <w:color w:val="auto"/>
                <w:highlight w:val="none"/>
                <w:lang w:val="zh-CN"/>
              </w:rPr>
              <w:t>由上表可知</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lang w:val="zh-CN"/>
              </w:rPr>
              <w:t>的建设符合</w:t>
            </w:r>
            <w:r>
              <w:rPr>
                <w:rFonts w:hint="eastAsia" w:ascii="Times New Roman" w:hAnsi="Times New Roman" w:eastAsia="宋体" w:cs="Times New Roman"/>
                <w:b w:val="0"/>
                <w:bCs/>
                <w:color w:val="auto"/>
                <w:sz w:val="24"/>
                <w:szCs w:val="24"/>
                <w:highlight w:val="none"/>
                <w:lang w:val="en-US" w:eastAsia="zh-CN"/>
              </w:rPr>
              <w:t>《煤场、料场、渣场扬尘污染控制技术规范》（DB13/T2352-2016）相关要求</w:t>
            </w:r>
            <w:r>
              <w:rPr>
                <w:rFonts w:hint="default" w:ascii="Times New Roman" w:hAnsi="Times New Roman" w:cs="Times New Roman"/>
                <w:b w:val="0"/>
                <w:bCs/>
                <w:color w:val="auto"/>
                <w:highlight w:val="none"/>
                <w:lang w:val="zh-CN"/>
              </w:rPr>
              <w:t>。</w:t>
            </w:r>
          </w:p>
          <w:p w14:paraId="353F729D">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Times New Roman"/>
                <w:color w:val="auto"/>
                <w:highlight w:val="none"/>
                <w:lang w:val="en-US" w:eastAsia="zh-CN"/>
              </w:rPr>
            </w:pPr>
          </w:p>
          <w:p w14:paraId="0A78F8FE">
            <w:pPr>
              <w:pStyle w:val="29"/>
              <w:shd w:val="clear"/>
              <w:adjustRightInd w:val="0"/>
              <w:snapToGrid w:val="0"/>
              <w:spacing w:before="0" w:beforeAutospacing="0" w:after="0" w:afterAutospacing="0" w:line="440" w:lineRule="exact"/>
              <w:ind w:firstLine="482" w:firstLineChars="200"/>
              <w:rPr>
                <w:rFonts w:hint="default" w:ascii="Times New Roman" w:hAnsi="Times New Roman" w:eastAsia="宋体" w:cs="Times New Roman"/>
                <w:b/>
                <w:color w:val="auto"/>
                <w:sz w:val="24"/>
                <w:szCs w:val="24"/>
                <w:highlight w:val="none"/>
                <w:lang w:val="en-US" w:eastAsia="zh-CN"/>
              </w:rPr>
            </w:pPr>
            <w:r>
              <w:rPr>
                <w:rFonts w:hint="eastAsia" w:ascii="Times New Roman" w:hAnsi="Times New Roman" w:cs="Times New Roman"/>
                <w:b/>
                <w:color w:val="auto"/>
                <w:sz w:val="24"/>
                <w:szCs w:val="24"/>
                <w:highlight w:val="none"/>
                <w:lang w:val="en-US" w:eastAsia="zh-CN"/>
              </w:rPr>
              <w:t>6、</w:t>
            </w:r>
            <w:r>
              <w:rPr>
                <w:rFonts w:hint="eastAsia" w:ascii="Times New Roman" w:hAnsi="Times New Roman" w:eastAsia="宋体" w:cs="Times New Roman"/>
                <w:b/>
                <w:color w:val="auto"/>
                <w:sz w:val="24"/>
                <w:szCs w:val="24"/>
                <w:highlight w:val="none"/>
                <w:lang w:val="en-US" w:eastAsia="zh-CN"/>
              </w:rPr>
              <w:t>与绩效评级相关要求的符合性分析</w:t>
            </w:r>
          </w:p>
          <w:p w14:paraId="0A954EB4">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本项目与《河北省十一个行业重污染天气应急减排措施制定技术指南（试行）》中矿石采选与加工行业中“非金属矿采选与加工行业绩效引领性指标”的符合性分析见表</w:t>
            </w:r>
            <w:r>
              <w:rPr>
                <w:rFonts w:hint="eastAsia"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w:t>
            </w:r>
          </w:p>
          <w:p w14:paraId="7DF262B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项目与绩效评级相关要求的符合性分析</w:t>
            </w:r>
          </w:p>
          <w:tbl>
            <w:tblPr>
              <w:tblStyle w:val="32"/>
              <w:tblW w:w="4770"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715"/>
              <w:gridCol w:w="1052"/>
              <w:gridCol w:w="5458"/>
              <w:gridCol w:w="3975"/>
              <w:gridCol w:w="1229"/>
            </w:tblGrid>
            <w:tr w14:paraId="1460034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92" w:hRule="atLeast"/>
                <w:jc w:val="center"/>
              </w:trPr>
              <w:tc>
                <w:tcPr>
                  <w:tcW w:w="287" w:type="pct"/>
                  <w:tcBorders>
                    <w:tl2br w:val="nil"/>
                    <w:tr2bl w:val="nil"/>
                  </w:tcBorders>
                  <w:noWrap w:val="0"/>
                  <w:vAlign w:val="center"/>
                </w:tcPr>
                <w:p w14:paraId="0A2D49E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序号</w:t>
                  </w:r>
                </w:p>
              </w:tc>
              <w:tc>
                <w:tcPr>
                  <w:tcW w:w="2618" w:type="pct"/>
                  <w:gridSpan w:val="2"/>
                  <w:tcBorders>
                    <w:tl2br w:val="nil"/>
                    <w:tr2bl w:val="nil"/>
                  </w:tcBorders>
                  <w:noWrap w:val="0"/>
                  <w:vAlign w:val="center"/>
                </w:tcPr>
                <w:p w14:paraId="53A9B24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非金属矿采选与加工行业绩效引领性指标</w:t>
                  </w:r>
                </w:p>
              </w:tc>
              <w:tc>
                <w:tcPr>
                  <w:tcW w:w="1599" w:type="pct"/>
                  <w:tcBorders>
                    <w:tl2br w:val="nil"/>
                    <w:tr2bl w:val="nil"/>
                  </w:tcBorders>
                  <w:noWrap w:val="0"/>
                  <w:vAlign w:val="center"/>
                </w:tcPr>
                <w:p w14:paraId="4C773BA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本项目</w:t>
                  </w:r>
                </w:p>
              </w:tc>
              <w:tc>
                <w:tcPr>
                  <w:tcW w:w="494" w:type="pct"/>
                  <w:tcBorders>
                    <w:tl2br w:val="nil"/>
                    <w:tr2bl w:val="nil"/>
                  </w:tcBorders>
                  <w:noWrap w:val="0"/>
                  <w:vAlign w:val="center"/>
                </w:tcPr>
                <w:p w14:paraId="7ABB1D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结论</w:t>
                  </w:r>
                </w:p>
              </w:tc>
            </w:tr>
            <w:tr w14:paraId="427D70E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77" w:hRule="atLeast"/>
                <w:jc w:val="center"/>
              </w:trPr>
              <w:tc>
                <w:tcPr>
                  <w:tcW w:w="287" w:type="pct"/>
                  <w:tcBorders>
                    <w:tl2br w:val="nil"/>
                    <w:tr2bl w:val="nil"/>
                  </w:tcBorders>
                  <w:noWrap w:val="0"/>
                  <w:vAlign w:val="center"/>
                </w:tcPr>
                <w:p w14:paraId="3974E3C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1</w:t>
                  </w:r>
                </w:p>
              </w:tc>
              <w:tc>
                <w:tcPr>
                  <w:tcW w:w="423" w:type="pct"/>
                  <w:tcBorders>
                    <w:tl2br w:val="nil"/>
                    <w:tr2bl w:val="nil"/>
                  </w:tcBorders>
                  <w:noWrap w:val="0"/>
                  <w:vAlign w:val="center"/>
                </w:tcPr>
                <w:p w14:paraId="4C9E0E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能源类型</w:t>
                  </w:r>
                </w:p>
              </w:tc>
              <w:tc>
                <w:tcPr>
                  <w:tcW w:w="2195" w:type="pct"/>
                  <w:tcBorders>
                    <w:tl2br w:val="nil"/>
                    <w:tr2bl w:val="nil"/>
                  </w:tcBorders>
                  <w:noWrap w:val="0"/>
                  <w:vAlign w:val="center"/>
                </w:tcPr>
                <w:p w14:paraId="638546E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锅炉采用电、天然气。</w:t>
                  </w:r>
                </w:p>
              </w:tc>
              <w:tc>
                <w:tcPr>
                  <w:tcW w:w="1599" w:type="pct"/>
                  <w:tcBorders>
                    <w:tl2br w:val="nil"/>
                    <w:tr2bl w:val="nil"/>
                  </w:tcBorders>
                  <w:noWrap w:val="0"/>
                  <w:vAlign w:val="center"/>
                </w:tcPr>
                <w:p w14:paraId="6DAE8E6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项目不涉及锅炉，项目不涉及天然气的使用，项目用电引自本地电网。</w:t>
                  </w:r>
                </w:p>
              </w:tc>
              <w:tc>
                <w:tcPr>
                  <w:tcW w:w="494" w:type="pct"/>
                  <w:tcBorders>
                    <w:tl2br w:val="nil"/>
                    <w:tr2bl w:val="nil"/>
                  </w:tcBorders>
                  <w:noWrap w:val="0"/>
                  <w:vAlign w:val="center"/>
                </w:tcPr>
                <w:p w14:paraId="2C88D9D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2BB1DB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561" w:hRule="atLeast"/>
                <w:jc w:val="center"/>
              </w:trPr>
              <w:tc>
                <w:tcPr>
                  <w:tcW w:w="287" w:type="pct"/>
                  <w:tcBorders>
                    <w:tl2br w:val="nil"/>
                    <w:tr2bl w:val="nil"/>
                  </w:tcBorders>
                  <w:noWrap w:val="0"/>
                  <w:vAlign w:val="center"/>
                </w:tcPr>
                <w:p w14:paraId="52BC76F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2</w:t>
                  </w:r>
                </w:p>
              </w:tc>
              <w:tc>
                <w:tcPr>
                  <w:tcW w:w="423" w:type="pct"/>
                  <w:tcBorders>
                    <w:tl2br w:val="nil"/>
                    <w:tr2bl w:val="nil"/>
                  </w:tcBorders>
                  <w:noWrap w:val="0"/>
                  <w:vAlign w:val="center"/>
                </w:tcPr>
                <w:p w14:paraId="1892700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污染治理技术</w:t>
                  </w:r>
                </w:p>
              </w:tc>
              <w:tc>
                <w:tcPr>
                  <w:tcW w:w="2195" w:type="pct"/>
                  <w:tcBorders>
                    <w:tl2br w:val="nil"/>
                    <w:tr2bl w:val="nil"/>
                  </w:tcBorders>
                  <w:noWrap w:val="0"/>
                  <w:vAlign w:val="center"/>
                </w:tcPr>
                <w:p w14:paraId="6B0B1B3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除尘采用覆膜滤袋、滤筒等高效除尘技术（设计除尘效率不低于</w:t>
                  </w:r>
                  <w:r>
                    <w:rPr>
                      <w:rFonts w:hint="default" w:ascii="Times New Roman" w:hAnsi="Times New Roman" w:cs="Times New Roman"/>
                      <w:color w:val="auto"/>
                      <w:spacing w:val="0"/>
                      <w:sz w:val="21"/>
                      <w:szCs w:val="21"/>
                      <w:highlight w:val="none"/>
                      <w:lang w:val="en-US" w:eastAsia="zh-CN"/>
                    </w:rPr>
                    <w:t>99%</w:t>
                  </w:r>
                  <w:r>
                    <w:rPr>
                      <w:rFonts w:hint="eastAsia" w:ascii="Times New Roman" w:hAnsi="Times New Roman" w:cs="Times New Roman"/>
                      <w:color w:val="auto"/>
                      <w:spacing w:val="0"/>
                      <w:sz w:val="21"/>
                      <w:szCs w:val="21"/>
                      <w:highlight w:val="none"/>
                      <w:lang w:val="en-US" w:eastAsia="zh-CN"/>
                    </w:rPr>
                    <w:t>）；</w:t>
                  </w:r>
                </w:p>
                <w:p w14:paraId="070F4AE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highlight w:val="none"/>
                      <w:lang w:val="en-US" w:eastAsia="zh-CN"/>
                    </w:rPr>
                    <w:t>2.NOx</w:t>
                  </w:r>
                  <w:r>
                    <w:rPr>
                      <w:rFonts w:hint="eastAsia" w:ascii="Times New Roman" w:hAnsi="Times New Roman" w:cs="Times New Roman"/>
                      <w:color w:val="auto"/>
                      <w:spacing w:val="0"/>
                      <w:sz w:val="21"/>
                      <w:szCs w:val="21"/>
                      <w:highlight w:val="none"/>
                      <w:lang w:val="en-US" w:eastAsia="zh-CN"/>
                    </w:rPr>
                    <w:t>治理采用低氮燃烧、</w:t>
                  </w:r>
                  <w:r>
                    <w:rPr>
                      <w:rFonts w:hint="default" w:ascii="Times New Roman" w:hAnsi="Times New Roman" w:cs="Times New Roman"/>
                      <w:color w:val="auto"/>
                      <w:spacing w:val="0"/>
                      <w:sz w:val="21"/>
                      <w:szCs w:val="21"/>
                      <w:highlight w:val="none"/>
                      <w:lang w:val="en-US" w:eastAsia="zh-CN"/>
                    </w:rPr>
                    <w:t>SNCR/SCR</w:t>
                  </w:r>
                  <w:r>
                    <w:rPr>
                      <w:rFonts w:hint="eastAsia" w:ascii="Times New Roman" w:hAnsi="Times New Roman" w:cs="Times New Roman"/>
                      <w:color w:val="auto"/>
                      <w:spacing w:val="0"/>
                      <w:sz w:val="21"/>
                      <w:szCs w:val="21"/>
                      <w:highlight w:val="none"/>
                      <w:lang w:val="en-US" w:eastAsia="zh-CN"/>
                    </w:rPr>
                    <w:t>等适宜技术（不含电炉）。</w:t>
                  </w:r>
                </w:p>
              </w:tc>
              <w:tc>
                <w:tcPr>
                  <w:tcW w:w="1599" w:type="pct"/>
                  <w:tcBorders>
                    <w:tl2br w:val="nil"/>
                    <w:tr2bl w:val="nil"/>
                  </w:tcBorders>
                  <w:noWrap w:val="0"/>
                  <w:vAlign w:val="center"/>
                </w:tcPr>
                <w:p w14:paraId="6CA0272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物料破碎、筛分工序除尘采用袋式除尘工艺</w:t>
                  </w:r>
                  <w:r>
                    <w:rPr>
                      <w:rFonts w:hint="eastAsia"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布袋除尘器</w:t>
                  </w:r>
                  <w:r>
                    <w:rPr>
                      <w:rFonts w:hint="eastAsia" w:cs="Times New Roman"/>
                      <w:color w:val="auto"/>
                      <w:spacing w:val="0"/>
                      <w:sz w:val="21"/>
                      <w:szCs w:val="21"/>
                      <w:highlight w:val="none"/>
                      <w:lang w:val="en-US" w:eastAsia="zh-CN"/>
                    </w:rPr>
                    <w:t>设计除尘效率为99.50%；</w:t>
                  </w:r>
                </w:p>
                <w:p w14:paraId="347E736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highlight w:val="none"/>
                      <w:lang w:val="en-US" w:eastAsia="zh-CN"/>
                    </w:rPr>
                    <w:t>2.项目</w:t>
                  </w:r>
                  <w:r>
                    <w:rPr>
                      <w:rFonts w:hint="eastAsia" w:ascii="Times New Roman" w:hAnsi="Times New Roman" w:cs="Times New Roman"/>
                      <w:color w:val="auto"/>
                      <w:spacing w:val="0"/>
                      <w:sz w:val="21"/>
                      <w:szCs w:val="21"/>
                      <w:highlight w:val="none"/>
                      <w:lang w:val="en-US" w:eastAsia="zh-CN"/>
                    </w:rPr>
                    <w:t>不涉及</w:t>
                  </w:r>
                  <w:r>
                    <w:rPr>
                      <w:rFonts w:hint="default" w:ascii="Times New Roman" w:hAnsi="Times New Roman" w:cs="Times New Roman"/>
                      <w:color w:val="auto"/>
                      <w:spacing w:val="0"/>
                      <w:sz w:val="21"/>
                      <w:szCs w:val="21"/>
                      <w:highlight w:val="none"/>
                      <w:lang w:val="en-US" w:eastAsia="zh-CN"/>
                    </w:rPr>
                    <w:t>NOx</w:t>
                  </w:r>
                  <w:r>
                    <w:rPr>
                      <w:rFonts w:hint="eastAsia" w:cs="Times New Roman"/>
                      <w:color w:val="auto"/>
                      <w:spacing w:val="0"/>
                      <w:sz w:val="21"/>
                      <w:szCs w:val="21"/>
                      <w:highlight w:val="none"/>
                      <w:lang w:val="en-US" w:eastAsia="zh-CN"/>
                    </w:rPr>
                    <w:t>的排放。</w:t>
                  </w:r>
                </w:p>
              </w:tc>
              <w:tc>
                <w:tcPr>
                  <w:tcW w:w="494" w:type="pct"/>
                  <w:tcBorders>
                    <w:tl2br w:val="nil"/>
                    <w:tr2bl w:val="nil"/>
                  </w:tcBorders>
                  <w:noWrap w:val="0"/>
                  <w:vAlign w:val="center"/>
                </w:tcPr>
                <w:p w14:paraId="3DDF486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532495A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646" w:hRule="atLeast"/>
                <w:jc w:val="center"/>
              </w:trPr>
              <w:tc>
                <w:tcPr>
                  <w:tcW w:w="287" w:type="pct"/>
                  <w:tcBorders>
                    <w:tl2br w:val="nil"/>
                    <w:tr2bl w:val="nil"/>
                  </w:tcBorders>
                  <w:shd w:val="clear" w:color="auto" w:fill="auto"/>
                  <w:noWrap w:val="0"/>
                  <w:vAlign w:val="center"/>
                </w:tcPr>
                <w:p w14:paraId="699F5A1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3</w:t>
                  </w:r>
                </w:p>
              </w:tc>
              <w:tc>
                <w:tcPr>
                  <w:tcW w:w="423" w:type="pct"/>
                  <w:tcBorders>
                    <w:tl2br w:val="nil"/>
                    <w:tr2bl w:val="nil"/>
                  </w:tcBorders>
                  <w:shd w:val="clear" w:color="auto" w:fill="auto"/>
                  <w:noWrap w:val="0"/>
                  <w:vAlign w:val="center"/>
                </w:tcPr>
                <w:p w14:paraId="31ACB30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无组织排放</w:t>
                  </w:r>
                </w:p>
              </w:tc>
              <w:tc>
                <w:tcPr>
                  <w:tcW w:w="2195" w:type="pct"/>
                  <w:tcBorders>
                    <w:tl2br w:val="nil"/>
                    <w:tr2bl w:val="nil"/>
                  </w:tcBorders>
                  <w:noWrap w:val="0"/>
                  <w:vAlign w:val="center"/>
                </w:tcPr>
                <w:p w14:paraId="3FCD5D8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矿石上料口、产品出料口设置集气罩负压收集处理或采取喷淋抑尘措施，生产车间和料场无明显扬尘；矿石破碎、筛分等生产设备全流程置于封闭厂房内，产尘点采取二次封闭或设置集尘罩负压收集后采用除尘处理；固定皮带及转运站点全部封闭，转运站点设置除尘措施；生产车间无明显扬尘；</w:t>
                  </w:r>
                  <w:r>
                    <w:rPr>
                      <w:rFonts w:hint="eastAsia" w:cs="Times New Roman"/>
                      <w:color w:val="auto"/>
                      <w:spacing w:val="0"/>
                      <w:sz w:val="21"/>
                      <w:szCs w:val="21"/>
                      <w:highlight w:val="none"/>
                      <w:lang w:val="en-US" w:eastAsia="zh-CN"/>
                    </w:rPr>
                    <w:t>2</w:t>
                  </w:r>
                  <w:r>
                    <w:rPr>
                      <w:rFonts w:hint="default" w:ascii="Times New Roman" w:hAnsi="Times New Roman"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粉状物料全部采取储罐、筒仓（料仓）或覆膜吨包袋等封闭储存；粒状、块状物料全部封闭储存或采取苫盖喷淋等措施；料场货物进出大门为硬质材料门或自动感应门，在确保安全的情况下，所有门窗保持常闭状态；除尘器卸灰口应采取密闭措施，除尘灰不得直接卸落到地面；除尘灰采取袋装、罐装等密闭措施收集、存放和运输；</w:t>
                  </w:r>
                </w:p>
                <w:p w14:paraId="50F0267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3</w:t>
                  </w:r>
                  <w:r>
                    <w:rPr>
                      <w:rFonts w:hint="default" w:ascii="Times New Roman" w:hAnsi="Times New Roman"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各工序粉状、粒状等易产尘物料厂内转移、输送过程应采用气力输送、封闭皮带等；无法封闭的产尘点（物料转载、下料口等）应采取集气除尘措施或采用水雾抑尘措施；</w:t>
                  </w:r>
                </w:p>
                <w:p w14:paraId="02585F2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4</w:t>
                  </w:r>
                  <w:r>
                    <w:rPr>
                      <w:rFonts w:hint="default" w:ascii="Times New Roman" w:hAnsi="Times New Roman"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料场出口处（或厂区出入口）安装运输车辆侧向全覆盖式强制喷淋清洗设施，清洗设施应保证车辆冲洗效果，地面至少设置一排花式喷射喷头。喷淋设施应充分考虑冷冻期结冰问题，合理优化地面基础设计，洗车平台应低于地面（呈斜坡状）；清洗完成后车辆应在洗车槽内短暂停留，避免因车身带水过多造成道路湿滑和冬季积水结冰等安全隐患；冲洗介质可使用温水、添加防冻物质等有效防冻措施；冲洗水循环利用，不外排；</w:t>
                  </w:r>
                </w:p>
                <w:p w14:paraId="0AF8004D">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both"/>
                    <w:textAlignment w:val="auto"/>
                    <w:rPr>
                      <w:rFonts w:hint="default"/>
                      <w:color w:val="auto"/>
                      <w:lang w:val="en-US" w:eastAsia="zh-CN"/>
                    </w:rPr>
                  </w:pPr>
                  <w:r>
                    <w:rPr>
                      <w:rFonts w:hint="eastAsia" w:cs="Times New Roman"/>
                      <w:color w:val="auto"/>
                      <w:spacing w:val="0"/>
                      <w:sz w:val="21"/>
                      <w:szCs w:val="21"/>
                      <w:highlight w:val="none"/>
                      <w:lang w:val="en-US" w:eastAsia="zh-CN"/>
                    </w:rPr>
                    <w:t>5</w:t>
                  </w:r>
                  <w:r>
                    <w:rPr>
                      <w:rFonts w:hint="default" w:ascii="Times New Roman" w:hAnsi="Times New Roman"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厂区内永久道路应硬化，保持清洁，湿式清扫，路面无明显可见积尘；其它道路平整压实，并采取定期洒水清扫等抑尘措施。</w:t>
                  </w:r>
                </w:p>
              </w:tc>
              <w:tc>
                <w:tcPr>
                  <w:tcW w:w="1599" w:type="pct"/>
                  <w:tcBorders>
                    <w:tl2br w:val="nil"/>
                    <w:tr2bl w:val="nil"/>
                  </w:tcBorders>
                  <w:noWrap w:val="0"/>
                  <w:vAlign w:val="center"/>
                </w:tcPr>
                <w:p w14:paraId="7125AFC6">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ascii="Times New Roman" w:hAnsi="Times New Roman"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原料上料在封闭</w:t>
                  </w:r>
                  <w:r>
                    <w:rPr>
                      <w:rFonts w:hint="eastAsia" w:cs="Times New Roman"/>
                      <w:color w:val="auto"/>
                      <w:spacing w:val="0"/>
                      <w:sz w:val="21"/>
                      <w:szCs w:val="21"/>
                      <w:highlight w:val="none"/>
                      <w:lang w:val="en-US" w:eastAsia="zh-CN"/>
                    </w:rPr>
                    <w:t>的预处理车间</w:t>
                  </w:r>
                  <w:r>
                    <w:rPr>
                      <w:rFonts w:hint="eastAsia" w:ascii="Times New Roman" w:hAnsi="Times New Roman" w:cs="Times New Roman"/>
                      <w:color w:val="auto"/>
                      <w:spacing w:val="0"/>
                      <w:sz w:val="21"/>
                      <w:szCs w:val="21"/>
                      <w:highlight w:val="none"/>
                      <w:lang w:val="en-US" w:eastAsia="zh-CN"/>
                    </w:rPr>
                    <w:t>内</w:t>
                  </w:r>
                  <w:r>
                    <w:rPr>
                      <w:rFonts w:hint="eastAsia" w:cs="Times New Roman"/>
                      <w:color w:val="auto"/>
                      <w:spacing w:val="0"/>
                      <w:sz w:val="21"/>
                      <w:szCs w:val="21"/>
                      <w:highlight w:val="none"/>
                      <w:lang w:val="en-US" w:eastAsia="zh-CN"/>
                    </w:rPr>
                    <w:t>进行</w:t>
                  </w:r>
                  <w:r>
                    <w:rPr>
                      <w:rFonts w:hint="eastAsia" w:ascii="Times New Roman" w:hAnsi="Times New Roman" w:cs="Times New Roman"/>
                      <w:color w:val="auto"/>
                      <w:spacing w:val="0"/>
                      <w:sz w:val="21"/>
                      <w:szCs w:val="21"/>
                      <w:highlight w:val="none"/>
                      <w:lang w:val="en-US" w:eastAsia="zh-CN"/>
                    </w:rPr>
                    <w:t>，</w:t>
                  </w:r>
                  <w:r>
                    <w:rPr>
                      <w:rFonts w:hint="eastAsia"/>
                      <w:color w:val="auto"/>
                      <w:spacing w:val="0"/>
                      <w:sz w:val="21"/>
                      <w:szCs w:val="21"/>
                      <w:highlight w:val="none"/>
                      <w:lang w:val="en-US" w:eastAsia="zh-CN"/>
                    </w:rPr>
                    <w:t>上料仓三面围挡，顶上加盖，设置喷雾抑尘装置</w:t>
                  </w:r>
                  <w:r>
                    <w:rPr>
                      <w:rFonts w:hint="eastAsia" w:ascii="Times New Roman" w:hAnsi="Times New Roman" w:eastAsia="宋体"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矿石破碎、筛分等生产设备全流程置于封闭厂房内，产尘点采取二次封闭或设置集尘罩负压收集后采用除尘处理；</w:t>
                  </w:r>
                  <w:r>
                    <w:rPr>
                      <w:rFonts w:hint="eastAsia" w:cs="Times New Roman"/>
                      <w:color w:val="auto"/>
                      <w:spacing w:val="0"/>
                      <w:sz w:val="21"/>
                      <w:szCs w:val="21"/>
                      <w:highlight w:val="none"/>
                      <w:lang w:val="en-US" w:eastAsia="zh-CN"/>
                    </w:rPr>
                    <w:t>皮带通廊全封闭</w:t>
                  </w:r>
                  <w:r>
                    <w:rPr>
                      <w:rFonts w:hint="eastAsia" w:ascii="Times New Roman" w:hAnsi="Times New Roman" w:cs="Times New Roman"/>
                      <w:color w:val="auto"/>
                      <w:spacing w:val="0"/>
                      <w:sz w:val="21"/>
                      <w:szCs w:val="21"/>
                      <w:highlight w:val="none"/>
                      <w:lang w:val="en-US" w:eastAsia="zh-CN"/>
                    </w:rPr>
                    <w:t>；生产车间无明显扬尘；</w:t>
                  </w:r>
                </w:p>
                <w:p w14:paraId="70E41099">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color w:val="auto"/>
                      <w:spacing w:val="0"/>
                      <w:sz w:val="21"/>
                      <w:szCs w:val="21"/>
                      <w:highlight w:val="none"/>
                      <w:lang w:val="en-US" w:eastAsia="zh-CN"/>
                    </w:rPr>
                  </w:pPr>
                  <w:r>
                    <w:rPr>
                      <w:rFonts w:hint="eastAsia" w:cs="Times New Roman"/>
                      <w:color w:val="auto"/>
                      <w:spacing w:val="0"/>
                      <w:sz w:val="21"/>
                      <w:szCs w:val="21"/>
                      <w:highlight w:val="none"/>
                      <w:lang w:val="en-US" w:eastAsia="zh-CN"/>
                    </w:rPr>
                    <w:t>2.</w:t>
                  </w:r>
                  <w:r>
                    <w:rPr>
                      <w:rFonts w:hint="eastAsia" w:ascii="Times New Roman" w:hAnsi="Times New Roman" w:cs="Times New Roman"/>
                      <w:color w:val="auto"/>
                      <w:spacing w:val="0"/>
                      <w:sz w:val="21"/>
                      <w:szCs w:val="21"/>
                      <w:highlight w:val="none"/>
                      <w:lang w:val="en-US" w:eastAsia="zh-CN"/>
                    </w:rPr>
                    <w:t>物料储存在</w:t>
                  </w:r>
                  <w:r>
                    <w:rPr>
                      <w:rFonts w:hint="eastAsia" w:cs="Times New Roman"/>
                      <w:color w:val="auto"/>
                      <w:spacing w:val="0"/>
                      <w:sz w:val="21"/>
                      <w:szCs w:val="21"/>
                      <w:highlight w:val="none"/>
                      <w:lang w:val="en-US" w:eastAsia="zh-CN"/>
                    </w:rPr>
                    <w:t>预处理车间</w:t>
                  </w:r>
                  <w:r>
                    <w:rPr>
                      <w:rFonts w:hint="eastAsia" w:ascii="Times New Roman" w:hAnsi="Times New Roman" w:cs="Times New Roman"/>
                      <w:color w:val="auto"/>
                      <w:spacing w:val="0"/>
                      <w:sz w:val="21"/>
                      <w:szCs w:val="21"/>
                      <w:highlight w:val="none"/>
                      <w:lang w:val="en-US" w:eastAsia="zh-CN"/>
                    </w:rPr>
                    <w:t>内，</w:t>
                  </w:r>
                  <w:r>
                    <w:rPr>
                      <w:rFonts w:hint="eastAsia" w:cs="Times New Roman"/>
                      <w:color w:val="auto"/>
                      <w:spacing w:val="0"/>
                      <w:sz w:val="21"/>
                      <w:szCs w:val="21"/>
                      <w:highlight w:val="none"/>
                      <w:lang w:val="en-US" w:eastAsia="zh-CN"/>
                    </w:rPr>
                    <w:t>预处理车间</w:t>
                  </w:r>
                  <w:r>
                    <w:rPr>
                      <w:rFonts w:hint="eastAsia" w:ascii="Times New Roman" w:hAnsi="Times New Roman" w:cs="Times New Roman"/>
                      <w:color w:val="auto"/>
                      <w:spacing w:val="0"/>
                      <w:sz w:val="21"/>
                      <w:szCs w:val="21"/>
                      <w:highlight w:val="none"/>
                      <w:lang w:val="en-US" w:eastAsia="zh-CN"/>
                    </w:rPr>
                    <w:t>地面全硬化，</w:t>
                  </w:r>
                  <w:r>
                    <w:rPr>
                      <w:rFonts w:hint="eastAsia" w:cs="Times New Roman"/>
                      <w:color w:val="auto"/>
                      <w:spacing w:val="0"/>
                      <w:sz w:val="21"/>
                      <w:szCs w:val="21"/>
                      <w:highlight w:val="none"/>
                      <w:lang w:val="en-US" w:eastAsia="zh-CN"/>
                    </w:rPr>
                    <w:t>设置</w:t>
                  </w:r>
                  <w:r>
                    <w:rPr>
                      <w:rFonts w:hint="eastAsia" w:ascii="Times New Roman" w:hAnsi="Times New Roman" w:cs="Times New Roman"/>
                      <w:color w:val="auto"/>
                      <w:spacing w:val="0"/>
                      <w:sz w:val="21"/>
                      <w:szCs w:val="21"/>
                      <w:highlight w:val="none"/>
                      <w:lang w:val="en-US" w:eastAsia="zh-CN"/>
                    </w:rPr>
                    <w:t>喷雾抑尘装置</w:t>
                  </w:r>
                  <w:r>
                    <w:rPr>
                      <w:rFonts w:hint="eastAsia" w:cs="Times New Roman"/>
                      <w:color w:val="auto"/>
                      <w:spacing w:val="0"/>
                      <w:sz w:val="21"/>
                      <w:szCs w:val="21"/>
                      <w:highlight w:val="none"/>
                      <w:lang w:val="en-US" w:eastAsia="zh-CN"/>
                    </w:rPr>
                    <w:t>（雾炮）</w:t>
                  </w:r>
                  <w:r>
                    <w:rPr>
                      <w:rFonts w:hint="eastAsia" w:ascii="Times New Roman" w:hAnsi="Times New Roman" w:cs="Times New Roman"/>
                      <w:color w:val="auto"/>
                      <w:spacing w:val="0"/>
                      <w:sz w:val="21"/>
                      <w:szCs w:val="21"/>
                      <w:highlight w:val="none"/>
                      <w:lang w:val="en-US" w:eastAsia="zh-CN"/>
                    </w:rPr>
                    <w:t>，对物料暂存区域全覆盖；生产车间设置</w:t>
                  </w:r>
                  <w:r>
                    <w:rPr>
                      <w:rFonts w:hint="eastAsia" w:cs="Times New Roman"/>
                      <w:color w:val="auto"/>
                      <w:spacing w:val="0"/>
                      <w:sz w:val="21"/>
                      <w:szCs w:val="21"/>
                      <w:highlight w:val="none"/>
                      <w:lang w:val="en-US" w:eastAsia="zh-CN"/>
                    </w:rPr>
                    <w:t>自动</w:t>
                  </w:r>
                  <w:r>
                    <w:rPr>
                      <w:rFonts w:hint="eastAsia" w:ascii="Times New Roman" w:hAnsi="Times New Roman" w:cs="Times New Roman"/>
                      <w:color w:val="auto"/>
                      <w:spacing w:val="0"/>
                      <w:sz w:val="21"/>
                      <w:szCs w:val="21"/>
                      <w:highlight w:val="none"/>
                      <w:lang w:val="en-US" w:eastAsia="zh-CN"/>
                    </w:rPr>
                    <w:t>感应门；除尘器卸灰处彩钢封闭，卸灰阀连接吨包，确保除尘灰不落地。</w:t>
                  </w:r>
                </w:p>
                <w:p w14:paraId="4613130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3.</w:t>
                  </w:r>
                  <w:r>
                    <w:rPr>
                      <w:rFonts w:hint="eastAsia" w:ascii="Times New Roman" w:hAnsi="Times New Roman" w:cs="Times New Roman"/>
                      <w:color w:val="auto"/>
                      <w:spacing w:val="0"/>
                      <w:sz w:val="21"/>
                      <w:szCs w:val="21"/>
                      <w:highlight w:val="none"/>
                      <w:lang w:val="en-US" w:eastAsia="zh-CN"/>
                    </w:rPr>
                    <w:t>物料转运采用封闭皮带。</w:t>
                  </w:r>
                </w:p>
                <w:p w14:paraId="2D17AE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4.</w:t>
                  </w:r>
                  <w:r>
                    <w:rPr>
                      <w:rFonts w:hint="eastAsia" w:ascii="Times New Roman" w:hAnsi="Times New Roman" w:cs="Times New Roman"/>
                      <w:color w:val="auto"/>
                      <w:spacing w:val="0"/>
                      <w:sz w:val="21"/>
                      <w:szCs w:val="21"/>
                      <w:highlight w:val="none"/>
                      <w:lang w:val="en-US" w:eastAsia="zh-CN"/>
                    </w:rPr>
                    <w:t>厂区出入口</w:t>
                  </w:r>
                  <w:r>
                    <w:rPr>
                      <w:rFonts w:hint="eastAsia" w:cs="Times New Roman"/>
                      <w:color w:val="auto"/>
                      <w:spacing w:val="0"/>
                      <w:sz w:val="21"/>
                      <w:szCs w:val="21"/>
                      <w:highlight w:val="none"/>
                      <w:lang w:val="en-US" w:eastAsia="zh-CN"/>
                    </w:rPr>
                    <w:t>设有</w:t>
                  </w:r>
                  <w:r>
                    <w:rPr>
                      <w:rFonts w:hint="eastAsia" w:ascii="Times New Roman" w:hAnsi="Times New Roman" w:cs="Times New Roman"/>
                      <w:color w:val="auto"/>
                      <w:spacing w:val="0"/>
                      <w:sz w:val="21"/>
                      <w:szCs w:val="21"/>
                      <w:highlight w:val="none"/>
                      <w:lang w:val="en-US" w:eastAsia="zh-CN"/>
                    </w:rPr>
                    <w:t>符合要求的车辆冲洗平台，保证车辆冲洗效果，冲洗介质使用温水、添加防冻物质等有效防冻措施；冲洗水循环利用，不外排；</w:t>
                  </w:r>
                </w:p>
                <w:p w14:paraId="6CCB0DB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5.</w:t>
                  </w:r>
                  <w:r>
                    <w:rPr>
                      <w:rFonts w:hint="eastAsia" w:ascii="Times New Roman" w:hAnsi="Times New Roman" w:cs="Times New Roman"/>
                      <w:color w:val="auto"/>
                      <w:spacing w:val="0"/>
                      <w:sz w:val="21"/>
                      <w:szCs w:val="21"/>
                      <w:highlight w:val="none"/>
                      <w:lang w:val="en-US" w:eastAsia="zh-CN"/>
                    </w:rPr>
                    <w:t>厂区内永久道路硬化，保持清洁，湿式清扫，路面无明显可见积尘；其它道路平整压实，并采取定期洒水清扫等抑尘措施。</w:t>
                  </w:r>
                </w:p>
              </w:tc>
              <w:tc>
                <w:tcPr>
                  <w:tcW w:w="494" w:type="pct"/>
                  <w:tcBorders>
                    <w:tl2br w:val="nil"/>
                    <w:tr2bl w:val="nil"/>
                  </w:tcBorders>
                  <w:noWrap w:val="0"/>
                  <w:vAlign w:val="center"/>
                </w:tcPr>
                <w:p w14:paraId="756DAFC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7F7B40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287" w:type="pct"/>
                  <w:tcBorders>
                    <w:tl2br w:val="nil"/>
                    <w:tr2bl w:val="nil"/>
                  </w:tcBorders>
                  <w:noWrap w:val="0"/>
                  <w:vAlign w:val="center"/>
                </w:tcPr>
                <w:p w14:paraId="605D6F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4</w:t>
                  </w:r>
                </w:p>
              </w:tc>
              <w:tc>
                <w:tcPr>
                  <w:tcW w:w="423" w:type="pct"/>
                  <w:tcBorders>
                    <w:tl2br w:val="nil"/>
                    <w:tr2bl w:val="nil"/>
                  </w:tcBorders>
                  <w:noWrap w:val="0"/>
                  <w:vAlign w:val="center"/>
                </w:tcPr>
                <w:p w14:paraId="2BA9A71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cs="Times New Roman"/>
                      <w:color w:val="auto"/>
                      <w:spacing w:val="0"/>
                      <w:sz w:val="21"/>
                      <w:szCs w:val="21"/>
                      <w:highlight w:val="none"/>
                      <w:lang w:val="en-US" w:eastAsia="zh-CN"/>
                    </w:rPr>
                    <w:t>排放限值</w:t>
                  </w:r>
                </w:p>
              </w:tc>
              <w:tc>
                <w:tcPr>
                  <w:tcW w:w="2195" w:type="pct"/>
                  <w:tcBorders>
                    <w:tl2br w:val="nil"/>
                    <w:tr2bl w:val="nil"/>
                  </w:tcBorders>
                  <w:noWrap w:val="0"/>
                  <w:vAlign w:val="center"/>
                </w:tcPr>
                <w:p w14:paraId="452AE44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颗粒物有组织排放浓度不超过</w:t>
                  </w:r>
                  <w:r>
                    <w:rPr>
                      <w:rFonts w:hint="default" w:ascii="Times New Roman" w:hAnsi="Times New Roman" w:cs="Times New Roman"/>
                      <w:color w:val="auto"/>
                      <w:spacing w:val="0"/>
                      <w:sz w:val="21"/>
                      <w:szCs w:val="21"/>
                      <w:highlight w:val="none"/>
                      <w:lang w:val="en-US" w:eastAsia="zh-CN"/>
                    </w:rPr>
                    <w:t>10mg/m</w:t>
                  </w:r>
                  <w:r>
                    <w:rPr>
                      <w:rFonts w:hint="default" w:ascii="Times New Roman" w:hAnsi="Times New Roman" w:cs="Times New Roman"/>
                      <w:color w:val="auto"/>
                      <w:spacing w:val="0"/>
                      <w:sz w:val="21"/>
                      <w:szCs w:val="21"/>
                      <w:highlight w:val="none"/>
                      <w:vertAlign w:val="superscript"/>
                      <w:lang w:val="en-US" w:eastAsia="zh-CN"/>
                    </w:rPr>
                    <w:t>3</w:t>
                  </w:r>
                  <w:r>
                    <w:rPr>
                      <w:rFonts w:hint="eastAsia" w:ascii="Times New Roman" w:hAnsi="Times New Roman" w:cs="Times New Roman"/>
                      <w:color w:val="auto"/>
                      <w:spacing w:val="0"/>
                      <w:sz w:val="21"/>
                      <w:szCs w:val="21"/>
                      <w:highlight w:val="none"/>
                      <w:lang w:val="en-US" w:eastAsia="zh-CN"/>
                    </w:rPr>
                    <w:t>；</w:t>
                  </w:r>
                </w:p>
                <w:p w14:paraId="0E35E75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2.</w:t>
                  </w:r>
                  <w:r>
                    <w:rPr>
                      <w:rFonts w:hint="eastAsia" w:ascii="Times New Roman" w:hAnsi="Times New Roman" w:cs="Times New Roman"/>
                      <w:color w:val="auto"/>
                      <w:spacing w:val="0"/>
                      <w:sz w:val="21"/>
                      <w:szCs w:val="21"/>
                      <w:highlight w:val="none"/>
                      <w:lang w:val="en-US" w:eastAsia="zh-CN"/>
                    </w:rPr>
                    <w:t>颗粒无组织排放浓度不高于</w:t>
                  </w:r>
                  <w:r>
                    <w:rPr>
                      <w:rFonts w:hint="default" w:ascii="Times New Roman" w:hAnsi="Times New Roman" w:cs="Times New Roman"/>
                      <w:color w:val="auto"/>
                      <w:spacing w:val="0"/>
                      <w:sz w:val="21"/>
                      <w:szCs w:val="21"/>
                      <w:highlight w:val="none"/>
                      <w:lang w:val="en-US" w:eastAsia="zh-CN"/>
                    </w:rPr>
                    <w:t>1mg/m</w:t>
                  </w:r>
                  <w:r>
                    <w:rPr>
                      <w:rFonts w:hint="default" w:ascii="Times New Roman" w:hAnsi="Times New Roman" w:cs="Times New Roman"/>
                      <w:color w:val="auto"/>
                      <w:spacing w:val="0"/>
                      <w:sz w:val="21"/>
                      <w:szCs w:val="21"/>
                      <w:highlight w:val="none"/>
                      <w:vertAlign w:val="superscript"/>
                      <w:lang w:val="en-US" w:eastAsia="zh-CN"/>
                    </w:rPr>
                    <w:t>3</w:t>
                  </w:r>
                  <w:r>
                    <w:rPr>
                      <w:rFonts w:hint="eastAsia" w:ascii="Times New Roman" w:hAnsi="Times New Roman" w:cs="Times New Roman"/>
                      <w:color w:val="auto"/>
                      <w:spacing w:val="0"/>
                      <w:sz w:val="21"/>
                      <w:szCs w:val="21"/>
                      <w:highlight w:val="none"/>
                      <w:lang w:val="en-US" w:eastAsia="zh-CN"/>
                    </w:rPr>
                    <w:t>；</w:t>
                  </w:r>
                </w:p>
                <w:p w14:paraId="72D485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lang w:val="en-US" w:eastAsia="zh-CN"/>
                    </w:rPr>
                    <w:t>3.</w:t>
                  </w:r>
                  <w:r>
                    <w:rPr>
                      <w:rFonts w:hint="eastAsia" w:ascii="Times New Roman" w:hAnsi="Times New Roman" w:cs="Times New Roman"/>
                      <w:color w:val="auto"/>
                      <w:spacing w:val="0"/>
                      <w:sz w:val="21"/>
                      <w:szCs w:val="21"/>
                      <w:highlight w:val="none"/>
                      <w:lang w:val="en-US" w:eastAsia="zh-CN"/>
                    </w:rPr>
                    <w:t>燃气锅炉烟气</w:t>
                  </w:r>
                  <w:r>
                    <w:rPr>
                      <w:rFonts w:hint="default" w:ascii="Times New Roman" w:hAnsi="Times New Roman" w:cs="Times New Roman"/>
                      <w:color w:val="auto"/>
                      <w:spacing w:val="0"/>
                      <w:sz w:val="21"/>
                      <w:szCs w:val="21"/>
                      <w:highlight w:val="none"/>
                      <w:lang w:val="en-US" w:eastAsia="zh-CN"/>
                    </w:rPr>
                    <w:t>PM</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SO</w:t>
                  </w:r>
                  <w:r>
                    <w:rPr>
                      <w:rFonts w:hint="default" w:ascii="Times New Roman" w:hAnsi="Times New Roman" w:cs="Times New Roman"/>
                      <w:color w:val="auto"/>
                      <w:spacing w:val="0"/>
                      <w:sz w:val="21"/>
                      <w:szCs w:val="21"/>
                      <w:highlight w:val="none"/>
                      <w:vertAlign w:val="subscript"/>
                      <w:lang w:val="en-US" w:eastAsia="zh-CN"/>
                    </w:rPr>
                    <w:t>2</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NOx</w:t>
                  </w:r>
                  <w:r>
                    <w:rPr>
                      <w:rFonts w:hint="eastAsia" w:ascii="Times New Roman" w:hAnsi="Times New Roman" w:cs="Times New Roman"/>
                      <w:color w:val="auto"/>
                      <w:spacing w:val="0"/>
                      <w:sz w:val="21"/>
                      <w:szCs w:val="21"/>
                      <w:highlight w:val="none"/>
                      <w:lang w:val="en-US" w:eastAsia="zh-CN"/>
                    </w:rPr>
                    <w:t>排放浓度分别不高于：</w:t>
                  </w:r>
                  <w:r>
                    <w:rPr>
                      <w:rFonts w:hint="default" w:ascii="Times New Roman" w:hAnsi="Times New Roman" w:cs="Times New Roman"/>
                      <w:color w:val="auto"/>
                      <w:spacing w:val="0"/>
                      <w:sz w:val="21"/>
                      <w:szCs w:val="21"/>
                      <w:highlight w:val="none"/>
                      <w:lang w:val="en-US" w:eastAsia="zh-CN"/>
                    </w:rPr>
                    <w:t>5</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10</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30mg/m</w:t>
                  </w:r>
                  <w:r>
                    <w:rPr>
                      <w:rFonts w:hint="default" w:ascii="Times New Roman" w:hAnsi="Times New Roman" w:cs="Times New Roman"/>
                      <w:color w:val="auto"/>
                      <w:spacing w:val="0"/>
                      <w:sz w:val="21"/>
                      <w:szCs w:val="21"/>
                      <w:highlight w:val="none"/>
                      <w:vertAlign w:val="superscript"/>
                      <w:lang w:val="en-US" w:eastAsia="zh-CN"/>
                    </w:rPr>
                    <w:t>3</w:t>
                  </w:r>
                  <w:r>
                    <w:rPr>
                      <w:rFonts w:hint="eastAsia" w:ascii="Times New Roman" w:hAnsi="Times New Roman" w:cs="Times New Roman"/>
                      <w:color w:val="auto"/>
                      <w:spacing w:val="0"/>
                      <w:sz w:val="21"/>
                      <w:szCs w:val="21"/>
                      <w:highlight w:val="none"/>
                      <w:lang w:val="en-US" w:eastAsia="zh-CN"/>
                    </w:rPr>
                    <w:t>（基准氧含量：</w:t>
                  </w:r>
                  <w:r>
                    <w:rPr>
                      <w:rFonts w:hint="default" w:ascii="Times New Roman" w:hAnsi="Times New Roman" w:cs="Times New Roman"/>
                      <w:color w:val="auto"/>
                      <w:spacing w:val="0"/>
                      <w:sz w:val="21"/>
                      <w:szCs w:val="21"/>
                      <w:highlight w:val="none"/>
                      <w:lang w:val="en-US" w:eastAsia="zh-CN"/>
                    </w:rPr>
                    <w:t>3.5%</w:t>
                  </w:r>
                  <w:r>
                    <w:rPr>
                      <w:rFonts w:hint="eastAsia" w:ascii="Times New Roman" w:hAnsi="Times New Roman" w:cs="Times New Roman"/>
                      <w:color w:val="auto"/>
                      <w:spacing w:val="0"/>
                      <w:sz w:val="21"/>
                      <w:szCs w:val="21"/>
                      <w:highlight w:val="none"/>
                      <w:lang w:val="en-US" w:eastAsia="zh-CN"/>
                    </w:rPr>
                    <w:t>）；采用其他能源并达到锅炉排放标准限值要求。</w:t>
                  </w:r>
                </w:p>
              </w:tc>
              <w:tc>
                <w:tcPr>
                  <w:tcW w:w="1599" w:type="pct"/>
                  <w:tcBorders>
                    <w:tl2br w:val="nil"/>
                    <w:tr2bl w:val="nil"/>
                  </w:tcBorders>
                  <w:noWrap w:val="0"/>
                  <w:vAlign w:val="center"/>
                </w:tcPr>
                <w:p w14:paraId="2DBD3E2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lang w:val="en-US" w:eastAsia="zh-CN"/>
                    </w:rPr>
                    <w:t>项目</w:t>
                  </w:r>
                  <w:r>
                    <w:rPr>
                      <w:rFonts w:hint="eastAsia" w:ascii="Times New Roman" w:hAnsi="Times New Roman" w:eastAsia="宋体" w:cs="Times New Roman"/>
                      <w:color w:val="auto"/>
                      <w:spacing w:val="0"/>
                      <w:sz w:val="21"/>
                      <w:szCs w:val="21"/>
                      <w:highlight w:val="none"/>
                      <w:lang w:val="en-US" w:eastAsia="zh-CN"/>
                    </w:rPr>
                    <w:t>有组织</w:t>
                  </w:r>
                  <w:r>
                    <w:rPr>
                      <w:rFonts w:hint="default" w:ascii="Times New Roman" w:hAnsi="Times New Roman" w:eastAsia="宋体" w:cs="Times New Roman"/>
                      <w:color w:val="auto"/>
                      <w:spacing w:val="0"/>
                      <w:sz w:val="21"/>
                      <w:szCs w:val="21"/>
                      <w:highlight w:val="none"/>
                      <w:lang w:val="en-US" w:eastAsia="zh-CN"/>
                    </w:rPr>
                    <w:t>颗粒物排放浓度不超过10mg/m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eastAsia" w:ascii="Times New Roman" w:hAnsi="Times New Roman" w:eastAsia="宋体" w:cs="Times New Roman"/>
                      <w:color w:val="auto"/>
                      <w:spacing w:val="0"/>
                      <w:sz w:val="21"/>
                      <w:szCs w:val="21"/>
                      <w:highlight w:val="none"/>
                      <w:lang w:val="en-US" w:eastAsia="zh-CN"/>
                    </w:rPr>
                    <w:t>；</w:t>
                  </w:r>
                </w:p>
                <w:p w14:paraId="41B392E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2.</w:t>
                  </w:r>
                  <w:r>
                    <w:rPr>
                      <w:rFonts w:hint="eastAsia" w:ascii="Times New Roman" w:hAnsi="Times New Roman" w:eastAsia="宋体" w:cs="Times New Roman"/>
                      <w:color w:val="auto"/>
                      <w:spacing w:val="0"/>
                      <w:sz w:val="21"/>
                      <w:szCs w:val="21"/>
                      <w:highlight w:val="none"/>
                      <w:lang w:val="en-US" w:eastAsia="zh-CN"/>
                    </w:rPr>
                    <w:t>项目采取了完善的污染防治措施，颗粒物无组织排放浓度不高于</w:t>
                  </w:r>
                  <w:r>
                    <w:rPr>
                      <w:rFonts w:hint="default" w:ascii="Times New Roman" w:hAnsi="Times New Roman" w:eastAsia="宋体" w:cs="Times New Roman"/>
                      <w:color w:val="auto"/>
                      <w:spacing w:val="0"/>
                      <w:sz w:val="21"/>
                      <w:szCs w:val="21"/>
                      <w:highlight w:val="none"/>
                      <w:lang w:val="en-US" w:eastAsia="zh-CN"/>
                    </w:rPr>
                    <w:t>1mg/m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eastAsia" w:ascii="Times New Roman" w:hAnsi="Times New Roman" w:eastAsia="宋体" w:cs="Times New Roman"/>
                      <w:color w:val="auto"/>
                      <w:spacing w:val="0"/>
                      <w:sz w:val="21"/>
                      <w:szCs w:val="21"/>
                      <w:highlight w:val="none"/>
                      <w:lang w:val="en-US" w:eastAsia="zh-CN"/>
                    </w:rPr>
                    <w:t>；</w:t>
                  </w:r>
                </w:p>
                <w:p w14:paraId="33CDAA9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highlight w:val="none"/>
                      <w:lang w:val="en-US" w:eastAsia="zh-CN"/>
                    </w:rPr>
                    <w:t>3.项目不涉及燃气锅炉。</w:t>
                  </w:r>
                </w:p>
              </w:tc>
              <w:tc>
                <w:tcPr>
                  <w:tcW w:w="494" w:type="pct"/>
                  <w:tcBorders>
                    <w:tl2br w:val="nil"/>
                    <w:tr2bl w:val="nil"/>
                  </w:tcBorders>
                  <w:noWrap w:val="0"/>
                  <w:vAlign w:val="center"/>
                </w:tcPr>
                <w:p w14:paraId="53E24AB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47C8D0D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854" w:hRule="atLeast"/>
                <w:jc w:val="center"/>
              </w:trPr>
              <w:tc>
                <w:tcPr>
                  <w:tcW w:w="287" w:type="pct"/>
                  <w:tcBorders>
                    <w:tl2br w:val="nil"/>
                    <w:tr2bl w:val="nil"/>
                  </w:tcBorders>
                  <w:noWrap w:val="0"/>
                  <w:vAlign w:val="center"/>
                </w:tcPr>
                <w:p w14:paraId="4268A3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5</w:t>
                  </w:r>
                </w:p>
              </w:tc>
              <w:tc>
                <w:tcPr>
                  <w:tcW w:w="423" w:type="pct"/>
                  <w:tcBorders>
                    <w:tl2br w:val="nil"/>
                    <w:tr2bl w:val="nil"/>
                  </w:tcBorders>
                  <w:noWrap w:val="0"/>
                  <w:vAlign w:val="center"/>
                </w:tcPr>
                <w:p w14:paraId="304B3C6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cs="Times New Roman"/>
                      <w:color w:val="auto"/>
                      <w:spacing w:val="0"/>
                      <w:sz w:val="21"/>
                      <w:szCs w:val="21"/>
                      <w:highlight w:val="none"/>
                      <w:lang w:val="en-US" w:eastAsia="zh-CN"/>
                    </w:rPr>
                    <w:t>监测监控水平</w:t>
                  </w:r>
                </w:p>
              </w:tc>
              <w:tc>
                <w:tcPr>
                  <w:tcW w:w="2195" w:type="pct"/>
                  <w:tcBorders>
                    <w:tl2br w:val="nil"/>
                    <w:tr2bl w:val="nil"/>
                  </w:tcBorders>
                  <w:noWrap w:val="0"/>
                  <w:vAlign w:val="center"/>
                </w:tcPr>
                <w:p w14:paraId="21F5882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w:t>
                  </w:r>
                  <w:r>
                    <w:rPr>
                      <w:rFonts w:hint="default" w:ascii="Times New Roman" w:hAnsi="Times New Roman"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污染治理设施安装分表计电设施；</w:t>
                  </w:r>
                </w:p>
                <w:p w14:paraId="40E9950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2</w:t>
                  </w:r>
                  <w:r>
                    <w:rPr>
                      <w:rFonts w:hint="default" w:ascii="Times New Roman" w:hAnsi="Times New Roman"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料场出入口安装高清视频监控设施，视频监控系统数据保存</w:t>
                  </w:r>
                  <w:r>
                    <w:rPr>
                      <w:rFonts w:hint="default" w:ascii="Times New Roman" w:hAnsi="Times New Roman" w:cs="Times New Roman"/>
                      <w:color w:val="auto"/>
                      <w:spacing w:val="0"/>
                      <w:sz w:val="21"/>
                      <w:szCs w:val="21"/>
                      <w:highlight w:val="none"/>
                      <w:lang w:val="en-US" w:eastAsia="zh-CN"/>
                    </w:rPr>
                    <w:t>6</w:t>
                  </w:r>
                  <w:r>
                    <w:rPr>
                      <w:rFonts w:hint="eastAsia" w:ascii="Times New Roman" w:hAnsi="Times New Roman" w:cs="Times New Roman"/>
                      <w:color w:val="auto"/>
                      <w:spacing w:val="0"/>
                      <w:sz w:val="21"/>
                      <w:szCs w:val="21"/>
                      <w:highlight w:val="none"/>
                      <w:lang w:val="en-US" w:eastAsia="zh-CN"/>
                    </w:rPr>
                    <w:t>个月以上；</w:t>
                  </w:r>
                </w:p>
              </w:tc>
              <w:tc>
                <w:tcPr>
                  <w:tcW w:w="1599" w:type="pct"/>
                  <w:tcBorders>
                    <w:tl2br w:val="nil"/>
                    <w:tr2bl w:val="nil"/>
                  </w:tcBorders>
                  <w:noWrap w:val="0"/>
                  <w:vAlign w:val="center"/>
                </w:tcPr>
                <w:p w14:paraId="10FB767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kern w:val="2"/>
                      <w:sz w:val="21"/>
                      <w:szCs w:val="21"/>
                      <w:highlight w:val="none"/>
                      <w:lang w:val="en-US" w:eastAsia="zh-CN" w:bidi="ar-SA"/>
                    </w:rPr>
                    <w:t>1.污染治理设施按要求安装分表计电设施；</w:t>
                  </w:r>
                </w:p>
                <w:p w14:paraId="1A9353E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kern w:val="2"/>
                      <w:sz w:val="21"/>
                      <w:szCs w:val="21"/>
                      <w:highlight w:val="none"/>
                      <w:lang w:val="en-US" w:eastAsia="zh-CN" w:bidi="ar-SA"/>
                    </w:rPr>
                    <w:t>2.</w:t>
                  </w:r>
                  <w:r>
                    <w:rPr>
                      <w:rFonts w:hint="eastAsia" w:cs="Times New Roman"/>
                      <w:color w:val="auto"/>
                      <w:spacing w:val="0"/>
                      <w:sz w:val="21"/>
                      <w:szCs w:val="21"/>
                      <w:highlight w:val="none"/>
                      <w:lang w:val="en-US" w:eastAsia="zh-CN"/>
                    </w:rPr>
                    <w:t>项目在</w:t>
                  </w:r>
                  <w:r>
                    <w:rPr>
                      <w:rFonts w:hint="eastAsia" w:ascii="Times New Roman" w:hAnsi="Times New Roman" w:cs="Times New Roman"/>
                      <w:color w:val="auto"/>
                      <w:spacing w:val="0"/>
                      <w:sz w:val="21"/>
                      <w:szCs w:val="21"/>
                      <w:highlight w:val="none"/>
                      <w:lang w:val="en-US" w:eastAsia="zh-CN"/>
                    </w:rPr>
                    <w:t>料场出入口</w:t>
                  </w:r>
                  <w:r>
                    <w:rPr>
                      <w:rFonts w:hint="eastAsia" w:ascii="Times New Roman" w:hAnsi="Times New Roman" w:eastAsia="宋体" w:cs="Times New Roman"/>
                      <w:color w:val="auto"/>
                      <w:spacing w:val="0"/>
                      <w:sz w:val="21"/>
                      <w:szCs w:val="21"/>
                      <w:highlight w:val="none"/>
                      <w:lang w:val="zh-CN" w:eastAsia="zh-CN"/>
                    </w:rPr>
                    <w:t>等易产生颗粒物排放环节</w:t>
                  </w:r>
                  <w:r>
                    <w:rPr>
                      <w:rFonts w:hint="default" w:ascii="Times New Roman" w:hAnsi="Times New Roman" w:eastAsia="宋体" w:cs="Times New Roman"/>
                      <w:color w:val="auto"/>
                      <w:spacing w:val="0"/>
                      <w:kern w:val="2"/>
                      <w:sz w:val="21"/>
                      <w:szCs w:val="21"/>
                      <w:highlight w:val="none"/>
                      <w:lang w:val="en-US" w:eastAsia="zh-CN" w:bidi="ar-SA"/>
                    </w:rPr>
                    <w:t>安装高清视频监控设施</w:t>
                  </w:r>
                  <w:r>
                    <w:rPr>
                      <w:rFonts w:hint="eastAsia" w:ascii="Times New Roman" w:hAnsi="Times New Roman" w:eastAsia="宋体" w:cs="Times New Roman"/>
                      <w:color w:val="auto"/>
                      <w:spacing w:val="0"/>
                      <w:kern w:val="2"/>
                      <w:sz w:val="21"/>
                      <w:szCs w:val="21"/>
                      <w:highlight w:val="none"/>
                      <w:lang w:val="en-US" w:eastAsia="zh-CN" w:bidi="ar-SA"/>
                    </w:rPr>
                    <w:t>，数据保存六个月以上</w:t>
                  </w:r>
                  <w:r>
                    <w:rPr>
                      <w:rFonts w:hint="eastAsia" w:cs="Times New Roman"/>
                      <w:color w:val="auto"/>
                      <w:spacing w:val="0"/>
                      <w:kern w:val="2"/>
                      <w:sz w:val="21"/>
                      <w:szCs w:val="21"/>
                      <w:highlight w:val="none"/>
                      <w:lang w:val="en-US" w:eastAsia="zh-CN" w:bidi="ar-SA"/>
                    </w:rPr>
                    <w:t>。</w:t>
                  </w:r>
                </w:p>
              </w:tc>
              <w:tc>
                <w:tcPr>
                  <w:tcW w:w="494" w:type="pct"/>
                  <w:tcBorders>
                    <w:tl2br w:val="nil"/>
                    <w:tr2bl w:val="nil"/>
                  </w:tcBorders>
                  <w:noWrap w:val="0"/>
                  <w:vAlign w:val="center"/>
                </w:tcPr>
                <w:p w14:paraId="1B07A2A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163391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313" w:hRule="atLeast"/>
                <w:jc w:val="center"/>
              </w:trPr>
              <w:tc>
                <w:tcPr>
                  <w:tcW w:w="287" w:type="pct"/>
                  <w:vMerge w:val="restart"/>
                  <w:tcBorders>
                    <w:tl2br w:val="nil"/>
                    <w:tr2bl w:val="nil"/>
                  </w:tcBorders>
                  <w:noWrap w:val="0"/>
                  <w:vAlign w:val="center"/>
                </w:tcPr>
                <w:p w14:paraId="0B660EF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6</w:t>
                  </w:r>
                </w:p>
              </w:tc>
              <w:tc>
                <w:tcPr>
                  <w:tcW w:w="423" w:type="pct"/>
                  <w:vMerge w:val="restart"/>
                  <w:tcBorders>
                    <w:tl2br w:val="nil"/>
                    <w:tr2bl w:val="nil"/>
                  </w:tcBorders>
                  <w:noWrap w:val="0"/>
                  <w:vAlign w:val="center"/>
                </w:tcPr>
                <w:p w14:paraId="7205CD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环境管理水平</w:t>
                  </w:r>
                </w:p>
              </w:tc>
              <w:tc>
                <w:tcPr>
                  <w:tcW w:w="2195" w:type="pct"/>
                  <w:tcBorders>
                    <w:tl2br w:val="nil"/>
                    <w:tr2bl w:val="nil"/>
                  </w:tcBorders>
                  <w:noWrap w:val="0"/>
                  <w:vAlign w:val="center"/>
                </w:tcPr>
                <w:p w14:paraId="5544538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both"/>
                    <w:textAlignment w:val="auto"/>
                    <w:rPr>
                      <w:rFonts w:hint="eastAsia"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环保档案：</w:t>
                  </w:r>
                </w:p>
                <w:p w14:paraId="2DC4336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环评批复文件和竣工环保验收文件或环境现状评估备案证明；</w:t>
                  </w:r>
                  <w:r>
                    <w:rPr>
                      <w:rFonts w:hint="default" w:ascii="Times New Roman" w:hAnsi="Times New Roman" w:cs="Times New Roman"/>
                      <w:color w:val="auto"/>
                      <w:spacing w:val="0"/>
                      <w:sz w:val="21"/>
                      <w:szCs w:val="21"/>
                      <w:highlight w:val="none"/>
                      <w:lang w:val="en-US" w:eastAsia="zh-CN"/>
                    </w:rPr>
                    <w:t>2.</w:t>
                  </w:r>
                  <w:r>
                    <w:rPr>
                      <w:rFonts w:hint="eastAsia" w:ascii="Times New Roman" w:hAnsi="Times New Roman" w:cs="Times New Roman"/>
                      <w:color w:val="auto"/>
                      <w:spacing w:val="0"/>
                      <w:sz w:val="21"/>
                      <w:szCs w:val="21"/>
                      <w:highlight w:val="none"/>
                      <w:lang w:val="en-US" w:eastAsia="zh-CN"/>
                    </w:rPr>
                    <w:t>国家版排污许可证及季度、年度执行报告或固定污染源排污登记表及回执；</w:t>
                  </w:r>
                  <w:r>
                    <w:rPr>
                      <w:rFonts w:hint="default" w:ascii="Times New Roman" w:hAnsi="Times New Roman" w:cs="Times New Roman"/>
                      <w:color w:val="auto"/>
                      <w:spacing w:val="0"/>
                      <w:sz w:val="21"/>
                      <w:szCs w:val="21"/>
                      <w:highlight w:val="none"/>
                      <w:lang w:val="en-US" w:eastAsia="zh-CN"/>
                    </w:rPr>
                    <w:t>3.</w:t>
                  </w:r>
                  <w:r>
                    <w:rPr>
                      <w:rFonts w:hint="eastAsia" w:ascii="Times New Roman" w:hAnsi="Times New Roman" w:cs="Times New Roman"/>
                      <w:color w:val="auto"/>
                      <w:spacing w:val="0"/>
                      <w:sz w:val="21"/>
                      <w:szCs w:val="21"/>
                      <w:highlight w:val="none"/>
                      <w:lang w:val="en-US" w:eastAsia="zh-CN"/>
                    </w:rPr>
                    <w:t xml:space="preserve">环境管理制度（包括但不限于岗位责任制度、定期巡查维护制度、环保奖惩考核制度、环境信息公开等）； </w:t>
                  </w:r>
                  <w:r>
                    <w:rPr>
                      <w:rFonts w:hint="default" w:ascii="Times New Roman" w:hAnsi="Times New Roman" w:cs="Times New Roman"/>
                      <w:color w:val="auto"/>
                      <w:spacing w:val="0"/>
                      <w:sz w:val="21"/>
                      <w:szCs w:val="21"/>
                      <w:highlight w:val="none"/>
                      <w:lang w:val="en-US" w:eastAsia="zh-CN"/>
                    </w:rPr>
                    <w:t>4.</w:t>
                  </w:r>
                  <w:r>
                    <w:rPr>
                      <w:rFonts w:hint="eastAsia" w:ascii="Times New Roman" w:hAnsi="Times New Roman" w:cs="Times New Roman"/>
                      <w:color w:val="auto"/>
                      <w:spacing w:val="0"/>
                      <w:sz w:val="21"/>
                      <w:szCs w:val="21"/>
                      <w:highlight w:val="none"/>
                      <w:lang w:val="en-US" w:eastAsia="zh-CN"/>
                    </w:rPr>
                    <w:t>废气治理设施运行管理规程；</w:t>
                  </w:r>
                  <w:r>
                    <w:rPr>
                      <w:rFonts w:hint="default" w:ascii="Times New Roman" w:hAnsi="Times New Roman" w:cs="Times New Roman"/>
                      <w:color w:val="auto"/>
                      <w:spacing w:val="0"/>
                      <w:sz w:val="21"/>
                      <w:szCs w:val="21"/>
                      <w:highlight w:val="none"/>
                      <w:lang w:val="en-US" w:eastAsia="zh-CN"/>
                    </w:rPr>
                    <w:t>5.</w:t>
                  </w:r>
                  <w:r>
                    <w:rPr>
                      <w:rFonts w:hint="eastAsia" w:ascii="Times New Roman" w:hAnsi="Times New Roman" w:cs="Times New Roman"/>
                      <w:color w:val="auto"/>
                      <w:spacing w:val="0"/>
                      <w:sz w:val="21"/>
                      <w:szCs w:val="21"/>
                      <w:highlight w:val="none"/>
                      <w:lang w:val="en-US" w:eastAsia="zh-CN"/>
                    </w:rPr>
                    <w:t>一年内废气监测报告（符合排污许可证监测项目及频次要求）。</w:t>
                  </w:r>
                </w:p>
              </w:tc>
              <w:tc>
                <w:tcPr>
                  <w:tcW w:w="1599" w:type="pct"/>
                  <w:tcBorders>
                    <w:tl2br w:val="nil"/>
                    <w:tr2bl w:val="nil"/>
                  </w:tcBorders>
                  <w:noWrap w:val="0"/>
                  <w:vAlign w:val="center"/>
                </w:tcPr>
                <w:p w14:paraId="4B1F465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kern w:val="2"/>
                      <w:sz w:val="21"/>
                      <w:szCs w:val="21"/>
                      <w:highlight w:val="none"/>
                      <w:lang w:val="en-US" w:eastAsia="zh-CN" w:bidi="ar-SA"/>
                    </w:rPr>
                    <w:t>环评建议，项目建成后，要求企业环保档案齐全、台账记录齐全、管理制度健全</w:t>
                  </w:r>
                  <w:r>
                    <w:rPr>
                      <w:rFonts w:hint="eastAsia" w:cs="Times New Roman"/>
                      <w:color w:val="auto"/>
                      <w:spacing w:val="0"/>
                      <w:kern w:val="2"/>
                      <w:sz w:val="21"/>
                      <w:szCs w:val="21"/>
                      <w:highlight w:val="none"/>
                      <w:lang w:val="en-US" w:eastAsia="zh-CN" w:bidi="ar-SA"/>
                    </w:rPr>
                    <w:t>，并</w:t>
                  </w:r>
                  <w:r>
                    <w:rPr>
                      <w:rFonts w:hint="eastAsia" w:ascii="Times New Roman" w:hAnsi="Times New Roman" w:eastAsia="宋体" w:cs="Times New Roman"/>
                      <w:color w:val="auto"/>
                      <w:spacing w:val="0"/>
                      <w:kern w:val="2"/>
                      <w:sz w:val="21"/>
                      <w:szCs w:val="21"/>
                      <w:highlight w:val="none"/>
                      <w:lang w:val="en-US" w:eastAsia="zh-CN" w:bidi="ar-SA"/>
                    </w:rPr>
                    <w:t>按要求配置环保人员</w:t>
                  </w:r>
                </w:p>
              </w:tc>
              <w:tc>
                <w:tcPr>
                  <w:tcW w:w="494" w:type="pct"/>
                  <w:tcBorders>
                    <w:tl2br w:val="nil"/>
                    <w:tr2bl w:val="nil"/>
                  </w:tcBorders>
                  <w:noWrap w:val="0"/>
                  <w:vAlign w:val="center"/>
                </w:tcPr>
                <w:p w14:paraId="66AA52C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7695C0E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29" w:hRule="atLeast"/>
                <w:jc w:val="center"/>
              </w:trPr>
              <w:tc>
                <w:tcPr>
                  <w:tcW w:w="287" w:type="pct"/>
                  <w:vMerge w:val="continue"/>
                  <w:tcBorders>
                    <w:tl2br w:val="nil"/>
                    <w:tr2bl w:val="nil"/>
                  </w:tcBorders>
                  <w:vAlign w:val="center"/>
                </w:tcPr>
                <w:p w14:paraId="7F0C5F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423" w:type="pct"/>
                  <w:vMerge w:val="continue"/>
                  <w:tcBorders>
                    <w:tl2br w:val="nil"/>
                    <w:tr2bl w:val="nil"/>
                  </w:tcBorders>
                  <w:vAlign w:val="center"/>
                </w:tcPr>
                <w:p w14:paraId="79743C6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p>
              </w:tc>
              <w:tc>
                <w:tcPr>
                  <w:tcW w:w="2195" w:type="pct"/>
                  <w:tcBorders>
                    <w:tl2br w:val="nil"/>
                    <w:tr2bl w:val="nil"/>
                  </w:tcBorders>
                  <w:vAlign w:val="center"/>
                </w:tcPr>
                <w:p w14:paraId="495E5C4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台账记录：</w:t>
                  </w:r>
                </w:p>
                <w:p w14:paraId="162893E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lang w:val="en-US" w:eastAsia="zh-CN"/>
                    </w:rPr>
                    <w:t>1.</w:t>
                  </w:r>
                  <w:r>
                    <w:rPr>
                      <w:rFonts w:hint="eastAsia" w:ascii="Times New Roman" w:hAnsi="Times New Roman" w:cs="Times New Roman"/>
                      <w:color w:val="auto"/>
                      <w:spacing w:val="0"/>
                      <w:sz w:val="21"/>
                      <w:szCs w:val="21"/>
                      <w:highlight w:val="none"/>
                      <w:lang w:val="en-US" w:eastAsia="zh-CN"/>
                    </w:rPr>
                    <w:t>生产设施运行管理信息（生产时间、运行负荷、产品产量等）；</w:t>
                  </w:r>
                  <w:r>
                    <w:rPr>
                      <w:rFonts w:hint="default" w:ascii="Times New Roman" w:hAnsi="Times New Roman" w:cs="Times New Roman"/>
                      <w:color w:val="auto"/>
                      <w:spacing w:val="0"/>
                      <w:sz w:val="21"/>
                      <w:szCs w:val="21"/>
                      <w:highlight w:val="none"/>
                      <w:lang w:val="en-US" w:eastAsia="zh-CN"/>
                    </w:rPr>
                    <w:t>2.</w:t>
                  </w:r>
                  <w:r>
                    <w:rPr>
                      <w:rFonts w:hint="eastAsia" w:ascii="Times New Roman" w:hAnsi="Times New Roman" w:cs="Times New Roman"/>
                      <w:color w:val="auto"/>
                      <w:spacing w:val="0"/>
                      <w:sz w:val="21"/>
                      <w:szCs w:val="21"/>
                      <w:highlight w:val="none"/>
                      <w:lang w:val="en-US" w:eastAsia="zh-CN"/>
                    </w:rPr>
                    <w:t>废气污染治理设施运行管理信息；</w:t>
                  </w:r>
                  <w:r>
                    <w:rPr>
                      <w:rFonts w:hint="default" w:ascii="Times New Roman" w:hAnsi="Times New Roman" w:cs="Times New Roman"/>
                      <w:color w:val="auto"/>
                      <w:spacing w:val="0"/>
                      <w:sz w:val="21"/>
                      <w:szCs w:val="21"/>
                      <w:highlight w:val="none"/>
                      <w:lang w:val="en-US" w:eastAsia="zh-CN"/>
                    </w:rPr>
                    <w:t>3.</w:t>
                  </w:r>
                  <w:r>
                    <w:rPr>
                      <w:rFonts w:hint="eastAsia" w:ascii="Times New Roman" w:hAnsi="Times New Roman" w:cs="Times New Roman"/>
                      <w:color w:val="auto"/>
                      <w:spacing w:val="0"/>
                      <w:sz w:val="21"/>
                      <w:szCs w:val="21"/>
                      <w:highlight w:val="none"/>
                      <w:lang w:val="en-US" w:eastAsia="zh-CN"/>
                    </w:rPr>
                    <w:t xml:space="preserve">监测记录信息（主要污染排放口废气排放记录或第三方检测报告等）； </w:t>
                  </w:r>
                  <w:r>
                    <w:rPr>
                      <w:rFonts w:hint="default" w:ascii="Times New Roman" w:hAnsi="Times New Roman" w:cs="Times New Roman"/>
                      <w:color w:val="auto"/>
                      <w:spacing w:val="0"/>
                      <w:sz w:val="21"/>
                      <w:szCs w:val="21"/>
                      <w:highlight w:val="none"/>
                      <w:lang w:val="en-US" w:eastAsia="zh-CN"/>
                    </w:rPr>
                    <w:t>4.</w:t>
                  </w:r>
                  <w:r>
                    <w:rPr>
                      <w:rFonts w:hint="eastAsia" w:ascii="Times New Roman" w:hAnsi="Times New Roman" w:cs="Times New Roman"/>
                      <w:color w:val="auto"/>
                      <w:spacing w:val="0"/>
                      <w:sz w:val="21"/>
                      <w:szCs w:val="21"/>
                      <w:highlight w:val="none"/>
                      <w:lang w:val="en-US" w:eastAsia="zh-CN"/>
                    </w:rPr>
                    <w:t>主要原辅材料消耗记录；以上记录至少需保存一年。</w:t>
                  </w:r>
                </w:p>
              </w:tc>
              <w:tc>
                <w:tcPr>
                  <w:tcW w:w="1599" w:type="pct"/>
                  <w:vMerge w:val="restart"/>
                  <w:tcBorders>
                    <w:tl2br w:val="nil"/>
                    <w:tr2bl w:val="nil"/>
                  </w:tcBorders>
                  <w:vAlign w:val="center"/>
                </w:tcPr>
                <w:p w14:paraId="477F520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kern w:val="2"/>
                      <w:sz w:val="21"/>
                      <w:szCs w:val="21"/>
                      <w:highlight w:val="none"/>
                      <w:lang w:val="en-US" w:eastAsia="zh-CN" w:bidi="ar-SA"/>
                    </w:rPr>
                    <w:t>环评建议，项目建成后，要求企业环保档案齐全、台账记录齐全、管理制度健全</w:t>
                  </w:r>
                  <w:r>
                    <w:rPr>
                      <w:rFonts w:hint="eastAsia" w:cs="Times New Roman"/>
                      <w:color w:val="auto"/>
                      <w:spacing w:val="0"/>
                      <w:kern w:val="2"/>
                      <w:sz w:val="21"/>
                      <w:szCs w:val="21"/>
                      <w:highlight w:val="none"/>
                      <w:lang w:val="en-US" w:eastAsia="zh-CN" w:bidi="ar-SA"/>
                    </w:rPr>
                    <w:t>，并</w:t>
                  </w:r>
                  <w:r>
                    <w:rPr>
                      <w:rFonts w:hint="eastAsia" w:ascii="Times New Roman" w:hAnsi="Times New Roman" w:eastAsia="宋体" w:cs="Times New Roman"/>
                      <w:color w:val="auto"/>
                      <w:spacing w:val="0"/>
                      <w:kern w:val="2"/>
                      <w:sz w:val="21"/>
                      <w:szCs w:val="21"/>
                      <w:highlight w:val="none"/>
                      <w:lang w:val="en-US" w:eastAsia="zh-CN" w:bidi="ar-SA"/>
                    </w:rPr>
                    <w:t>按要求配置环保人员</w:t>
                  </w:r>
                </w:p>
              </w:tc>
              <w:tc>
                <w:tcPr>
                  <w:tcW w:w="494" w:type="pct"/>
                  <w:tcBorders>
                    <w:tl2br w:val="nil"/>
                    <w:tr2bl w:val="nil"/>
                  </w:tcBorders>
                  <w:vAlign w:val="center"/>
                </w:tcPr>
                <w:p w14:paraId="13034A8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7EFE0C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77" w:hRule="atLeast"/>
                <w:jc w:val="center"/>
              </w:trPr>
              <w:tc>
                <w:tcPr>
                  <w:tcW w:w="287" w:type="pct"/>
                  <w:vMerge w:val="continue"/>
                  <w:tcBorders>
                    <w:tl2br w:val="nil"/>
                    <w:tr2bl w:val="nil"/>
                  </w:tcBorders>
                  <w:vAlign w:val="center"/>
                </w:tcPr>
                <w:p w14:paraId="3A6232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423" w:type="pct"/>
                  <w:vMerge w:val="continue"/>
                  <w:tcBorders>
                    <w:tl2br w:val="nil"/>
                    <w:tr2bl w:val="nil"/>
                  </w:tcBorders>
                  <w:vAlign w:val="center"/>
                </w:tcPr>
                <w:p w14:paraId="27D6C8B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2195" w:type="pct"/>
                  <w:tcBorders>
                    <w:tl2br w:val="nil"/>
                    <w:tr2bl w:val="nil"/>
                  </w:tcBorders>
                  <w:vAlign w:val="center"/>
                </w:tcPr>
                <w:p w14:paraId="2AB326C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cs="Times New Roman"/>
                      <w:color w:val="auto"/>
                      <w:spacing w:val="0"/>
                      <w:sz w:val="21"/>
                      <w:szCs w:val="21"/>
                      <w:highlight w:val="none"/>
                      <w:lang w:val="en-US" w:eastAsia="zh-CN"/>
                    </w:rPr>
                    <w:t>人员配置：设置环保部门，配备专职环保人员，并具备相应的环境管理能力。</w:t>
                  </w:r>
                </w:p>
              </w:tc>
              <w:tc>
                <w:tcPr>
                  <w:tcW w:w="1599" w:type="pct"/>
                  <w:vMerge w:val="continue"/>
                  <w:tcBorders>
                    <w:tl2br w:val="nil"/>
                    <w:tr2bl w:val="nil"/>
                  </w:tcBorders>
                  <w:vAlign w:val="center"/>
                </w:tcPr>
                <w:p w14:paraId="08945D8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p>
              </w:tc>
              <w:tc>
                <w:tcPr>
                  <w:tcW w:w="494" w:type="pct"/>
                  <w:tcBorders>
                    <w:tl2br w:val="nil"/>
                    <w:tr2bl w:val="nil"/>
                  </w:tcBorders>
                  <w:vAlign w:val="center"/>
                </w:tcPr>
                <w:p w14:paraId="5921D92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1E79089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113" w:hRule="atLeast"/>
                <w:jc w:val="center"/>
              </w:trPr>
              <w:tc>
                <w:tcPr>
                  <w:tcW w:w="287" w:type="pct"/>
                  <w:tcBorders>
                    <w:tl2br w:val="nil"/>
                    <w:tr2bl w:val="nil"/>
                  </w:tcBorders>
                  <w:vAlign w:val="center"/>
                </w:tcPr>
                <w:p w14:paraId="22E9573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7</w:t>
                  </w:r>
                </w:p>
              </w:tc>
              <w:tc>
                <w:tcPr>
                  <w:tcW w:w="423" w:type="pct"/>
                  <w:tcBorders>
                    <w:tl2br w:val="nil"/>
                    <w:tr2bl w:val="nil"/>
                  </w:tcBorders>
                  <w:vAlign w:val="center"/>
                </w:tcPr>
                <w:p w14:paraId="46886A0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cs="Times New Roman"/>
                      <w:color w:val="auto"/>
                      <w:spacing w:val="0"/>
                      <w:sz w:val="21"/>
                      <w:szCs w:val="21"/>
                      <w:highlight w:val="none"/>
                      <w:lang w:val="en-US" w:eastAsia="zh-CN"/>
                    </w:rPr>
                    <w:t>运输方式</w:t>
                  </w:r>
                </w:p>
              </w:tc>
              <w:tc>
                <w:tcPr>
                  <w:tcW w:w="2195" w:type="pct"/>
                  <w:tcBorders>
                    <w:tl2br w:val="nil"/>
                    <w:tr2bl w:val="nil"/>
                  </w:tcBorders>
                  <w:vAlign w:val="center"/>
                </w:tcPr>
                <w:p w14:paraId="2ED128C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 xml:space="preserve">1. </w:t>
                  </w:r>
                  <w:r>
                    <w:rPr>
                      <w:rFonts w:hint="eastAsia" w:ascii="Times New Roman" w:hAnsi="Times New Roman" w:cs="Times New Roman"/>
                      <w:color w:val="auto"/>
                      <w:spacing w:val="0"/>
                      <w:sz w:val="21"/>
                      <w:szCs w:val="21"/>
                      <w:highlight w:val="none"/>
                      <w:lang w:val="en-US" w:eastAsia="zh-CN"/>
                    </w:rPr>
                    <w:t>物料公路运输全部使用达到国五及以上排放标准重型载货车辆（含燃气）或新能源车辆；</w:t>
                  </w:r>
                </w:p>
                <w:p w14:paraId="02E1EC4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2.</w:t>
                  </w:r>
                  <w:r>
                    <w:rPr>
                      <w:rFonts w:hint="eastAsia" w:ascii="Times New Roman" w:hAnsi="Times New Roman" w:cs="Times New Roman"/>
                      <w:color w:val="auto"/>
                      <w:spacing w:val="0"/>
                      <w:sz w:val="21"/>
                      <w:szCs w:val="21"/>
                      <w:highlight w:val="none"/>
                      <w:lang w:val="en-US" w:eastAsia="zh-CN"/>
                    </w:rPr>
                    <w:t>厂内运输车辆全部达到国五及以上排放标准（含燃气</w:t>
                  </w:r>
                  <w:r>
                    <w:rPr>
                      <w:rFonts w:hint="eastAsia"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或使用新能源车辆；</w:t>
                  </w:r>
                </w:p>
                <w:p w14:paraId="48403EB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lang w:val="en-US" w:eastAsia="zh-CN"/>
                    </w:rPr>
                    <w:t>3.</w:t>
                  </w:r>
                  <w:r>
                    <w:rPr>
                      <w:rFonts w:hint="eastAsia" w:ascii="Times New Roman" w:hAnsi="Times New Roman" w:cs="Times New Roman"/>
                      <w:color w:val="auto"/>
                      <w:spacing w:val="0"/>
                      <w:sz w:val="21"/>
                      <w:szCs w:val="21"/>
                      <w:highlight w:val="none"/>
                      <w:lang w:val="en-US" w:eastAsia="zh-CN"/>
                    </w:rPr>
                    <w:t>厂内非道路移动机械达到国三及以上排放标准，其中</w:t>
                  </w:r>
                  <w:r>
                    <w:rPr>
                      <w:rFonts w:hint="default" w:ascii="Times New Roman" w:hAnsi="Times New Roman" w:cs="Times New Roman"/>
                      <w:color w:val="auto"/>
                      <w:spacing w:val="0"/>
                      <w:sz w:val="21"/>
                      <w:szCs w:val="21"/>
                      <w:highlight w:val="none"/>
                      <w:lang w:val="en-US" w:eastAsia="zh-CN"/>
                    </w:rPr>
                    <w:t>3</w:t>
                  </w:r>
                  <w:r>
                    <w:rPr>
                      <w:rFonts w:hint="eastAsia" w:ascii="Times New Roman" w:hAnsi="Times New Roman" w:cs="Times New Roman"/>
                      <w:color w:val="auto"/>
                      <w:spacing w:val="0"/>
                      <w:sz w:val="21"/>
                      <w:szCs w:val="21"/>
                      <w:highlight w:val="none"/>
                      <w:lang w:val="en-US" w:eastAsia="zh-CN"/>
                    </w:rPr>
                    <w:t>吨及以下叉车全部采用纯电能源。鼓励使用纯电动等新能源机械。</w:t>
                  </w:r>
                </w:p>
              </w:tc>
              <w:tc>
                <w:tcPr>
                  <w:tcW w:w="1599" w:type="pct"/>
                  <w:tcBorders>
                    <w:tl2br w:val="nil"/>
                    <w:tr2bl w:val="nil"/>
                  </w:tcBorders>
                  <w:vAlign w:val="center"/>
                </w:tcPr>
                <w:p w14:paraId="424D1E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kern w:val="2"/>
                      <w:sz w:val="21"/>
                      <w:szCs w:val="21"/>
                      <w:highlight w:val="none"/>
                      <w:lang w:val="en-US" w:eastAsia="zh-CN" w:bidi="ar-SA"/>
                    </w:rPr>
                    <w:t>项目物料公路运输、厂内运输车辆、厂内非道路移动机械采用符合要求的车辆。</w:t>
                  </w:r>
                </w:p>
              </w:tc>
              <w:tc>
                <w:tcPr>
                  <w:tcW w:w="494" w:type="pct"/>
                  <w:tcBorders>
                    <w:tl2br w:val="nil"/>
                    <w:tr2bl w:val="nil"/>
                  </w:tcBorders>
                  <w:vAlign w:val="center"/>
                </w:tcPr>
                <w:p w14:paraId="26CC475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r w14:paraId="05453F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00" w:hRule="atLeast"/>
                <w:jc w:val="center"/>
              </w:trPr>
              <w:tc>
                <w:tcPr>
                  <w:tcW w:w="287" w:type="pct"/>
                  <w:tcBorders>
                    <w:tl2br w:val="nil"/>
                    <w:tr2bl w:val="nil"/>
                  </w:tcBorders>
                  <w:vAlign w:val="center"/>
                </w:tcPr>
                <w:p w14:paraId="364484C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8</w:t>
                  </w:r>
                </w:p>
              </w:tc>
              <w:tc>
                <w:tcPr>
                  <w:tcW w:w="423" w:type="pct"/>
                  <w:tcBorders>
                    <w:tl2br w:val="nil"/>
                    <w:tr2bl w:val="nil"/>
                  </w:tcBorders>
                  <w:vAlign w:val="center"/>
                </w:tcPr>
                <w:p w14:paraId="629A349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rPr>
                    <w:t>运输监管</w:t>
                  </w:r>
                </w:p>
              </w:tc>
              <w:tc>
                <w:tcPr>
                  <w:tcW w:w="2195" w:type="pct"/>
                  <w:tcBorders>
                    <w:tl2br w:val="nil"/>
                    <w:tr2bl w:val="nil"/>
                  </w:tcBorders>
                  <w:vAlign w:val="center"/>
                </w:tcPr>
                <w:p w14:paraId="1B2D009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rPr>
                    <w:t>参照《重污染天气重点行业移动源应急管理技术指南》建立门禁系统和电子台账</w:t>
                  </w:r>
                </w:p>
              </w:tc>
              <w:tc>
                <w:tcPr>
                  <w:tcW w:w="1599" w:type="pct"/>
                  <w:tcBorders>
                    <w:tl2br w:val="nil"/>
                    <w:tr2bl w:val="nil"/>
                  </w:tcBorders>
                  <w:vAlign w:val="center"/>
                </w:tcPr>
                <w:p w14:paraId="734ED99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highlight w:val="none"/>
                      <w:lang w:val="en-US" w:eastAsia="zh-CN"/>
                    </w:rPr>
                    <w:t>项目按《重污染天气重点行业移动源应急管理技术指南》建立门禁系统和电子台账</w:t>
                  </w:r>
                </w:p>
              </w:tc>
              <w:tc>
                <w:tcPr>
                  <w:tcW w:w="494" w:type="pct"/>
                  <w:tcBorders>
                    <w:tl2br w:val="nil"/>
                    <w:tr2bl w:val="nil"/>
                  </w:tcBorders>
                  <w:vAlign w:val="center"/>
                </w:tcPr>
                <w:p w14:paraId="600C2E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bl>
          <w:p w14:paraId="0A59777E">
            <w:pPr>
              <w:pStyle w:val="90"/>
              <w:keepNext w:val="0"/>
              <w:keepLines w:val="0"/>
              <w:pageBreakBefore w:val="0"/>
              <w:widowControl w:val="0"/>
              <w:numPr>
                <w:ilvl w:val="0"/>
                <w:numId w:val="0"/>
              </w:numPr>
              <w:suppressLineNumbers w:val="0"/>
              <w:shd w:val="clear"/>
              <w:kinsoku/>
              <w:wordWrap/>
              <w:overflowPunct/>
              <w:topLinePunct w:val="0"/>
              <w:bidi w:val="0"/>
              <w:spacing w:before="0" w:beforeAutospacing="0" w:after="0" w:afterAutospacing="0" w:line="480" w:lineRule="exact"/>
              <w:ind w:left="0" w:right="0" w:rightChars="0" w:firstLine="480" w:firstLineChars="200"/>
              <w:jc w:val="left"/>
              <w:textAlignment w:val="auto"/>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由上表可知，本项目建设完成后，符合《河北省十一个行业重污染天气应急减排措施制定技术指南（试行）》中矿石采选与加工行业中“非金属矿采选与加工行业绩效引领性指标”。</w:t>
            </w:r>
          </w:p>
          <w:p w14:paraId="089B1D03">
            <w:pPr>
              <w:pStyle w:val="90"/>
              <w:keepNext w:val="0"/>
              <w:keepLines w:val="0"/>
              <w:pageBreakBefore w:val="0"/>
              <w:widowControl w:val="0"/>
              <w:numPr>
                <w:ilvl w:val="0"/>
                <w:numId w:val="0"/>
              </w:numPr>
              <w:suppressLineNumbers w:val="0"/>
              <w:shd w:val="clear"/>
              <w:kinsoku/>
              <w:wordWrap/>
              <w:overflowPunct/>
              <w:topLinePunct w:val="0"/>
              <w:bidi w:val="0"/>
              <w:spacing w:before="0" w:beforeAutospacing="0" w:after="0" w:afterAutospacing="0" w:line="480" w:lineRule="exact"/>
              <w:ind w:left="0" w:right="0" w:rightChars="0" w:firstLine="482" w:firstLineChars="200"/>
              <w:jc w:val="left"/>
              <w:textAlignment w:val="auto"/>
              <w:rPr>
                <w:rFonts w:hint="eastAsia" w:ascii="Times New Roman" w:hAnsi="Times New Roman" w:eastAsia="宋体" w:cs="Times New Roman"/>
                <w:b/>
                <w:bCs w:val="0"/>
                <w:color w:val="auto"/>
                <w:sz w:val="24"/>
                <w:szCs w:val="24"/>
                <w:highlight w:val="none"/>
                <w:lang w:val="en-US" w:eastAsia="zh-CN"/>
              </w:rPr>
            </w:pPr>
            <w:r>
              <w:rPr>
                <w:rFonts w:hint="eastAsia" w:cs="Times New Roman"/>
                <w:b/>
                <w:bCs w:val="0"/>
                <w:color w:val="auto"/>
                <w:sz w:val="24"/>
                <w:szCs w:val="24"/>
                <w:highlight w:val="none"/>
                <w:lang w:val="en-US" w:eastAsia="zh-CN"/>
              </w:rPr>
              <w:t>7</w:t>
            </w:r>
            <w:r>
              <w:rPr>
                <w:rFonts w:hint="eastAsia" w:ascii="Times New Roman" w:hAnsi="Times New Roman" w:eastAsia="宋体" w:cs="Times New Roman"/>
                <w:b/>
                <w:bCs w:val="0"/>
                <w:color w:val="auto"/>
                <w:sz w:val="24"/>
                <w:szCs w:val="24"/>
                <w:highlight w:val="none"/>
                <w:lang w:val="en-US" w:eastAsia="zh-CN"/>
              </w:rPr>
              <w:t>、与防沙治沙相关要求符合性分析</w:t>
            </w:r>
          </w:p>
          <w:p w14:paraId="41DDAD4A">
            <w:pPr>
              <w:pStyle w:val="90"/>
              <w:keepNext w:val="0"/>
              <w:keepLines w:val="0"/>
              <w:pageBreakBefore w:val="0"/>
              <w:widowControl w:val="0"/>
              <w:numPr>
                <w:ilvl w:val="0"/>
                <w:numId w:val="0"/>
              </w:numPr>
              <w:suppressLineNumbers w:val="0"/>
              <w:shd w:val="clear"/>
              <w:kinsoku/>
              <w:wordWrap/>
              <w:overflowPunct/>
              <w:topLinePunct w:val="0"/>
              <w:bidi w:val="0"/>
              <w:spacing w:before="0" w:beforeAutospacing="0" w:after="0" w:afterAutospacing="0" w:line="480" w:lineRule="exact"/>
              <w:ind w:left="0" w:right="0" w:rightChars="0" w:firstLine="480" w:firstLineChars="200"/>
              <w:jc w:val="left"/>
              <w:textAlignment w:val="auto"/>
              <w:rPr>
                <w:rFonts w:hint="eastAsia" w:ascii="Times New Roman" w:hAnsi="Times New Roman" w:eastAsia="宋体" w:cs="Times New Roman"/>
                <w:b w:val="0"/>
                <w:bCs/>
                <w:color w:val="auto"/>
                <w:sz w:val="24"/>
                <w:szCs w:val="24"/>
                <w:highlight w:val="none"/>
                <w:lang w:val="zh-CN" w:eastAsia="zh-CN"/>
              </w:rPr>
            </w:pPr>
            <w:r>
              <w:rPr>
                <w:rFonts w:hint="eastAsia" w:ascii="Times New Roman" w:hAnsi="Times New Roman" w:eastAsia="宋体" w:cs="Times New Roman"/>
                <w:b w:val="0"/>
                <w:bCs/>
                <w:color w:val="auto"/>
                <w:sz w:val="24"/>
                <w:szCs w:val="24"/>
                <w:highlight w:val="none"/>
                <w:lang w:val="en-US" w:eastAsia="zh-CN"/>
              </w:rPr>
              <w:t>根据《河北省生态环境厅办公室关于进一步做好沙区建设项目环境影响评价工作的通知》（冀环办字函[2023]326号）要求：为贯彻落实《中华人民共和国防沙治沙法》，按照“在沙化土地范围内从事开发建设活动的，必须事先就该项目可能对当地及相关地区生态产生的影响进行环境影响评价，依法提交影响报告：环境影响报告应当包括有关防沙治沙的内容”，</w:t>
            </w:r>
            <w:r>
              <w:rPr>
                <w:rFonts w:hint="eastAsia" w:ascii="Times New Roman" w:hAnsi="Times New Roman" w:eastAsia="宋体" w:cs="Times New Roman"/>
                <w:b w:val="0"/>
                <w:bCs/>
                <w:color w:val="auto"/>
                <w:sz w:val="24"/>
                <w:szCs w:val="24"/>
                <w:highlight w:val="none"/>
                <w:lang w:val="zh-CN" w:eastAsia="zh-CN"/>
              </w:rPr>
              <w:t>本</w:t>
            </w:r>
            <w:r>
              <w:rPr>
                <w:rFonts w:hint="eastAsia" w:ascii="Times New Roman" w:hAnsi="Times New Roman" w:eastAsia="宋体" w:cs="Times New Roman"/>
                <w:b w:val="0"/>
                <w:bCs/>
                <w:color w:val="auto"/>
                <w:sz w:val="24"/>
                <w:szCs w:val="24"/>
                <w:highlight w:val="none"/>
                <w:lang w:val="en-US" w:eastAsia="zh-CN"/>
              </w:rPr>
              <w:t>项目所占区域</w:t>
            </w:r>
            <w:r>
              <w:rPr>
                <w:rFonts w:hint="eastAsia" w:ascii="Times New Roman" w:hAnsi="Times New Roman" w:eastAsia="宋体" w:cs="Times New Roman"/>
                <w:b w:val="0"/>
                <w:bCs/>
                <w:color w:val="auto"/>
                <w:sz w:val="24"/>
                <w:szCs w:val="24"/>
                <w:highlight w:val="none"/>
                <w:lang w:val="zh-CN" w:eastAsia="zh-CN"/>
              </w:rPr>
              <w:t>未被列为河北省沙区范围主要涉及的地域。</w:t>
            </w:r>
          </w:p>
          <w:p w14:paraId="54694316">
            <w:pPr>
              <w:pStyle w:val="31"/>
              <w:keepNext w:val="0"/>
              <w:keepLines w:val="0"/>
              <w:pageBreakBefore w:val="0"/>
              <w:numPr>
                <w:ilvl w:val="0"/>
                <w:numId w:val="0"/>
              </w:numPr>
              <w:suppressLineNumbers w:val="0"/>
              <w:shd w:val="clear"/>
              <w:kinsoku/>
              <w:wordWrap/>
              <w:overflowPunct/>
              <w:topLinePunct w:val="0"/>
              <w:bidi w:val="0"/>
              <w:adjustRightInd w:val="0"/>
              <w:spacing w:before="0" w:beforeAutospacing="0" w:after="0" w:afterAutospacing="0" w:line="360" w:lineRule="auto"/>
              <w:ind w:left="0" w:leftChars="0" w:right="0" w:rightChars="0" w:firstLine="480" w:firstLineChars="200"/>
              <w:jc w:val="left"/>
              <w:textAlignment w:val="baseline"/>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本项目位于河北省唐山市滦州市雷庄镇</w:t>
            </w:r>
            <w:r>
              <w:rPr>
                <w:rFonts w:hint="eastAsia" w:ascii="Times New Roman" w:hAnsi="Times New Roman" w:cs="Times New Roman"/>
                <w:b w:val="0"/>
                <w:bCs w:val="0"/>
                <w:color w:val="auto"/>
                <w:sz w:val="24"/>
                <w:szCs w:val="24"/>
                <w:highlight w:val="none"/>
                <w:vertAlign w:val="baseline"/>
                <w:lang w:val="en-US" w:eastAsia="zh-CN"/>
              </w:rPr>
              <w:t>雷庄村东北</w:t>
            </w:r>
            <w:r>
              <w:rPr>
                <w:rFonts w:hint="default" w:ascii="Times New Roman" w:hAnsi="Times New Roman" w:eastAsia="宋体" w:cs="Times New Roman"/>
                <w:b w:val="0"/>
                <w:bCs w:val="0"/>
                <w:color w:val="auto"/>
                <w:sz w:val="24"/>
                <w:szCs w:val="24"/>
                <w:highlight w:val="none"/>
                <w:vertAlign w:val="baseline"/>
                <w:lang w:val="en-US" w:eastAsia="zh-CN"/>
              </w:rPr>
              <w:t>，</w:t>
            </w:r>
            <w:r>
              <w:rPr>
                <w:rFonts w:hint="eastAsia" w:cs="Times New Roman"/>
                <w:b w:val="0"/>
                <w:bCs w:val="0"/>
                <w:color w:val="auto"/>
                <w:sz w:val="24"/>
                <w:szCs w:val="24"/>
                <w:highlight w:val="none"/>
                <w:vertAlign w:val="baseline"/>
                <w:lang w:val="en-US" w:eastAsia="zh-CN"/>
              </w:rPr>
              <w:t>利用现有</w:t>
            </w:r>
            <w:r>
              <w:rPr>
                <w:rFonts w:hint="default" w:ascii="Times New Roman" w:hAnsi="Times New Roman" w:eastAsia="宋体" w:cs="Times New Roman"/>
                <w:b w:val="0"/>
                <w:bCs w:val="0"/>
                <w:color w:val="auto"/>
                <w:sz w:val="24"/>
                <w:szCs w:val="24"/>
                <w:highlight w:val="none"/>
                <w:vertAlign w:val="baseline"/>
                <w:lang w:val="en-US" w:eastAsia="zh-CN"/>
              </w:rPr>
              <w:t>厂区</w:t>
            </w:r>
            <w:r>
              <w:rPr>
                <w:rFonts w:hint="eastAsia" w:cs="Times New Roman"/>
                <w:b w:val="0"/>
                <w:bCs w:val="0"/>
                <w:color w:val="auto"/>
                <w:sz w:val="24"/>
                <w:szCs w:val="24"/>
                <w:highlight w:val="none"/>
                <w:vertAlign w:val="baseline"/>
                <w:lang w:val="en-US" w:eastAsia="zh-CN"/>
              </w:rPr>
              <w:t>进行</w:t>
            </w:r>
            <w:r>
              <w:rPr>
                <w:rFonts w:hint="default" w:ascii="Times New Roman" w:hAnsi="Times New Roman" w:eastAsia="宋体" w:cs="Times New Roman"/>
                <w:b w:val="0"/>
                <w:bCs w:val="0"/>
                <w:color w:val="auto"/>
                <w:sz w:val="24"/>
                <w:szCs w:val="24"/>
                <w:highlight w:val="none"/>
                <w:vertAlign w:val="baseline"/>
                <w:lang w:val="en-US" w:eastAsia="zh-CN"/>
              </w:rPr>
              <w:t>建设，不新增占地，厂址占地为建设用地。本项目所在厂区属于已有建设用地，有明显围墙，厂区地面已进行硬化</w:t>
            </w:r>
            <w:r>
              <w:rPr>
                <w:rFonts w:hint="eastAsia" w:ascii="Times New Roman" w:hAnsi="Times New Roman" w:cs="Times New Roman"/>
                <w:b w:val="0"/>
                <w:bCs w:val="0"/>
                <w:color w:val="auto"/>
                <w:sz w:val="24"/>
                <w:szCs w:val="24"/>
                <w:highlight w:val="none"/>
                <w:vertAlign w:val="baseline"/>
                <w:lang w:val="en-US" w:eastAsia="zh-CN"/>
              </w:rPr>
              <w:t>、绿化</w:t>
            </w:r>
            <w:r>
              <w:rPr>
                <w:rFonts w:hint="default" w:ascii="Times New Roman" w:hAnsi="Times New Roman" w:eastAsia="宋体" w:cs="Times New Roman"/>
                <w:b w:val="0"/>
                <w:bCs w:val="0"/>
                <w:color w:val="auto"/>
                <w:sz w:val="24"/>
                <w:szCs w:val="24"/>
                <w:highlight w:val="none"/>
                <w:vertAlign w:val="baseline"/>
                <w:lang w:val="en-US" w:eastAsia="zh-CN"/>
              </w:rPr>
              <w:t>，占地区域暂无沙化现象，本项目施工期间主要确保施工活动严格控制在厂区内，故施工过程基本不会影响土壤抗侵蚀能力等，不会造成土地沙化。</w:t>
            </w:r>
          </w:p>
          <w:p w14:paraId="28EE53F7">
            <w:pPr>
              <w:pStyle w:val="31"/>
              <w:keepNext w:val="0"/>
              <w:keepLines w:val="0"/>
              <w:pageBreakBefore w:val="0"/>
              <w:numPr>
                <w:ilvl w:val="0"/>
                <w:numId w:val="0"/>
              </w:numPr>
              <w:suppressLineNumbers w:val="0"/>
              <w:shd w:val="clear"/>
              <w:kinsoku/>
              <w:wordWrap/>
              <w:overflowPunct/>
              <w:topLinePunct w:val="0"/>
              <w:bidi w:val="0"/>
              <w:adjustRightInd w:val="0"/>
              <w:spacing w:before="0" w:beforeAutospacing="0" w:after="0" w:afterAutospacing="0" w:line="360" w:lineRule="auto"/>
              <w:ind w:left="0" w:leftChars="0" w:right="0" w:rightChars="0" w:firstLine="480" w:firstLineChars="200"/>
              <w:jc w:val="left"/>
              <w:textAlignment w:val="baseline"/>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综上所述，本项目符合相关政策、标准要求。</w:t>
            </w:r>
          </w:p>
          <w:p w14:paraId="4A129727">
            <w:pPr>
              <w:numPr>
                <w:ilvl w:val="0"/>
                <w:numId w:val="4"/>
              </w:numPr>
              <w:shd w:val="clear"/>
              <w:rPr>
                <w:rFonts w:hint="eastAsia" w:ascii="Times New Roman" w:hAnsi="Times New Roman" w:eastAsia="宋体" w:cs="Times New Roman"/>
                <w:b/>
                <w:bCs w:val="0"/>
                <w:color w:val="auto"/>
                <w:kern w:val="0"/>
                <w:sz w:val="24"/>
                <w:szCs w:val="24"/>
                <w:highlight w:val="none"/>
                <w:lang w:val="en-US" w:eastAsia="zh-CN" w:bidi="ar-SA"/>
              </w:rPr>
            </w:pPr>
            <w:r>
              <w:rPr>
                <w:rFonts w:hint="eastAsia" w:ascii="Times New Roman" w:hAnsi="Times New Roman" w:eastAsia="宋体" w:cs="Times New Roman"/>
                <w:b/>
                <w:bCs w:val="0"/>
                <w:color w:val="auto"/>
                <w:kern w:val="0"/>
                <w:sz w:val="24"/>
                <w:szCs w:val="24"/>
                <w:highlight w:val="none"/>
                <w:lang w:val="en-US" w:eastAsia="zh-CN" w:bidi="ar-SA"/>
              </w:rPr>
              <w:t>与《滦州市石粉行业集中整治提升实施方案》符合性分析</w:t>
            </w:r>
          </w:p>
          <w:p w14:paraId="73FBFD1F">
            <w:pPr>
              <w:pStyle w:val="15"/>
              <w:numPr>
                <w:ilvl w:val="0"/>
                <w:numId w:val="0"/>
              </w:numPr>
              <w:shd w:val="clear"/>
              <w:ind w:leftChars="900" w:right="1680" w:rightChars="700"/>
              <w:rPr>
                <w:rFonts w:hint="eastAsia"/>
                <w:color w:val="auto"/>
                <w:lang w:val="en-US" w:eastAsia="zh-CN"/>
              </w:rPr>
            </w:pPr>
          </w:p>
          <w:p w14:paraId="2BF25C2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项目与</w:t>
            </w:r>
            <w:r>
              <w:rPr>
                <w:rFonts w:hint="eastAsia" w:ascii="Times New Roman" w:hAnsi="Times New Roman" w:eastAsia="宋体" w:cs="Times New Roman"/>
                <w:b/>
                <w:bCs w:val="0"/>
                <w:color w:val="auto"/>
                <w:kern w:val="0"/>
                <w:sz w:val="21"/>
                <w:szCs w:val="21"/>
                <w:highlight w:val="none"/>
                <w:lang w:val="en-US" w:eastAsia="zh-CN" w:bidi="ar-SA"/>
              </w:rPr>
              <w:t>《滦州市石粉行业集中整治提升实施方案》符合性分析</w:t>
            </w:r>
          </w:p>
          <w:tbl>
            <w:tblPr>
              <w:tblStyle w:val="32"/>
              <w:tblW w:w="1249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568"/>
              <w:gridCol w:w="1195"/>
              <w:gridCol w:w="6133"/>
              <w:gridCol w:w="3926"/>
              <w:gridCol w:w="676"/>
            </w:tblGrid>
            <w:tr w14:paraId="167A66B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7A228FF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序号</w:t>
                  </w:r>
                </w:p>
              </w:tc>
              <w:tc>
                <w:tcPr>
                  <w:tcW w:w="7328" w:type="dxa"/>
                  <w:gridSpan w:val="2"/>
                  <w:tcBorders>
                    <w:tl2br w:val="nil"/>
                    <w:tr2bl w:val="nil"/>
                  </w:tcBorders>
                  <w:noWrap w:val="0"/>
                  <w:vAlign w:val="center"/>
                </w:tcPr>
                <w:p w14:paraId="22D364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文件相关内容</w:t>
                  </w:r>
                </w:p>
              </w:tc>
              <w:tc>
                <w:tcPr>
                  <w:tcW w:w="3926" w:type="dxa"/>
                  <w:tcBorders>
                    <w:tl2br w:val="nil"/>
                    <w:tr2bl w:val="nil"/>
                  </w:tcBorders>
                  <w:noWrap w:val="0"/>
                  <w:vAlign w:val="center"/>
                </w:tcPr>
                <w:p w14:paraId="3256560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本项目内容</w:t>
                  </w:r>
                </w:p>
              </w:tc>
              <w:tc>
                <w:tcPr>
                  <w:tcW w:w="676" w:type="dxa"/>
                  <w:tcBorders>
                    <w:tl2br w:val="nil"/>
                    <w:tr2bl w:val="nil"/>
                  </w:tcBorders>
                  <w:noWrap w:val="0"/>
                  <w:vAlign w:val="center"/>
                </w:tcPr>
                <w:p w14:paraId="489A2B9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符合性</w:t>
                  </w:r>
                </w:p>
              </w:tc>
            </w:tr>
            <w:tr w14:paraId="39A5FBA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2B74A7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1</w:t>
                  </w:r>
                </w:p>
              </w:tc>
              <w:tc>
                <w:tcPr>
                  <w:tcW w:w="1195" w:type="dxa"/>
                  <w:tcBorders>
                    <w:tl2br w:val="nil"/>
                    <w:tr2bl w:val="nil"/>
                  </w:tcBorders>
                  <w:noWrap w:val="0"/>
                  <w:vAlign w:val="center"/>
                </w:tcPr>
                <w:p w14:paraId="00133D8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物料储存转运污染防治</w:t>
                  </w:r>
                </w:p>
              </w:tc>
              <w:tc>
                <w:tcPr>
                  <w:tcW w:w="6133" w:type="dxa"/>
                  <w:tcBorders>
                    <w:tl2br w:val="nil"/>
                    <w:tr2bl w:val="nil"/>
                  </w:tcBorders>
                  <w:noWrap w:val="0"/>
                  <w:vAlign w:val="center"/>
                </w:tcPr>
                <w:p w14:paraId="0E47164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企业建设封闭原料库和成品库，地面硬化，出入口改为自动感应门，新进原料必须入棚储存；原料库配套全覆盖的雾炮或喷雾等抑尘设施。现有露天堆存的原料逐步消纳，设置防风抑尘网围挡，防风抑尘网高度必须高于料堆，同时采取洒水、</w:t>
                  </w:r>
                  <w:r>
                    <w:rPr>
                      <w:rFonts w:hint="eastAsia" w:cs="Times New Roman"/>
                      <w:color w:val="auto"/>
                      <w:spacing w:val="0"/>
                      <w:sz w:val="21"/>
                      <w:szCs w:val="21"/>
                      <w:lang w:val="en-US" w:eastAsia="zh-CN"/>
                    </w:rPr>
                    <w:t>苫盖</w:t>
                  </w:r>
                  <w:r>
                    <w:rPr>
                      <w:rFonts w:hint="eastAsia" w:ascii="Times New Roman" w:hAnsi="Times New Roman" w:eastAsia="宋体" w:cs="Times New Roman"/>
                      <w:color w:val="auto"/>
                      <w:spacing w:val="0"/>
                      <w:sz w:val="21"/>
                      <w:szCs w:val="21"/>
                      <w:lang w:val="en-US" w:eastAsia="zh-CN"/>
                    </w:rPr>
                    <w:t>或喷洒抑尘剂等抑尘措施防止扬尘产生。</w:t>
                  </w:r>
                </w:p>
              </w:tc>
              <w:tc>
                <w:tcPr>
                  <w:tcW w:w="3926" w:type="dxa"/>
                  <w:tcBorders>
                    <w:tl2br w:val="nil"/>
                    <w:tr2bl w:val="nil"/>
                  </w:tcBorders>
                  <w:noWrap w:val="0"/>
                  <w:vAlign w:val="center"/>
                </w:tcPr>
                <w:p w14:paraId="2627F0F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eastAsia" w:ascii="Times New Roman" w:hAnsi="Times New Roman" w:eastAsia="宋体" w:cs="Times New Roman"/>
                      <w:color w:val="auto"/>
                      <w:spacing w:val="0"/>
                      <w:sz w:val="21"/>
                      <w:szCs w:val="21"/>
                      <w:highlight w:val="none"/>
                      <w:lang w:val="en-US" w:eastAsia="zh-CN"/>
                    </w:rPr>
                    <w:t>本项目设置全封闭的预处理车间</w:t>
                  </w:r>
                  <w:r>
                    <w:rPr>
                      <w:rFonts w:hint="eastAsia" w:cs="Times New Roman"/>
                      <w:color w:val="auto"/>
                      <w:spacing w:val="0"/>
                      <w:sz w:val="21"/>
                      <w:szCs w:val="21"/>
                      <w:highlight w:val="none"/>
                      <w:lang w:val="en-US" w:eastAsia="zh-CN"/>
                    </w:rPr>
                    <w:t>，出入口设置自动感应门，</w:t>
                  </w:r>
                  <w:r>
                    <w:rPr>
                      <w:rFonts w:hint="eastAsia" w:ascii="Times New Roman" w:hAnsi="Times New Roman" w:eastAsia="宋体" w:cs="Times New Roman"/>
                      <w:color w:val="auto"/>
                      <w:spacing w:val="0"/>
                      <w:sz w:val="21"/>
                      <w:szCs w:val="21"/>
                      <w:highlight w:val="none"/>
                      <w:lang w:val="en-US" w:eastAsia="zh-CN"/>
                    </w:rPr>
                    <w:t>预处理车间地面硬化并设置喷淋雾化设施。</w:t>
                  </w:r>
                </w:p>
              </w:tc>
              <w:tc>
                <w:tcPr>
                  <w:tcW w:w="676" w:type="dxa"/>
                  <w:tcBorders>
                    <w:tl2br w:val="nil"/>
                    <w:tr2bl w:val="nil"/>
                  </w:tcBorders>
                  <w:noWrap w:val="0"/>
                  <w:vAlign w:val="center"/>
                </w:tcPr>
                <w:p w14:paraId="441F1DD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15A045F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35D0105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2</w:t>
                  </w:r>
                </w:p>
              </w:tc>
              <w:tc>
                <w:tcPr>
                  <w:tcW w:w="1195" w:type="dxa"/>
                  <w:tcBorders>
                    <w:tl2br w:val="nil"/>
                    <w:tr2bl w:val="nil"/>
                  </w:tcBorders>
                  <w:noWrap w:val="0"/>
                  <w:vAlign w:val="center"/>
                </w:tcPr>
                <w:p w14:paraId="47074B1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原料上料、破碎工序污染防治</w:t>
                  </w:r>
                </w:p>
              </w:tc>
              <w:tc>
                <w:tcPr>
                  <w:tcW w:w="6133" w:type="dxa"/>
                  <w:tcBorders>
                    <w:tl2br w:val="nil"/>
                    <w:tr2bl w:val="nil"/>
                  </w:tcBorders>
                  <w:noWrap w:val="0"/>
                  <w:vAlign w:val="center"/>
                </w:tcPr>
                <w:p w14:paraId="427EBEC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原料上料口采取区域侧、顶三面密封措施并加装感应喷雾抑尘系统或加装自动感应门，原料铲装作业采取喷雾抑尘措施，不可见明显扬尘。上料口至破碎机上方落料点全封闭并安装废气收集装置。</w:t>
                  </w:r>
                </w:p>
              </w:tc>
              <w:tc>
                <w:tcPr>
                  <w:tcW w:w="3926" w:type="dxa"/>
                  <w:tcBorders>
                    <w:tl2br w:val="nil"/>
                    <w:tr2bl w:val="nil"/>
                  </w:tcBorders>
                  <w:noWrap w:val="0"/>
                  <w:vAlign w:val="center"/>
                </w:tcPr>
                <w:p w14:paraId="2CD1D86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eastAsia" w:ascii="Times New Roman" w:hAnsi="Times New Roman" w:eastAsia="宋体" w:cs="Times New Roman"/>
                      <w:color w:val="auto"/>
                      <w:spacing w:val="0"/>
                      <w:sz w:val="21"/>
                      <w:szCs w:val="21"/>
                      <w:lang w:val="en-US" w:eastAsia="zh-CN"/>
                    </w:rPr>
                    <w:t>上料口设置三面围挡带顶盖并配置雾化喷淋抑尘装置。转运点全部设废气收集装置。</w:t>
                  </w:r>
                </w:p>
              </w:tc>
              <w:tc>
                <w:tcPr>
                  <w:tcW w:w="676" w:type="dxa"/>
                  <w:tcBorders>
                    <w:tl2br w:val="nil"/>
                    <w:tr2bl w:val="nil"/>
                  </w:tcBorders>
                  <w:noWrap w:val="0"/>
                  <w:vAlign w:val="center"/>
                </w:tcPr>
                <w:p w14:paraId="42BEFFF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4785F89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145E9B4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3</w:t>
                  </w:r>
                </w:p>
              </w:tc>
              <w:tc>
                <w:tcPr>
                  <w:tcW w:w="1195" w:type="dxa"/>
                  <w:vMerge w:val="restart"/>
                  <w:tcBorders>
                    <w:tl2br w:val="nil"/>
                    <w:tr2bl w:val="nil"/>
                  </w:tcBorders>
                  <w:noWrap w:val="0"/>
                  <w:vAlign w:val="center"/>
                </w:tcPr>
                <w:p w14:paraId="23F6595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生产工序及车间污染防治</w:t>
                  </w:r>
                </w:p>
              </w:tc>
              <w:tc>
                <w:tcPr>
                  <w:tcW w:w="6133" w:type="dxa"/>
                  <w:tcBorders>
                    <w:tl2br w:val="nil"/>
                    <w:tr2bl w:val="nil"/>
                  </w:tcBorders>
                  <w:noWrap w:val="0"/>
                  <w:vAlign w:val="center"/>
                </w:tcPr>
                <w:p w14:paraId="2BAAAE6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生产车间封闭无破损，破碎、筛分等生产设备全部置于封闭厂房内。破碎机、振筛、桶筛等产尘点采取二次封闭并设置集尘罩负压收集后经除尘设施处理；固定皮带及皮带落差转运站点全部封闭，落差转运点设置集尘罩负压收集后经除尘设施处理，有组织颗粒物排放浓度不高于10mg/Nm</w:t>
                  </w:r>
                  <w:r>
                    <w:rPr>
                      <w:rFonts w:hint="eastAsia" w:ascii="Times New Roman" w:hAnsi="Times New Roman" w:eastAsia="宋体" w:cs="Times New Roman"/>
                      <w:color w:val="auto"/>
                      <w:spacing w:val="0"/>
                      <w:sz w:val="21"/>
                      <w:szCs w:val="21"/>
                      <w:vertAlign w:val="superscript"/>
                      <w:lang w:val="en-US" w:eastAsia="zh-CN"/>
                    </w:rPr>
                    <w:t>3</w:t>
                  </w:r>
                  <w:r>
                    <w:rPr>
                      <w:rFonts w:hint="eastAsia" w:ascii="Times New Roman" w:hAnsi="Times New Roman" w:eastAsia="宋体" w:cs="Times New Roman"/>
                      <w:color w:val="auto"/>
                      <w:spacing w:val="0"/>
                      <w:sz w:val="21"/>
                      <w:szCs w:val="21"/>
                      <w:lang w:val="en-US" w:eastAsia="zh-CN"/>
                    </w:rPr>
                    <w:t>。生产车间无明显扬尘。采用干法工艺的石粉企业，成品全部采取储罐、筒仓或覆膜吨包袋等封闭储存、运输。</w:t>
                  </w:r>
                </w:p>
              </w:tc>
              <w:tc>
                <w:tcPr>
                  <w:tcW w:w="3926" w:type="dxa"/>
                  <w:tcBorders>
                    <w:tl2br w:val="nil"/>
                    <w:tr2bl w:val="nil"/>
                  </w:tcBorders>
                  <w:noWrap w:val="0"/>
                  <w:vAlign w:val="center"/>
                </w:tcPr>
                <w:p w14:paraId="22FC738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本项目预处理车间为封闭车间，原料破碎、筛分等集中产尘工序在封闭车间内，在破碎、筛分工序设置高效集气装置，将废气引入脉冲布袋除尘器进行处理，经处理后颗粒物排放浓度不高于</w:t>
                  </w:r>
                  <w:r>
                    <w:rPr>
                      <w:rFonts w:hint="default" w:ascii="Times New Roman" w:hAnsi="Times New Roman" w:eastAsia="宋体" w:cs="Times New Roman"/>
                      <w:color w:val="auto"/>
                      <w:spacing w:val="0"/>
                      <w:sz w:val="21"/>
                      <w:szCs w:val="21"/>
                      <w:lang w:val="en-US" w:eastAsia="zh-CN"/>
                    </w:rPr>
                    <w:t>10mg/</w:t>
                  </w:r>
                  <w:r>
                    <w:rPr>
                      <w:rFonts w:hint="eastAsia" w:ascii="Times New Roman" w:hAnsi="Times New Roman" w:eastAsia="宋体" w:cs="Times New Roman"/>
                      <w:color w:val="auto"/>
                      <w:spacing w:val="0"/>
                      <w:sz w:val="21"/>
                      <w:szCs w:val="21"/>
                      <w:lang w:val="en-US" w:eastAsia="zh-CN"/>
                    </w:rPr>
                    <w:t>m</w:t>
                  </w:r>
                  <w:r>
                    <w:rPr>
                      <w:rFonts w:hint="eastAsia" w:ascii="Times New Roman" w:hAnsi="Times New Roman" w:eastAsia="宋体" w:cs="Times New Roman"/>
                      <w:color w:val="auto"/>
                      <w:spacing w:val="0"/>
                      <w:sz w:val="21"/>
                      <w:szCs w:val="21"/>
                      <w:vertAlign w:val="superscript"/>
                      <w:lang w:val="en-US" w:eastAsia="zh-CN"/>
                    </w:rPr>
                    <w:t>3</w:t>
                  </w:r>
                  <w:r>
                    <w:rPr>
                      <w:rFonts w:hint="eastAsia" w:ascii="Times New Roman" w:hAnsi="Times New Roman" w:eastAsia="宋体" w:cs="Times New Roman"/>
                      <w:color w:val="auto"/>
                      <w:spacing w:val="0"/>
                      <w:sz w:val="21"/>
                      <w:szCs w:val="21"/>
                      <w:lang w:val="en-US" w:eastAsia="zh-CN"/>
                    </w:rPr>
                    <w:t>。生产车间无明显扬尘。</w:t>
                  </w:r>
                </w:p>
              </w:tc>
              <w:tc>
                <w:tcPr>
                  <w:tcW w:w="676" w:type="dxa"/>
                  <w:tcBorders>
                    <w:tl2br w:val="nil"/>
                    <w:tr2bl w:val="nil"/>
                  </w:tcBorders>
                  <w:noWrap w:val="0"/>
                  <w:vAlign w:val="center"/>
                </w:tcPr>
                <w:p w14:paraId="5E32976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3B0373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515AA31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4</w:t>
                  </w:r>
                </w:p>
              </w:tc>
              <w:tc>
                <w:tcPr>
                  <w:tcW w:w="1195" w:type="dxa"/>
                  <w:vMerge w:val="continue"/>
                  <w:tcBorders>
                    <w:tl2br w:val="nil"/>
                    <w:tr2bl w:val="nil"/>
                  </w:tcBorders>
                  <w:noWrap w:val="0"/>
                  <w:vAlign w:val="center"/>
                </w:tcPr>
                <w:p w14:paraId="334C1D5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0368F75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除尘器卸灰口应采取密闭措施，除尘灰不得直接卸落到地面除尘灰采取袋装、罐装等密闭措施收集、存放和运输。</w:t>
                  </w:r>
                </w:p>
              </w:tc>
              <w:tc>
                <w:tcPr>
                  <w:tcW w:w="3926" w:type="dxa"/>
                  <w:tcBorders>
                    <w:tl2br w:val="nil"/>
                    <w:tr2bl w:val="nil"/>
                  </w:tcBorders>
                  <w:noWrap w:val="0"/>
                  <w:vAlign w:val="center"/>
                </w:tcPr>
                <w:p w14:paraId="214DA1F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本项目除尘器卸灰处彩钢封闭，卸灰阀连接吨包，确保除尘灰不落地</w:t>
                  </w:r>
                  <w:r>
                    <w:rPr>
                      <w:rFonts w:hint="default" w:ascii="Times New Roman" w:hAnsi="Times New Roman" w:eastAsia="宋体" w:cs="Times New Roman"/>
                      <w:color w:val="auto"/>
                      <w:spacing w:val="0"/>
                      <w:sz w:val="21"/>
                      <w:szCs w:val="21"/>
                      <w:lang w:val="en-US" w:eastAsia="zh-CN"/>
                    </w:rPr>
                    <w:t>，除尘灰收集后存储于</w:t>
                  </w:r>
                  <w:r>
                    <w:rPr>
                      <w:rFonts w:hint="eastAsia" w:ascii="Times New Roman" w:hAnsi="Times New Roman" w:eastAsia="宋体" w:cs="Times New Roman"/>
                      <w:color w:val="auto"/>
                      <w:spacing w:val="0"/>
                      <w:sz w:val="21"/>
                      <w:szCs w:val="21"/>
                      <w:lang w:val="en-US" w:eastAsia="zh-CN"/>
                    </w:rPr>
                    <w:t>一般固废暂存区。</w:t>
                  </w:r>
                </w:p>
              </w:tc>
              <w:tc>
                <w:tcPr>
                  <w:tcW w:w="676" w:type="dxa"/>
                  <w:tcBorders>
                    <w:tl2br w:val="nil"/>
                    <w:tr2bl w:val="nil"/>
                  </w:tcBorders>
                  <w:noWrap w:val="0"/>
                  <w:vAlign w:val="center"/>
                </w:tcPr>
                <w:p w14:paraId="2175FF7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598E610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7850D67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5</w:t>
                  </w:r>
                </w:p>
              </w:tc>
              <w:tc>
                <w:tcPr>
                  <w:tcW w:w="1195" w:type="dxa"/>
                  <w:tcBorders>
                    <w:tl2br w:val="nil"/>
                    <w:tr2bl w:val="nil"/>
                  </w:tcBorders>
                  <w:noWrap w:val="0"/>
                  <w:vAlign w:val="center"/>
                </w:tcPr>
                <w:p w14:paraId="1CC18C1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生产废水污染防治</w:t>
                  </w:r>
                </w:p>
              </w:tc>
              <w:tc>
                <w:tcPr>
                  <w:tcW w:w="6133" w:type="dxa"/>
                  <w:tcBorders>
                    <w:tl2br w:val="nil"/>
                    <w:tr2bl w:val="nil"/>
                  </w:tcBorders>
                  <w:noWrap w:val="0"/>
                  <w:vAlign w:val="center"/>
                </w:tcPr>
                <w:p w14:paraId="7038003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采用湿法作业的，生产车间、成品库设置导流渠，溢流水自流入清水池后回用；生产废水经浓缩罐浓缩后上清液排入清水池，回用于生产，不得外排；污泥经压滤后入库储存，综合利用。</w:t>
                  </w:r>
                </w:p>
              </w:tc>
              <w:tc>
                <w:tcPr>
                  <w:tcW w:w="3926" w:type="dxa"/>
                  <w:tcBorders>
                    <w:tl2br w:val="nil"/>
                    <w:tr2bl w:val="nil"/>
                  </w:tcBorders>
                  <w:noWrap w:val="0"/>
                  <w:vAlign w:val="center"/>
                </w:tcPr>
                <w:p w14:paraId="6F1901D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本项目不涉及。</w:t>
                  </w:r>
                </w:p>
              </w:tc>
              <w:tc>
                <w:tcPr>
                  <w:tcW w:w="676" w:type="dxa"/>
                  <w:tcBorders>
                    <w:tl2br w:val="nil"/>
                    <w:tr2bl w:val="nil"/>
                  </w:tcBorders>
                  <w:noWrap w:val="0"/>
                  <w:vAlign w:val="center"/>
                </w:tcPr>
                <w:p w14:paraId="3C8ABEA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71A363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restart"/>
                  <w:tcBorders>
                    <w:tl2br w:val="nil"/>
                    <w:tr2bl w:val="nil"/>
                  </w:tcBorders>
                  <w:noWrap w:val="0"/>
                  <w:vAlign w:val="center"/>
                </w:tcPr>
                <w:p w14:paraId="27E033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6</w:t>
                  </w:r>
                </w:p>
              </w:tc>
              <w:tc>
                <w:tcPr>
                  <w:tcW w:w="1195" w:type="dxa"/>
                  <w:vMerge w:val="restart"/>
                  <w:tcBorders>
                    <w:tl2br w:val="nil"/>
                    <w:tr2bl w:val="nil"/>
                  </w:tcBorders>
                  <w:noWrap w:val="0"/>
                  <w:vAlign w:val="center"/>
                </w:tcPr>
                <w:p w14:paraId="7AF3149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监测监控</w:t>
                  </w:r>
                </w:p>
              </w:tc>
              <w:tc>
                <w:tcPr>
                  <w:tcW w:w="6133" w:type="dxa"/>
                  <w:tcBorders>
                    <w:tl2br w:val="nil"/>
                    <w:tr2bl w:val="nil"/>
                  </w:tcBorders>
                  <w:noWrap w:val="0"/>
                  <w:vAlign w:val="center"/>
                </w:tcPr>
                <w:p w14:paraId="52EBADB2">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firstLine="0" w:firstLineChars="0"/>
                    <w:jc w:val="both"/>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建立全厂的无组织排放管控系统，在厂区四面边界安装TSP、PM</w:t>
                  </w:r>
                  <w:r>
                    <w:rPr>
                      <w:rFonts w:hint="eastAsia" w:ascii="Times New Roman" w:hAnsi="Times New Roman" w:eastAsia="宋体" w:cs="Times New Roman"/>
                      <w:color w:val="auto"/>
                      <w:spacing w:val="0"/>
                      <w:sz w:val="21"/>
                      <w:szCs w:val="21"/>
                      <w:vertAlign w:val="subscript"/>
                      <w:lang w:val="en-US" w:eastAsia="zh-CN"/>
                    </w:rPr>
                    <w:t>10</w:t>
                  </w:r>
                  <w:r>
                    <w:rPr>
                      <w:rFonts w:hint="eastAsia" w:ascii="Times New Roman" w:hAnsi="Times New Roman" w:eastAsia="宋体" w:cs="Times New Roman"/>
                      <w:color w:val="auto"/>
                      <w:spacing w:val="0"/>
                      <w:sz w:val="21"/>
                      <w:szCs w:val="21"/>
                      <w:lang w:val="en-US" w:eastAsia="zh-CN"/>
                    </w:rPr>
                    <w:t>、PM</w:t>
                  </w:r>
                  <w:r>
                    <w:rPr>
                      <w:rFonts w:hint="eastAsia" w:ascii="Times New Roman" w:hAnsi="Times New Roman" w:eastAsia="宋体" w:cs="Times New Roman"/>
                      <w:color w:val="auto"/>
                      <w:spacing w:val="0"/>
                      <w:sz w:val="21"/>
                      <w:szCs w:val="21"/>
                      <w:vertAlign w:val="subscript"/>
                      <w:lang w:val="en-US" w:eastAsia="zh-CN"/>
                    </w:rPr>
                    <w:t>2.5</w:t>
                  </w:r>
                  <w:r>
                    <w:rPr>
                      <w:rFonts w:hint="eastAsia" w:ascii="Times New Roman" w:hAnsi="Times New Roman" w:eastAsia="宋体" w:cs="Times New Roman"/>
                      <w:color w:val="auto"/>
                      <w:spacing w:val="0"/>
                      <w:sz w:val="21"/>
                      <w:szCs w:val="21"/>
                      <w:lang w:val="en-US" w:eastAsia="zh-CN"/>
                    </w:rPr>
                    <w:t>在线监测设备（在线设施须有环境保护产品认证证书），具备联网功能，厂区边界颗粒物浓度不高于1.0mg/Nm</w:t>
                  </w:r>
                  <w:r>
                    <w:rPr>
                      <w:rFonts w:hint="eastAsia" w:ascii="Times New Roman" w:hAnsi="Times New Roman" w:eastAsia="宋体" w:cs="Times New Roman"/>
                      <w:color w:val="auto"/>
                      <w:spacing w:val="0"/>
                      <w:sz w:val="21"/>
                      <w:szCs w:val="21"/>
                      <w:vertAlign w:val="superscript"/>
                      <w:lang w:val="en-US" w:eastAsia="zh-CN"/>
                    </w:rPr>
                    <w:t>3</w:t>
                  </w:r>
                  <w:r>
                    <w:rPr>
                      <w:rFonts w:hint="eastAsia" w:ascii="Times New Roman" w:hAnsi="Times New Roman" w:eastAsia="宋体" w:cs="Times New Roman"/>
                      <w:color w:val="auto"/>
                      <w:spacing w:val="0"/>
                      <w:sz w:val="21"/>
                      <w:szCs w:val="21"/>
                      <w:lang w:val="en-US" w:eastAsia="zh-CN"/>
                    </w:rPr>
                    <w:t>。</w:t>
                  </w:r>
                </w:p>
              </w:tc>
              <w:tc>
                <w:tcPr>
                  <w:tcW w:w="3926" w:type="dxa"/>
                  <w:tcBorders>
                    <w:tl2br w:val="nil"/>
                    <w:tr2bl w:val="nil"/>
                  </w:tcBorders>
                  <w:noWrap w:val="0"/>
                  <w:vAlign w:val="center"/>
                </w:tcPr>
                <w:p w14:paraId="18AD6BE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现有厂区</w:t>
                  </w:r>
                  <w:r>
                    <w:rPr>
                      <w:rFonts w:hint="eastAsia" w:cs="Times New Roman"/>
                      <w:color w:val="auto"/>
                      <w:spacing w:val="0"/>
                      <w:sz w:val="21"/>
                      <w:szCs w:val="21"/>
                      <w:lang w:val="en-US" w:eastAsia="zh-CN"/>
                    </w:rPr>
                    <w:t>四周边界各</w:t>
                  </w:r>
                  <w:r>
                    <w:rPr>
                      <w:rFonts w:hint="eastAsia" w:ascii="Times New Roman" w:hAnsi="Times New Roman" w:eastAsia="宋体" w:cs="Times New Roman"/>
                      <w:color w:val="auto"/>
                      <w:spacing w:val="0"/>
                      <w:sz w:val="21"/>
                      <w:szCs w:val="21"/>
                      <w:lang w:val="en-US" w:eastAsia="zh-CN"/>
                    </w:rPr>
                    <w:t>安装1套</w:t>
                  </w:r>
                  <w:r>
                    <w:rPr>
                      <w:rFonts w:hint="default" w:ascii="Times New Roman" w:hAnsi="Times New Roman" w:eastAsia="宋体" w:cs="Times New Roman"/>
                      <w:color w:val="auto"/>
                      <w:spacing w:val="0"/>
                      <w:sz w:val="21"/>
                      <w:szCs w:val="21"/>
                      <w:lang w:val="en-US" w:eastAsia="zh-CN"/>
                    </w:rPr>
                    <w:t>TSP</w:t>
                  </w:r>
                  <w:r>
                    <w:rPr>
                      <w:rFonts w:hint="eastAsia" w:ascii="Times New Roman" w:hAnsi="Times New Roman" w:eastAsia="宋体"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PM</w:t>
                  </w:r>
                  <w:r>
                    <w:rPr>
                      <w:rFonts w:hint="default" w:ascii="Times New Roman" w:hAnsi="Times New Roman" w:eastAsia="宋体" w:cs="Times New Roman"/>
                      <w:color w:val="auto"/>
                      <w:spacing w:val="0"/>
                      <w:sz w:val="21"/>
                      <w:szCs w:val="21"/>
                      <w:vertAlign w:val="subscript"/>
                      <w:lang w:val="en-US" w:eastAsia="zh-CN"/>
                    </w:rPr>
                    <w:t>10</w:t>
                  </w:r>
                  <w:r>
                    <w:rPr>
                      <w:rFonts w:hint="eastAsia" w:ascii="Times New Roman" w:hAnsi="Times New Roman" w:eastAsia="宋体"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PM</w:t>
                  </w:r>
                  <w:r>
                    <w:rPr>
                      <w:rFonts w:hint="default" w:ascii="Times New Roman" w:hAnsi="Times New Roman" w:eastAsia="宋体" w:cs="Times New Roman"/>
                      <w:color w:val="auto"/>
                      <w:spacing w:val="0"/>
                      <w:sz w:val="21"/>
                      <w:szCs w:val="21"/>
                      <w:vertAlign w:val="subscript"/>
                      <w:lang w:val="en-US" w:eastAsia="zh-CN"/>
                    </w:rPr>
                    <w:t>2.5</w:t>
                  </w:r>
                  <w:r>
                    <w:rPr>
                      <w:rFonts w:hint="eastAsia" w:ascii="Times New Roman" w:hAnsi="Times New Roman" w:eastAsia="宋体" w:cs="Times New Roman"/>
                      <w:color w:val="auto"/>
                      <w:spacing w:val="0"/>
                      <w:sz w:val="21"/>
                      <w:szCs w:val="21"/>
                      <w:lang w:val="en-US" w:eastAsia="zh-CN"/>
                    </w:rPr>
                    <w:t xml:space="preserve">在线监测设备，并配备符合规范要求的监测系统软件。边界颗粒物浓度不高于 </w:t>
                  </w:r>
                  <w:r>
                    <w:rPr>
                      <w:rFonts w:hint="default" w:ascii="Times New Roman" w:hAnsi="Times New Roman" w:eastAsia="宋体" w:cs="Times New Roman"/>
                      <w:color w:val="auto"/>
                      <w:spacing w:val="0"/>
                      <w:sz w:val="21"/>
                      <w:szCs w:val="21"/>
                      <w:lang w:val="en-US" w:eastAsia="zh-CN"/>
                    </w:rPr>
                    <w:t>1mg/m</w:t>
                  </w:r>
                  <w:r>
                    <w:rPr>
                      <w:rFonts w:hint="eastAsia" w:ascii="Times New Roman" w:hAnsi="Times New Roman" w:eastAsia="宋体" w:cs="Times New Roman"/>
                      <w:color w:val="auto"/>
                      <w:spacing w:val="0"/>
                      <w:sz w:val="21"/>
                      <w:szCs w:val="21"/>
                      <w:vertAlign w:val="superscript"/>
                      <w:lang w:val="en-US" w:eastAsia="zh-CN"/>
                    </w:rPr>
                    <w:t>3</w:t>
                  </w:r>
                  <w:r>
                    <w:rPr>
                      <w:rFonts w:hint="eastAsia" w:ascii="Times New Roman" w:hAnsi="Times New Roman" w:eastAsia="宋体" w:cs="Times New Roman"/>
                      <w:color w:val="auto"/>
                      <w:spacing w:val="0"/>
                      <w:sz w:val="21"/>
                      <w:szCs w:val="21"/>
                      <w:lang w:val="en-US" w:eastAsia="zh-CN"/>
                    </w:rPr>
                    <w:t>。在厂区门口外墙上安装电子显示屏，实时发布厂区内在线监测主要污染物排放信息。</w:t>
                  </w:r>
                </w:p>
              </w:tc>
              <w:tc>
                <w:tcPr>
                  <w:tcW w:w="676" w:type="dxa"/>
                  <w:tcBorders>
                    <w:tl2br w:val="nil"/>
                    <w:tr2bl w:val="nil"/>
                  </w:tcBorders>
                  <w:noWrap w:val="0"/>
                  <w:vAlign w:val="center"/>
                </w:tcPr>
                <w:p w14:paraId="313506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39B9B0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7B429F7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1195" w:type="dxa"/>
                  <w:vMerge w:val="continue"/>
                  <w:tcBorders>
                    <w:tl2br w:val="nil"/>
                    <w:tr2bl w:val="nil"/>
                  </w:tcBorders>
                  <w:noWrap w:val="0"/>
                  <w:vAlign w:val="center"/>
                </w:tcPr>
                <w:p w14:paraId="7E6F1F5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7A758EB4">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firstLine="0" w:firstLineChars="0"/>
                    <w:jc w:val="both"/>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排放口设置规范化采样平台，采样点位置应严格满足《固定污染源烟气（SO</w:t>
                  </w:r>
                  <w:r>
                    <w:rPr>
                      <w:rFonts w:hint="eastAsia" w:ascii="Times New Roman" w:hAnsi="Times New Roman" w:eastAsia="宋体" w:cs="Times New Roman"/>
                      <w:color w:val="auto"/>
                      <w:spacing w:val="0"/>
                      <w:sz w:val="21"/>
                      <w:szCs w:val="21"/>
                      <w:vertAlign w:val="subscript"/>
                      <w:lang w:val="en-US" w:eastAsia="zh-CN"/>
                    </w:rPr>
                    <w:t>2</w:t>
                  </w:r>
                  <w:r>
                    <w:rPr>
                      <w:rFonts w:hint="eastAsia" w:ascii="Times New Roman" w:hAnsi="Times New Roman" w:eastAsia="宋体" w:cs="Times New Roman"/>
                      <w:color w:val="auto"/>
                      <w:spacing w:val="0"/>
                      <w:sz w:val="21"/>
                      <w:szCs w:val="21"/>
                      <w:lang w:val="en-US" w:eastAsia="zh-CN"/>
                    </w:rPr>
                    <w:t>、NO</w:t>
                  </w:r>
                  <w:r>
                    <w:rPr>
                      <w:rFonts w:hint="eastAsia" w:ascii="Times New Roman" w:hAnsi="Times New Roman" w:eastAsia="宋体" w:cs="Times New Roman"/>
                      <w:color w:val="auto"/>
                      <w:spacing w:val="0"/>
                      <w:sz w:val="21"/>
                      <w:szCs w:val="21"/>
                      <w:vertAlign w:val="subscript"/>
                      <w:lang w:val="en-US" w:eastAsia="zh-CN"/>
                    </w:rPr>
                    <w:t>X</w:t>
                  </w:r>
                  <w:r>
                    <w:rPr>
                      <w:rFonts w:hint="eastAsia" w:ascii="Times New Roman" w:hAnsi="Times New Roman" w:eastAsia="宋体" w:cs="Times New Roman"/>
                      <w:color w:val="auto"/>
                      <w:spacing w:val="0"/>
                      <w:sz w:val="21"/>
                      <w:szCs w:val="21"/>
                      <w:lang w:val="en-US" w:eastAsia="zh-CN"/>
                    </w:rPr>
                    <w:t>、颗粒物）排放连续监测技术规范》（HJ/75-2017代替HJ/T75-2007）标准。</w:t>
                  </w:r>
                </w:p>
              </w:tc>
              <w:tc>
                <w:tcPr>
                  <w:tcW w:w="3926" w:type="dxa"/>
                  <w:tcBorders>
                    <w:tl2br w:val="nil"/>
                    <w:tr2bl w:val="nil"/>
                  </w:tcBorders>
                  <w:noWrap w:val="0"/>
                  <w:vAlign w:val="center"/>
                </w:tcPr>
                <w:p w14:paraId="7DEFFCD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排放口规范化建设，设立规范化采样平台，采样点位置满足《固定污染源烟气（SO</w:t>
                  </w:r>
                  <w:r>
                    <w:rPr>
                      <w:rFonts w:hint="eastAsia" w:ascii="Times New Roman" w:hAnsi="Times New Roman" w:eastAsia="宋体" w:cs="Times New Roman"/>
                      <w:color w:val="auto"/>
                      <w:spacing w:val="0"/>
                      <w:sz w:val="21"/>
                      <w:szCs w:val="21"/>
                      <w:vertAlign w:val="subscript"/>
                      <w:lang w:val="en-US" w:eastAsia="zh-CN"/>
                    </w:rPr>
                    <w:t>2</w:t>
                  </w:r>
                  <w:r>
                    <w:rPr>
                      <w:rFonts w:hint="eastAsia" w:ascii="Times New Roman" w:hAnsi="Times New Roman" w:eastAsia="宋体" w:cs="Times New Roman"/>
                      <w:color w:val="auto"/>
                      <w:spacing w:val="0"/>
                      <w:sz w:val="21"/>
                      <w:szCs w:val="21"/>
                      <w:lang w:val="en-US" w:eastAsia="zh-CN"/>
                    </w:rPr>
                    <w:t>、NO</w:t>
                  </w:r>
                  <w:r>
                    <w:rPr>
                      <w:rFonts w:hint="eastAsia" w:ascii="Times New Roman" w:hAnsi="Times New Roman" w:eastAsia="宋体" w:cs="Times New Roman"/>
                      <w:color w:val="auto"/>
                      <w:spacing w:val="0"/>
                      <w:sz w:val="21"/>
                      <w:szCs w:val="21"/>
                      <w:vertAlign w:val="subscript"/>
                      <w:lang w:val="en-US" w:eastAsia="zh-CN"/>
                    </w:rPr>
                    <w:t>X</w:t>
                  </w:r>
                  <w:r>
                    <w:rPr>
                      <w:rFonts w:hint="eastAsia" w:ascii="Times New Roman" w:hAnsi="Times New Roman" w:eastAsia="宋体" w:cs="Times New Roman"/>
                      <w:color w:val="auto"/>
                      <w:spacing w:val="0"/>
                      <w:sz w:val="21"/>
                      <w:szCs w:val="21"/>
                      <w:lang w:val="en-US" w:eastAsia="zh-CN"/>
                    </w:rPr>
                    <w:t>、颗粒物）排放连续监测技术规范》（HJ/75-2017）标准。</w:t>
                  </w:r>
                </w:p>
              </w:tc>
              <w:tc>
                <w:tcPr>
                  <w:tcW w:w="676" w:type="dxa"/>
                  <w:tcBorders>
                    <w:tl2br w:val="nil"/>
                    <w:tr2bl w:val="nil"/>
                  </w:tcBorders>
                  <w:noWrap w:val="0"/>
                  <w:vAlign w:val="center"/>
                </w:tcPr>
                <w:p w14:paraId="628647A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zh-TW"/>
                    </w:rPr>
                    <w:t>符合</w:t>
                  </w:r>
                </w:p>
              </w:tc>
            </w:tr>
            <w:tr w14:paraId="0DCC840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046297D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195" w:type="dxa"/>
                  <w:vMerge w:val="continue"/>
                  <w:tcBorders>
                    <w:tl2br w:val="nil"/>
                    <w:tr2bl w:val="nil"/>
                  </w:tcBorders>
                  <w:noWrap w:val="0"/>
                  <w:vAlign w:val="center"/>
                </w:tcPr>
                <w:p w14:paraId="76B774F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3585894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生产车间及厂区内安装高清视频监控设施，视频监控系统数据保存6个月以上，并与滦州市生态环境事务中心联网，污染治理设施安装分表计电设施</w:t>
                  </w:r>
                </w:p>
              </w:tc>
              <w:tc>
                <w:tcPr>
                  <w:tcW w:w="3926" w:type="dxa"/>
                  <w:tcBorders>
                    <w:tl2br w:val="nil"/>
                    <w:tr2bl w:val="nil"/>
                  </w:tcBorders>
                  <w:noWrap w:val="0"/>
                  <w:vAlign w:val="center"/>
                </w:tcPr>
                <w:p w14:paraId="16ABC3A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本项目在车间</w:t>
                  </w:r>
                  <w:r>
                    <w:rPr>
                      <w:rFonts w:hint="eastAsia" w:cs="Times New Roman"/>
                      <w:color w:val="auto"/>
                      <w:spacing w:val="0"/>
                      <w:sz w:val="21"/>
                      <w:szCs w:val="21"/>
                      <w:lang w:val="en-US" w:eastAsia="zh-CN"/>
                    </w:rPr>
                    <w:t>内</w:t>
                  </w:r>
                  <w:r>
                    <w:rPr>
                      <w:rFonts w:hint="eastAsia" w:ascii="Times New Roman" w:hAnsi="Times New Roman" w:eastAsia="宋体" w:cs="Times New Roman"/>
                      <w:color w:val="auto"/>
                      <w:spacing w:val="0"/>
                      <w:sz w:val="21"/>
                      <w:szCs w:val="21"/>
                      <w:lang w:val="en-US" w:eastAsia="zh-CN"/>
                    </w:rPr>
                    <w:t>安装视频监控、并联网，并保留资料</w:t>
                  </w:r>
                  <w:r>
                    <w:rPr>
                      <w:rFonts w:hint="eastAsia" w:cs="Times New Roman"/>
                      <w:color w:val="auto"/>
                      <w:spacing w:val="0"/>
                      <w:sz w:val="21"/>
                      <w:szCs w:val="21"/>
                      <w:lang w:val="en-US" w:eastAsia="zh-CN"/>
                    </w:rPr>
                    <w:t>六</w:t>
                  </w:r>
                  <w:r>
                    <w:rPr>
                      <w:rFonts w:hint="eastAsia" w:ascii="Times New Roman" w:hAnsi="Times New Roman" w:eastAsia="宋体" w:cs="Times New Roman"/>
                      <w:color w:val="auto"/>
                      <w:spacing w:val="0"/>
                      <w:sz w:val="21"/>
                      <w:szCs w:val="21"/>
                      <w:lang w:val="en-US" w:eastAsia="zh-CN"/>
                    </w:rPr>
                    <w:t>个月以上。污染治理设施安装分表计电设施</w:t>
                  </w:r>
                </w:p>
              </w:tc>
              <w:tc>
                <w:tcPr>
                  <w:tcW w:w="676" w:type="dxa"/>
                  <w:tcBorders>
                    <w:tl2br w:val="nil"/>
                    <w:tr2bl w:val="nil"/>
                  </w:tcBorders>
                  <w:noWrap w:val="0"/>
                  <w:vAlign w:val="center"/>
                </w:tcPr>
                <w:p w14:paraId="3EC34D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zh-TW" w:eastAsia="zh-CN" w:bidi="ar-SA"/>
                    </w:rPr>
                  </w:pPr>
                  <w:r>
                    <w:rPr>
                      <w:rFonts w:hint="eastAsia" w:ascii="Times New Roman" w:hAnsi="Times New Roman" w:eastAsia="宋体" w:cs="Times New Roman"/>
                      <w:color w:val="auto"/>
                      <w:spacing w:val="0"/>
                      <w:sz w:val="21"/>
                      <w:szCs w:val="21"/>
                      <w:lang w:val="zh-TW"/>
                    </w:rPr>
                    <w:t>符合</w:t>
                  </w:r>
                </w:p>
              </w:tc>
            </w:tr>
            <w:tr w14:paraId="7C95E5C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restart"/>
                  <w:tcBorders>
                    <w:tl2br w:val="nil"/>
                    <w:tr2bl w:val="nil"/>
                  </w:tcBorders>
                  <w:noWrap w:val="0"/>
                  <w:vAlign w:val="center"/>
                </w:tcPr>
                <w:p w14:paraId="41BD306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7</w:t>
                  </w:r>
                </w:p>
              </w:tc>
              <w:tc>
                <w:tcPr>
                  <w:tcW w:w="1195" w:type="dxa"/>
                  <w:vMerge w:val="restart"/>
                  <w:tcBorders>
                    <w:tl2br w:val="nil"/>
                    <w:tr2bl w:val="nil"/>
                  </w:tcBorders>
                  <w:noWrap w:val="0"/>
                  <w:vAlign w:val="center"/>
                </w:tcPr>
                <w:p w14:paraId="67DE6FC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厂容厂貌及环境管理要求</w:t>
                  </w:r>
                </w:p>
              </w:tc>
              <w:tc>
                <w:tcPr>
                  <w:tcW w:w="6133" w:type="dxa"/>
                  <w:tcBorders>
                    <w:tl2br w:val="nil"/>
                    <w:tr2bl w:val="nil"/>
                  </w:tcBorders>
                  <w:noWrap w:val="0"/>
                  <w:vAlign w:val="center"/>
                </w:tcPr>
                <w:p w14:paraId="5E46A11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厂区实现“非硬即绿”，路面硬化无破损，配备湿扫车辆及时对厂区进行保洁。</w:t>
                  </w:r>
                </w:p>
              </w:tc>
              <w:tc>
                <w:tcPr>
                  <w:tcW w:w="3926" w:type="dxa"/>
                  <w:vMerge w:val="restart"/>
                  <w:tcBorders>
                    <w:tl2br w:val="nil"/>
                    <w:tr2bl w:val="nil"/>
                  </w:tcBorders>
                  <w:noWrap w:val="0"/>
                  <w:vAlign w:val="center"/>
                </w:tcPr>
                <w:p w14:paraId="13B7015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厂区出入口至主干道道路、厂区内路面全部硬化、无破损，厂区实现“非硬即绿”</w:t>
                  </w:r>
                  <w:r>
                    <w:rPr>
                      <w:rFonts w:hint="eastAsia" w:ascii="Times New Roman" w:hAnsi="Times New Roman" w:eastAsia="宋体" w:cs="Times New Roman"/>
                      <w:color w:val="auto"/>
                      <w:spacing w:val="0"/>
                      <w:sz w:val="21"/>
                      <w:szCs w:val="21"/>
                      <w:lang w:val="zh-CN"/>
                    </w:rPr>
                    <w:t>。配备湿扫车辆，每天加强对厂区湿扫、洒水。</w:t>
                  </w:r>
                </w:p>
              </w:tc>
              <w:tc>
                <w:tcPr>
                  <w:tcW w:w="676" w:type="dxa"/>
                  <w:vMerge w:val="restart"/>
                  <w:tcBorders>
                    <w:tl2br w:val="nil"/>
                    <w:tr2bl w:val="nil"/>
                  </w:tcBorders>
                  <w:noWrap w:val="0"/>
                  <w:vAlign w:val="center"/>
                </w:tcPr>
                <w:p w14:paraId="3E97E38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符合</w:t>
                  </w:r>
                </w:p>
              </w:tc>
            </w:tr>
            <w:tr w14:paraId="12BC43D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76748EC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1195" w:type="dxa"/>
                  <w:vMerge w:val="continue"/>
                  <w:tcBorders>
                    <w:tl2br w:val="nil"/>
                    <w:tr2bl w:val="nil"/>
                  </w:tcBorders>
                  <w:noWrap w:val="0"/>
                  <w:vAlign w:val="center"/>
                </w:tcPr>
                <w:p w14:paraId="0E81B13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34E974D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厂区至公路路网运输的道路全部硬化。路面不间断清扫保洁、洒水抑尘，保持路面整洁、湿润不起尘，有效防止运输环节扬尘污染。</w:t>
                  </w:r>
                </w:p>
              </w:tc>
              <w:tc>
                <w:tcPr>
                  <w:tcW w:w="3926" w:type="dxa"/>
                  <w:vMerge w:val="continue"/>
                  <w:tcBorders>
                    <w:tl2br w:val="nil"/>
                    <w:tr2bl w:val="nil"/>
                  </w:tcBorders>
                  <w:noWrap w:val="0"/>
                  <w:vAlign w:val="center"/>
                </w:tcPr>
                <w:p w14:paraId="38C6F5B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p>
              </w:tc>
              <w:tc>
                <w:tcPr>
                  <w:tcW w:w="676" w:type="dxa"/>
                  <w:vMerge w:val="continue"/>
                  <w:tcBorders>
                    <w:tl2br w:val="nil"/>
                    <w:tr2bl w:val="nil"/>
                  </w:tcBorders>
                  <w:noWrap w:val="0"/>
                  <w:vAlign w:val="center"/>
                </w:tcPr>
                <w:p w14:paraId="7E7E39F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p>
              </w:tc>
            </w:tr>
            <w:tr w14:paraId="3CC43A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01AA652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195" w:type="dxa"/>
                  <w:vMerge w:val="continue"/>
                  <w:tcBorders>
                    <w:tl2br w:val="nil"/>
                    <w:tr2bl w:val="nil"/>
                  </w:tcBorders>
                  <w:noWrap w:val="0"/>
                  <w:vAlign w:val="center"/>
                </w:tcPr>
                <w:p w14:paraId="3F04728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6ED9440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厂区出入口或料棚出入口，安装运输车辆侧向全覆盖式强制喷淋清洗设施，长度不少于6米、高度不低于2.5米，地面至少设置一排花式喷射喷头。洗车平台四周应设置防溢座，洗车过程中产生的废水经沉淀池沉淀后流入清水池回用。废水收集池采用混凝土结构，经防渗处理，抗渗系数≤1</w:t>
                  </w:r>
                  <w:r>
                    <w:rPr>
                      <w:rFonts w:hint="default" w:ascii="Times New Roman" w:hAnsi="Times New Roman"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lang w:val="en-US" w:eastAsia="zh-CN"/>
                    </w:rPr>
                    <w:t>10</w:t>
                  </w:r>
                  <w:r>
                    <w:rPr>
                      <w:rFonts w:hint="eastAsia" w:ascii="Times New Roman" w:hAnsi="Times New Roman" w:eastAsia="宋体" w:cs="Times New Roman"/>
                      <w:color w:val="auto"/>
                      <w:spacing w:val="0"/>
                      <w:sz w:val="21"/>
                      <w:szCs w:val="21"/>
                      <w:vertAlign w:val="superscript"/>
                      <w:lang w:val="en-US" w:eastAsia="zh-CN"/>
                    </w:rPr>
                    <w:t>-7</w:t>
                  </w:r>
                  <w:r>
                    <w:rPr>
                      <w:rFonts w:hint="eastAsia" w:ascii="Times New Roman" w:hAnsi="Times New Roman" w:eastAsia="宋体" w:cs="Times New Roman"/>
                      <w:color w:val="auto"/>
                      <w:spacing w:val="0"/>
                      <w:sz w:val="21"/>
                      <w:szCs w:val="21"/>
                      <w:vertAlign w:val="baseline"/>
                      <w:lang w:val="en-US" w:eastAsia="zh-CN"/>
                    </w:rPr>
                    <w:t>c</w:t>
                  </w:r>
                  <w:r>
                    <w:rPr>
                      <w:rFonts w:hint="eastAsia" w:ascii="Times New Roman" w:hAnsi="Times New Roman" w:eastAsia="宋体" w:cs="Times New Roman"/>
                      <w:color w:val="auto"/>
                      <w:spacing w:val="0"/>
                      <w:sz w:val="21"/>
                      <w:szCs w:val="21"/>
                      <w:lang w:val="en-US" w:eastAsia="zh-CN"/>
                    </w:rPr>
                    <w:t>m/s。洗车平台应低于地面（呈斜坡状）清洗完成后车辆应在洗车内短暂停留避免因车身带水过多造成道路湿滑和冬季积水结冰等安全隐患。喷淋设施应充分考虑冷冻期结冰问题，冲洗介质可使用温水、添加防冻物质等有效防冻措施，冲洗水循环利用，不外排。</w:t>
                  </w:r>
                </w:p>
              </w:tc>
              <w:tc>
                <w:tcPr>
                  <w:tcW w:w="3926" w:type="dxa"/>
                  <w:tcBorders>
                    <w:tl2br w:val="nil"/>
                    <w:tr2bl w:val="nil"/>
                  </w:tcBorders>
                  <w:noWrap w:val="0"/>
                  <w:vAlign w:val="center"/>
                </w:tcPr>
                <w:p w14:paraId="323789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highlight w:val="none"/>
                      <w:lang w:val="en-US" w:eastAsia="zh-CN"/>
                    </w:rPr>
                    <w:t>厂区</w:t>
                  </w:r>
                  <w:r>
                    <w:rPr>
                      <w:rFonts w:hint="eastAsia" w:cs="Times New Roman"/>
                      <w:color w:val="auto"/>
                      <w:spacing w:val="0"/>
                      <w:sz w:val="21"/>
                      <w:szCs w:val="21"/>
                      <w:highlight w:val="none"/>
                      <w:lang w:val="en-US" w:eastAsia="zh-CN"/>
                    </w:rPr>
                    <w:t>出</w:t>
                  </w:r>
                  <w:r>
                    <w:rPr>
                      <w:rFonts w:hint="eastAsia" w:ascii="Times New Roman" w:hAnsi="Times New Roman" w:eastAsia="宋体" w:cs="Times New Roman"/>
                      <w:color w:val="auto"/>
                      <w:spacing w:val="0"/>
                      <w:sz w:val="21"/>
                      <w:szCs w:val="21"/>
                      <w:highlight w:val="none"/>
                      <w:lang w:val="en-US" w:eastAsia="zh-CN"/>
                    </w:rPr>
                    <w:t>入口设置洗车</w:t>
                  </w:r>
                  <w:r>
                    <w:rPr>
                      <w:rFonts w:hint="eastAsia" w:cs="Times New Roman"/>
                      <w:color w:val="auto"/>
                      <w:spacing w:val="0"/>
                      <w:sz w:val="21"/>
                      <w:szCs w:val="21"/>
                      <w:highlight w:val="none"/>
                      <w:lang w:val="en-US" w:eastAsia="zh-CN"/>
                    </w:rPr>
                    <w:t>平台</w:t>
                  </w:r>
                  <w:r>
                    <w:rPr>
                      <w:rFonts w:hint="eastAsia" w:ascii="Times New Roman" w:hAnsi="Times New Roman" w:eastAsia="宋体" w:cs="Times New Roman"/>
                      <w:color w:val="auto"/>
                      <w:spacing w:val="0"/>
                      <w:sz w:val="21"/>
                      <w:szCs w:val="21"/>
                      <w:highlight w:val="none"/>
                      <w:lang w:val="en-US" w:eastAsia="zh-CN"/>
                    </w:rPr>
                    <w:t>，用于对货运车辆的清洗，</w:t>
                  </w:r>
                  <w:r>
                    <w:rPr>
                      <w:rFonts w:hint="eastAsia" w:ascii="Times New Roman" w:hAnsi="Times New Roman" w:eastAsia="宋体" w:cs="Times New Roman"/>
                      <w:color w:val="auto"/>
                      <w:spacing w:val="0"/>
                      <w:sz w:val="21"/>
                      <w:szCs w:val="21"/>
                    </w:rPr>
                    <w:t>长度6米、高度2.5米</w:t>
                  </w:r>
                  <w:r>
                    <w:rPr>
                      <w:rFonts w:hint="eastAsia"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rPr>
                    <w:t>地面设置</w:t>
                  </w:r>
                  <w:r>
                    <w:rPr>
                      <w:rFonts w:hint="eastAsia" w:ascii="Times New Roman" w:hAnsi="Times New Roman" w:eastAsia="宋体" w:cs="Times New Roman"/>
                      <w:color w:val="auto"/>
                      <w:spacing w:val="0"/>
                      <w:sz w:val="21"/>
                      <w:szCs w:val="21"/>
                      <w:lang w:eastAsia="zh-CN"/>
                    </w:rPr>
                    <w:t>多</w:t>
                  </w:r>
                  <w:r>
                    <w:rPr>
                      <w:rFonts w:hint="eastAsia" w:ascii="Times New Roman" w:hAnsi="Times New Roman" w:eastAsia="宋体" w:cs="Times New Roman"/>
                      <w:color w:val="auto"/>
                      <w:spacing w:val="0"/>
                      <w:sz w:val="21"/>
                      <w:szCs w:val="21"/>
                    </w:rPr>
                    <w:t>排花式喷射喷头</w:t>
                  </w:r>
                  <w:r>
                    <w:rPr>
                      <w:rFonts w:hint="eastAsia" w:ascii="Times New Roman" w:hAnsi="Times New Roman" w:eastAsia="宋体" w:cs="Times New Roman"/>
                      <w:color w:val="auto"/>
                      <w:spacing w:val="0"/>
                      <w:sz w:val="21"/>
                      <w:szCs w:val="21"/>
                      <w:lang w:eastAsia="zh-CN"/>
                    </w:rPr>
                    <w:t>，</w:t>
                  </w:r>
                  <w:r>
                    <w:rPr>
                      <w:rFonts w:hint="eastAsia" w:cs="Times New Roman"/>
                      <w:color w:val="auto"/>
                      <w:spacing w:val="0"/>
                      <w:sz w:val="21"/>
                      <w:szCs w:val="21"/>
                      <w:highlight w:val="none"/>
                      <w:lang w:val="en-US" w:eastAsia="zh-CN"/>
                    </w:rPr>
                    <w:t>洗车平台</w:t>
                  </w:r>
                  <w:r>
                    <w:rPr>
                      <w:rFonts w:hint="eastAsia" w:ascii="Times New Roman" w:hAnsi="Times New Roman" w:eastAsia="宋体" w:cs="Times New Roman"/>
                      <w:color w:val="auto"/>
                      <w:spacing w:val="0"/>
                      <w:sz w:val="21"/>
                      <w:szCs w:val="21"/>
                      <w:highlight w:val="none"/>
                      <w:lang w:val="en-US" w:eastAsia="zh-CN"/>
                    </w:rPr>
                    <w:t>冲</w:t>
                  </w:r>
                  <w:r>
                    <w:rPr>
                      <w:rFonts w:hint="eastAsia" w:ascii="Times New Roman" w:hAnsi="Times New Roman" w:cs="Times New Roman"/>
                      <w:color w:val="auto"/>
                      <w:spacing w:val="0"/>
                      <w:sz w:val="21"/>
                      <w:szCs w:val="21"/>
                      <w:highlight w:val="none"/>
                      <w:lang w:val="en-US" w:eastAsia="zh-CN"/>
                    </w:rPr>
                    <w:t>洗介质使用温水、添加防冻物质等有效防冻措施；冲洗水循环利用，不外排。</w:t>
                  </w:r>
                </w:p>
              </w:tc>
              <w:tc>
                <w:tcPr>
                  <w:tcW w:w="676" w:type="dxa"/>
                  <w:tcBorders>
                    <w:tl2br w:val="nil"/>
                    <w:tr2bl w:val="nil"/>
                  </w:tcBorders>
                  <w:noWrap w:val="0"/>
                  <w:vAlign w:val="center"/>
                </w:tcPr>
                <w:p w14:paraId="006814F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zh-TW"/>
                    </w:rPr>
                  </w:pPr>
                  <w:r>
                    <w:rPr>
                      <w:rFonts w:hint="eastAsia" w:ascii="Times New Roman" w:hAnsi="Times New Roman" w:eastAsia="宋体" w:cs="Times New Roman"/>
                      <w:color w:val="auto"/>
                      <w:spacing w:val="0"/>
                      <w:sz w:val="21"/>
                      <w:szCs w:val="21"/>
                      <w:lang w:val="en-US" w:eastAsia="zh-CN"/>
                    </w:rPr>
                    <w:t>符合</w:t>
                  </w:r>
                </w:p>
              </w:tc>
            </w:tr>
            <w:tr w14:paraId="1AEBB8F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0CABBD6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8</w:t>
                  </w:r>
                </w:p>
              </w:tc>
              <w:tc>
                <w:tcPr>
                  <w:tcW w:w="1195" w:type="dxa"/>
                  <w:tcBorders>
                    <w:tl2br w:val="nil"/>
                    <w:tr2bl w:val="nil"/>
                  </w:tcBorders>
                  <w:noWrap w:val="0"/>
                  <w:vAlign w:val="center"/>
                </w:tcPr>
                <w:p w14:paraId="7BD7746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运输方式和运输监管</w:t>
                  </w:r>
                </w:p>
              </w:tc>
              <w:tc>
                <w:tcPr>
                  <w:tcW w:w="6133" w:type="dxa"/>
                  <w:tcBorders>
                    <w:tl2br w:val="nil"/>
                    <w:tr2bl w:val="nil"/>
                  </w:tcBorders>
                  <w:noWrap w:val="0"/>
                  <w:vAlign w:val="center"/>
                </w:tcPr>
                <w:p w14:paraId="5288486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各企业参照《重污染天气重点行业移动源应急管理技术指南》建立门禁系统和电子台账。厂区所有车辆出入口全部安装重型货车门禁系统，运输车辆全部使用国五及以上排放标准(含燃气)或新能源车辆，严禁私开偏门进行车辆运输。厂内非道路移动机械全部使用经环保登记管理及备案的国三及以上排放标准或新能源机械。</w:t>
                  </w:r>
                </w:p>
              </w:tc>
              <w:tc>
                <w:tcPr>
                  <w:tcW w:w="3926" w:type="dxa"/>
                  <w:tcBorders>
                    <w:tl2br w:val="nil"/>
                    <w:tr2bl w:val="nil"/>
                  </w:tcBorders>
                  <w:noWrap w:val="0"/>
                  <w:vAlign w:val="center"/>
                </w:tcPr>
                <w:p w14:paraId="307F958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eastAsia="zh-CN"/>
                    </w:rPr>
                    <w:t>项目</w:t>
                  </w:r>
                  <w:r>
                    <w:rPr>
                      <w:rFonts w:hint="eastAsia" w:ascii="Times New Roman" w:hAnsi="Times New Roman" w:eastAsia="宋体" w:cs="Times New Roman"/>
                      <w:color w:val="auto"/>
                      <w:spacing w:val="0"/>
                      <w:sz w:val="21"/>
                      <w:szCs w:val="21"/>
                      <w:lang w:val="en-US" w:eastAsia="zh-CN"/>
                    </w:rPr>
                    <w:t>建立门禁系统和电子台账</w:t>
                  </w:r>
                  <w:r>
                    <w:rPr>
                      <w:rFonts w:hint="eastAsia" w:ascii="Times New Roman" w:hAnsi="Times New Roman" w:eastAsia="宋体" w:cs="Times New Roman"/>
                      <w:color w:val="auto"/>
                      <w:spacing w:val="0"/>
                      <w:sz w:val="21"/>
                      <w:szCs w:val="21"/>
                    </w:rPr>
                    <w:t>物料</w:t>
                  </w:r>
                  <w:r>
                    <w:rPr>
                      <w:rFonts w:hint="eastAsia" w:ascii="Times New Roman" w:hAnsi="Times New Roman" w:eastAsia="宋体" w:cs="Times New Roman"/>
                      <w:color w:val="auto"/>
                      <w:spacing w:val="0"/>
                      <w:sz w:val="21"/>
                      <w:szCs w:val="21"/>
                      <w:lang w:eastAsia="zh-CN"/>
                    </w:rPr>
                    <w:t>。</w:t>
                  </w:r>
                  <w:r>
                    <w:rPr>
                      <w:rFonts w:hint="eastAsia" w:ascii="Times New Roman" w:hAnsi="Times New Roman" w:eastAsia="宋体" w:cs="Times New Roman"/>
                      <w:color w:val="auto"/>
                      <w:spacing w:val="0"/>
                      <w:sz w:val="21"/>
                      <w:szCs w:val="21"/>
                    </w:rPr>
                    <w:t>公路运输全部使用国五及以上排放标准重型载货车辆（含燃气）或新能源车辆；厂内运输车辆全部使用国五及以上排放标准（含燃气）或使用新能源车辆</w:t>
                  </w:r>
                  <w:r>
                    <w:rPr>
                      <w:rFonts w:hint="eastAsia" w:ascii="Times New Roman" w:hAnsi="Times New Roman" w:eastAsia="宋体" w:cs="Times New Roman"/>
                      <w:color w:val="auto"/>
                      <w:spacing w:val="0"/>
                      <w:sz w:val="21"/>
                      <w:szCs w:val="21"/>
                      <w:lang w:eastAsia="zh-CN"/>
                    </w:rPr>
                    <w:t>，</w:t>
                  </w:r>
                  <w:r>
                    <w:rPr>
                      <w:rFonts w:hint="eastAsia" w:ascii="Times New Roman" w:hAnsi="Times New Roman" w:eastAsia="宋体" w:cs="Times New Roman"/>
                      <w:color w:val="auto"/>
                      <w:spacing w:val="0"/>
                      <w:sz w:val="21"/>
                      <w:szCs w:val="21"/>
                    </w:rPr>
                    <w:t>厂内非道路移动机械全部使用国三及以上排放标准或新能源机械</w:t>
                  </w:r>
                  <w:r>
                    <w:rPr>
                      <w:rFonts w:hint="eastAsia" w:ascii="Times New Roman" w:hAnsi="Times New Roman" w:eastAsia="宋体" w:cs="Times New Roman"/>
                      <w:color w:val="auto"/>
                      <w:spacing w:val="0"/>
                      <w:sz w:val="21"/>
                      <w:szCs w:val="21"/>
                      <w:lang w:eastAsia="zh-CN"/>
                    </w:rPr>
                    <w:t>，</w:t>
                  </w:r>
                  <w:r>
                    <w:rPr>
                      <w:rFonts w:hint="eastAsia" w:ascii="Times New Roman" w:hAnsi="Times New Roman" w:eastAsia="宋体" w:cs="Times New Roman"/>
                      <w:color w:val="auto"/>
                      <w:spacing w:val="0"/>
                      <w:sz w:val="21"/>
                      <w:szCs w:val="21"/>
                    </w:rPr>
                    <w:t>厂区内所有燃油非道路移动机械</w:t>
                  </w:r>
                  <w:r>
                    <w:rPr>
                      <w:rFonts w:hint="eastAsia" w:ascii="Times New Roman" w:hAnsi="Times New Roman" w:eastAsia="宋体" w:cs="Times New Roman"/>
                      <w:color w:val="auto"/>
                      <w:spacing w:val="0"/>
                      <w:sz w:val="21"/>
                      <w:szCs w:val="21"/>
                      <w:lang w:eastAsia="zh-CN"/>
                    </w:rPr>
                    <w:t>按要求</w:t>
                  </w:r>
                  <w:r>
                    <w:rPr>
                      <w:rFonts w:hint="eastAsia" w:ascii="Times New Roman" w:hAnsi="Times New Roman" w:eastAsia="宋体" w:cs="Times New Roman"/>
                      <w:color w:val="auto"/>
                      <w:spacing w:val="0"/>
                      <w:sz w:val="21"/>
                      <w:szCs w:val="21"/>
                    </w:rPr>
                    <w:t>进行环保登记备案管理，防止尾气超标污染。</w:t>
                  </w:r>
                </w:p>
              </w:tc>
              <w:tc>
                <w:tcPr>
                  <w:tcW w:w="676" w:type="dxa"/>
                  <w:tcBorders>
                    <w:tl2br w:val="nil"/>
                    <w:tr2bl w:val="nil"/>
                  </w:tcBorders>
                  <w:noWrap w:val="0"/>
                  <w:vAlign w:val="center"/>
                </w:tcPr>
                <w:p w14:paraId="1C37941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zh-TW"/>
                    </w:rPr>
                    <w:t>符合</w:t>
                  </w:r>
                </w:p>
              </w:tc>
            </w:tr>
            <w:tr w14:paraId="52245D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6C72857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9</w:t>
                  </w:r>
                </w:p>
              </w:tc>
              <w:tc>
                <w:tcPr>
                  <w:tcW w:w="1195" w:type="dxa"/>
                  <w:tcBorders>
                    <w:tl2br w:val="nil"/>
                    <w:tr2bl w:val="nil"/>
                  </w:tcBorders>
                  <w:noWrap w:val="0"/>
                  <w:vAlign w:val="center"/>
                </w:tcPr>
                <w:p w14:paraId="065DFC9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危险废物储存及管理</w:t>
                  </w:r>
                </w:p>
              </w:tc>
              <w:tc>
                <w:tcPr>
                  <w:tcW w:w="6133" w:type="dxa"/>
                  <w:tcBorders>
                    <w:tl2br w:val="nil"/>
                    <w:tr2bl w:val="nil"/>
                  </w:tcBorders>
                  <w:noWrap w:val="0"/>
                  <w:vAlign w:val="center"/>
                </w:tcPr>
                <w:p w14:paraId="41E51FD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危废间应满足“四防”（防风、防雨、防晒、防渗漏）标准，地面与裙角要用坚固防渗的材料建造，用以存放装载液体半固体危废容器的地方必须有耐腐蚀的硬化地面，达到环保要求。危废间设立危险废物警示标志并建立健全危废管理制度，由专人进行管理，做好危险废物处置记录</w:t>
                  </w:r>
                </w:p>
              </w:tc>
              <w:tc>
                <w:tcPr>
                  <w:tcW w:w="3926" w:type="dxa"/>
                  <w:tcBorders>
                    <w:tl2br w:val="nil"/>
                    <w:tr2bl w:val="nil"/>
                  </w:tcBorders>
                  <w:noWrap w:val="0"/>
                  <w:vAlign w:val="center"/>
                </w:tcPr>
                <w:p w14:paraId="5A3CBC2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危废间建设符合</w:t>
                  </w:r>
                  <w:r>
                    <w:rPr>
                      <w:rFonts w:hint="default" w:ascii="Times New Roman" w:hAnsi="Times New Roman" w:eastAsia="宋体" w:cs="Times New Roman"/>
                      <w:color w:val="auto"/>
                      <w:spacing w:val="0"/>
                      <w:sz w:val="21"/>
                      <w:szCs w:val="21"/>
                      <w:lang w:val="en-US" w:eastAsia="zh-CN"/>
                    </w:rPr>
                    <w:t>《危险废物贮存污染控制标准》</w:t>
                  </w:r>
                  <w:r>
                    <w:rPr>
                      <w:rFonts w:hint="eastAsia" w:ascii="Times New Roman" w:hAnsi="Times New Roman" w:eastAsia="宋体" w:cs="Times New Roman"/>
                      <w:color w:val="auto"/>
                      <w:spacing w:val="0"/>
                      <w:sz w:val="21"/>
                      <w:szCs w:val="21"/>
                      <w:lang w:val="en-US" w:eastAsia="zh-CN"/>
                    </w:rPr>
                    <w:t>的要求。危废间设立危险废物警示标志并建立健全危废管理制度，由专人进行管理，做好危险废物处置记录.</w:t>
                  </w:r>
                </w:p>
              </w:tc>
              <w:tc>
                <w:tcPr>
                  <w:tcW w:w="676" w:type="dxa"/>
                  <w:tcBorders>
                    <w:tl2br w:val="nil"/>
                    <w:tr2bl w:val="nil"/>
                  </w:tcBorders>
                  <w:noWrap w:val="0"/>
                  <w:vAlign w:val="center"/>
                </w:tcPr>
                <w:p w14:paraId="3FD479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zh-TW"/>
                    </w:rPr>
                    <w:t>符合</w:t>
                  </w:r>
                </w:p>
              </w:tc>
            </w:tr>
            <w:tr w14:paraId="72E12B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restart"/>
                  <w:tcBorders>
                    <w:tl2br w:val="nil"/>
                    <w:tr2bl w:val="nil"/>
                  </w:tcBorders>
                  <w:noWrap w:val="0"/>
                  <w:vAlign w:val="center"/>
                </w:tcPr>
                <w:p w14:paraId="2219EF2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10</w:t>
                  </w:r>
                </w:p>
              </w:tc>
              <w:tc>
                <w:tcPr>
                  <w:tcW w:w="1195" w:type="dxa"/>
                  <w:vMerge w:val="restart"/>
                  <w:tcBorders>
                    <w:tl2br w:val="nil"/>
                    <w:tr2bl w:val="nil"/>
                  </w:tcBorders>
                  <w:noWrap w:val="0"/>
                  <w:vAlign w:val="center"/>
                </w:tcPr>
                <w:p w14:paraId="27728D3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其他</w:t>
                  </w:r>
                </w:p>
              </w:tc>
              <w:tc>
                <w:tcPr>
                  <w:tcW w:w="6133" w:type="dxa"/>
                  <w:tcBorders>
                    <w:tl2br w:val="nil"/>
                    <w:tr2bl w:val="nil"/>
                  </w:tcBorders>
                  <w:noWrap w:val="0"/>
                  <w:vAlign w:val="center"/>
                </w:tcPr>
                <w:p w14:paraId="08040EB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排气简高度应不低于15米。</w:t>
                  </w:r>
                </w:p>
              </w:tc>
              <w:tc>
                <w:tcPr>
                  <w:tcW w:w="3926" w:type="dxa"/>
                  <w:tcBorders>
                    <w:tl2br w:val="nil"/>
                    <w:tr2bl w:val="nil"/>
                  </w:tcBorders>
                  <w:noWrap w:val="0"/>
                  <w:vAlign w:val="center"/>
                </w:tcPr>
                <w:p w14:paraId="546E683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排气简高度15米。</w:t>
                  </w:r>
                </w:p>
              </w:tc>
              <w:tc>
                <w:tcPr>
                  <w:tcW w:w="676" w:type="dxa"/>
                  <w:tcBorders>
                    <w:tl2br w:val="nil"/>
                    <w:tr2bl w:val="nil"/>
                  </w:tcBorders>
                  <w:noWrap w:val="0"/>
                  <w:vAlign w:val="center"/>
                </w:tcPr>
                <w:p w14:paraId="7087BD9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zh-TW"/>
                    </w:rPr>
                    <w:t>符合</w:t>
                  </w:r>
                </w:p>
              </w:tc>
            </w:tr>
            <w:tr w14:paraId="67AE2D1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776A57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195" w:type="dxa"/>
                  <w:vMerge w:val="continue"/>
                  <w:tcBorders>
                    <w:tl2br w:val="nil"/>
                    <w:tr2bl w:val="nil"/>
                  </w:tcBorders>
                  <w:noWrap w:val="0"/>
                  <w:vAlign w:val="center"/>
                </w:tcPr>
                <w:p w14:paraId="4E00F39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7158E40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排污口规范化建设，设置明显标识，注明排污口编号、污染物排放种类、排放浓度等相关信息。</w:t>
                  </w:r>
                </w:p>
              </w:tc>
              <w:tc>
                <w:tcPr>
                  <w:tcW w:w="3926" w:type="dxa"/>
                  <w:tcBorders>
                    <w:tl2br w:val="nil"/>
                    <w:tr2bl w:val="nil"/>
                  </w:tcBorders>
                  <w:noWrap w:val="0"/>
                  <w:vAlign w:val="center"/>
                </w:tcPr>
                <w:p w14:paraId="2904A2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排污口规范化建设，设置明显标识，注明排污口编号、污染物排放种类、排放浓度等相关信息。</w:t>
                  </w:r>
                </w:p>
              </w:tc>
              <w:tc>
                <w:tcPr>
                  <w:tcW w:w="676" w:type="dxa"/>
                  <w:tcBorders>
                    <w:tl2br w:val="nil"/>
                    <w:tr2bl w:val="nil"/>
                  </w:tcBorders>
                  <w:noWrap w:val="0"/>
                  <w:vAlign w:val="center"/>
                </w:tcPr>
                <w:p w14:paraId="42078E1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zh-TW"/>
                    </w:rPr>
                    <w:t>符合</w:t>
                  </w:r>
                </w:p>
              </w:tc>
            </w:tr>
            <w:tr w14:paraId="1F821C2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5FA264C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195" w:type="dxa"/>
                  <w:vMerge w:val="continue"/>
                  <w:tcBorders>
                    <w:tl2br w:val="nil"/>
                    <w:tr2bl w:val="nil"/>
                  </w:tcBorders>
                  <w:noWrap w:val="0"/>
                  <w:vAlign w:val="center"/>
                </w:tcPr>
                <w:p w14:paraId="1987B98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6133" w:type="dxa"/>
                  <w:tcBorders>
                    <w:tl2br w:val="nil"/>
                    <w:tr2bl w:val="nil"/>
                  </w:tcBorders>
                  <w:noWrap w:val="0"/>
                  <w:vAlign w:val="center"/>
                </w:tcPr>
                <w:p w14:paraId="02D87C6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各企业在厂区门口或明显位置设置电子显示屏，实时发布主要污染物排放信息</w:t>
                  </w:r>
                </w:p>
              </w:tc>
              <w:tc>
                <w:tcPr>
                  <w:tcW w:w="3926" w:type="dxa"/>
                  <w:tcBorders>
                    <w:tl2br w:val="nil"/>
                    <w:tr2bl w:val="nil"/>
                  </w:tcBorders>
                  <w:noWrap w:val="0"/>
                  <w:vAlign w:val="center"/>
                </w:tcPr>
                <w:p w14:paraId="07D4706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项目在厂区门口设置电子显示屏，实时发布主要污染物排放信息。</w:t>
                  </w:r>
                </w:p>
              </w:tc>
              <w:tc>
                <w:tcPr>
                  <w:tcW w:w="676" w:type="dxa"/>
                  <w:tcBorders>
                    <w:tl2br w:val="nil"/>
                    <w:tr2bl w:val="nil"/>
                  </w:tcBorders>
                  <w:noWrap w:val="0"/>
                  <w:vAlign w:val="center"/>
                </w:tcPr>
                <w:p w14:paraId="3AB6E76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符合</w:t>
                  </w:r>
                </w:p>
              </w:tc>
            </w:tr>
          </w:tbl>
          <w:p w14:paraId="41E8CA9B">
            <w:pPr>
              <w:pStyle w:val="30"/>
              <w:shd w:val="clear"/>
              <w:rPr>
                <w:rFonts w:hint="default"/>
                <w:color w:val="auto"/>
              </w:rPr>
            </w:pPr>
          </w:p>
        </w:tc>
      </w:tr>
    </w:tbl>
    <w:p w14:paraId="45CD67B1">
      <w:pPr>
        <w:shd w:val="clear"/>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br w:type="page"/>
      </w:r>
    </w:p>
    <w:p w14:paraId="3711495C">
      <w:pPr>
        <w:pStyle w:val="29"/>
        <w:keepNext w:val="0"/>
        <w:keepLines w:val="0"/>
        <w:pageBreakBefore w:val="0"/>
        <w:widowControl/>
        <w:shd w:val="clear"/>
        <w:kinsoku/>
        <w:wordWrap/>
        <w:overflowPunct/>
        <w:topLinePunct w:val="0"/>
        <w:autoSpaceDE/>
        <w:autoSpaceDN/>
        <w:bidi w:val="0"/>
        <w:adjustRightInd/>
        <w:snapToGrid/>
        <w:ind w:firstLine="0" w:firstLineChars="0"/>
        <w:jc w:val="center"/>
        <w:textAlignment w:val="auto"/>
        <w:outlineLvl w:val="0"/>
        <w:rPr>
          <w:rFonts w:hint="default" w:ascii="Times New Roman" w:hAnsi="Times New Roman" w:eastAsia="黑体" w:cs="Times New Roman"/>
          <w:snapToGrid w:val="0"/>
          <w:color w:val="auto"/>
          <w:sz w:val="30"/>
          <w:szCs w:val="30"/>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D05CC8">
      <w:pPr>
        <w:pStyle w:val="29"/>
        <w:keepNext w:val="0"/>
        <w:keepLines w:val="0"/>
        <w:pageBreakBefore w:val="0"/>
        <w:widowControl/>
        <w:numPr>
          <w:ilvl w:val="0"/>
          <w:numId w:val="5"/>
        </w:numPr>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建设项目工程分析</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868"/>
        <w:gridCol w:w="8311"/>
      </w:tblGrid>
      <w:tr w14:paraId="1DD4BA56">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13305" w:hRule="atLeast"/>
          <w:jc w:val="center"/>
        </w:trPr>
        <w:tc>
          <w:tcPr>
            <w:tcW w:w="868" w:type="dxa"/>
            <w:tcBorders>
              <w:tl2br w:val="nil"/>
              <w:tr2bl w:val="nil"/>
            </w:tcBorders>
            <w:vAlign w:val="center"/>
          </w:tcPr>
          <w:p w14:paraId="3ECB2254">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line="0" w:lineRule="atLeast"/>
              <w:ind w:firstLine="0" w:firstLineChars="0"/>
              <w:jc w:val="center"/>
              <w:textAlignment w:val="auto"/>
              <w:outlineLvl w:val="0"/>
              <w:rPr>
                <w:rFonts w:hint="default" w:ascii="Times New Roman" w:hAnsi="Times New Roman" w:eastAsia="黑体" w:cs="Times New Roman"/>
                <w:snapToGrid w:val="0"/>
                <w:color w:val="auto"/>
                <w:sz w:val="30"/>
                <w:szCs w:val="30"/>
                <w:highlight w:val="none"/>
                <w:vertAlign w:val="baseline"/>
              </w:rPr>
            </w:pPr>
            <w:r>
              <w:rPr>
                <w:rFonts w:hint="default" w:ascii="Times New Roman" w:hAnsi="Times New Roman" w:cs="Times New Roman"/>
                <w:color w:val="auto"/>
                <w:sz w:val="24"/>
                <w:szCs w:val="24"/>
                <w:highlight w:val="none"/>
              </w:rPr>
              <w:t>建设内容</w:t>
            </w:r>
          </w:p>
        </w:tc>
        <w:tc>
          <w:tcPr>
            <w:tcW w:w="8311" w:type="dxa"/>
            <w:tcBorders>
              <w:tl2br w:val="nil"/>
              <w:tr2bl w:val="nil"/>
            </w:tcBorders>
          </w:tcPr>
          <w:p w14:paraId="086A7873">
            <w:pPr>
              <w:keepNext w:val="0"/>
              <w:keepLines w:val="0"/>
              <w:pageBreakBefore w:val="0"/>
              <w:widowControl w:val="0"/>
              <w:numPr>
                <w:ilvl w:val="0"/>
                <w:numId w:val="6"/>
              </w:numPr>
              <w:suppressLineNumbers w:val="0"/>
              <w:shd w:val="clear"/>
              <w:kinsoku/>
              <w:wordWrap/>
              <w:overflowPunct/>
              <w:topLinePunct w:val="0"/>
              <w:autoSpaceDE w:val="0"/>
              <w:autoSpaceDN w:val="0"/>
              <w:bidi w:val="0"/>
              <w:adjustRightInd w:val="0"/>
              <w:snapToGrid/>
              <w:spacing w:beforeAutospacing="0" w:after="0" w:afterAutospacing="0" w:line="480" w:lineRule="exact"/>
              <w:ind w:right="0" w:rightChars="0"/>
              <w:textAlignment w:val="auto"/>
              <w:rPr>
                <w:rFonts w:hint="default"/>
                <w:color w:val="auto"/>
                <w:lang w:val="en-US" w:eastAsia="zh-CN"/>
              </w:rPr>
            </w:pPr>
            <w:r>
              <w:rPr>
                <w:rFonts w:hint="default" w:ascii="Times New Roman" w:hAnsi="Times New Roman" w:cs="Times New Roman"/>
                <w:b/>
                <w:bCs/>
                <w:color w:val="auto"/>
                <w:sz w:val="24"/>
                <w:szCs w:val="24"/>
                <w:highlight w:val="none"/>
                <w:lang w:val="en-US" w:eastAsia="zh-CN"/>
              </w:rPr>
              <w:t>项目由来</w:t>
            </w:r>
          </w:p>
          <w:p w14:paraId="361497E9">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cs="Times New Roman"/>
                <w:color w:val="auto"/>
                <w:highlight w:val="none"/>
                <w:lang w:val="en-US" w:eastAsia="zh-CN"/>
              </w:rPr>
            </w:pPr>
            <w:r>
              <w:rPr>
                <w:rFonts w:ascii="宋体" w:hAnsi="宋体" w:eastAsia="宋体" w:cs="宋体"/>
                <w:color w:val="auto"/>
                <w:sz w:val="24"/>
                <w:szCs w:val="24"/>
              </w:rPr>
              <w:t>项目原料来源矿山经多年持续开采，现已开采至矿床底板区域</w:t>
            </w:r>
            <w:r>
              <w:rPr>
                <w:rFonts w:hint="eastAsia" w:ascii="宋体" w:hAnsi="宋体" w:cs="宋体"/>
                <w:color w:val="auto"/>
                <w:sz w:val="24"/>
                <w:szCs w:val="24"/>
                <w:lang w:eastAsia="zh-CN"/>
              </w:rPr>
              <w:t>，</w:t>
            </w:r>
            <w:r>
              <w:rPr>
                <w:rFonts w:ascii="宋体" w:hAnsi="宋体" w:eastAsia="宋体" w:cs="宋体"/>
                <w:color w:val="auto"/>
                <w:sz w:val="24"/>
                <w:szCs w:val="24"/>
              </w:rPr>
              <w:t>受开采条件及矿体赋存状态影响，当前采出原矿品质显著下降，不合格矿石占比偏高，矿石中普遍夹杂大量土渣，原矿品位及原料纯度均无法满足正常生产加工要求。</w:t>
            </w:r>
            <w:r>
              <w:rPr>
                <w:rFonts w:hint="eastAsia" w:ascii="Times New Roman" w:hAnsi="Times New Roman" w:eastAsia="宋体" w:cs="Times New Roman"/>
                <w:color w:val="auto"/>
                <w:highlight w:val="none"/>
                <w:lang w:val="en-US" w:eastAsia="zh-CN"/>
              </w:rPr>
              <w:t>为实现资源节约、合理、最大化利用，提高矿石综合利用率，本次项目拟对不合格</w:t>
            </w:r>
            <w:r>
              <w:rPr>
                <w:rFonts w:hint="eastAsia" w:cs="Times New Roman"/>
                <w:color w:val="auto"/>
                <w:highlight w:val="none"/>
                <w:lang w:val="en-US" w:eastAsia="zh-CN"/>
              </w:rPr>
              <w:t>原料矿石</w:t>
            </w:r>
            <w:r>
              <w:rPr>
                <w:rFonts w:hint="eastAsia" w:ascii="Times New Roman" w:hAnsi="Times New Roman" w:eastAsia="宋体" w:cs="Times New Roman"/>
                <w:color w:val="auto"/>
                <w:highlight w:val="none"/>
                <w:lang w:val="en-US" w:eastAsia="zh-CN"/>
              </w:rPr>
              <w:t>增设预处理工序。因此</w:t>
            </w:r>
            <w:r>
              <w:rPr>
                <w:rFonts w:hint="eastAsia" w:ascii="Times New Roman" w:hAnsi="Times New Roman" w:cs="Times New Roman"/>
                <w:color w:val="auto"/>
                <w:highlight w:val="none"/>
                <w:lang w:val="en-US" w:eastAsia="zh-CN"/>
              </w:rPr>
              <w:t>，</w:t>
            </w:r>
            <w:r>
              <w:rPr>
                <w:rFonts w:hint="eastAsia"/>
                <w:color w:val="auto"/>
                <w:highlight w:val="none"/>
                <w:lang w:val="en-US" w:eastAsia="zh-CN"/>
              </w:rPr>
              <w:t>滦州市耀隆宝峰矿业有限公司</w:t>
            </w:r>
            <w:r>
              <w:rPr>
                <w:rFonts w:hint="default" w:ascii="Times New Roman" w:hAnsi="Times New Roman" w:cs="Times New Roman"/>
                <w:color w:val="auto"/>
                <w:highlight w:val="none"/>
                <w:lang w:val="en-US" w:eastAsia="zh-CN"/>
              </w:rPr>
              <w:t>在</w:t>
            </w:r>
            <w:r>
              <w:rPr>
                <w:rFonts w:hint="eastAsia"/>
                <w:color w:val="auto"/>
                <w:highlight w:val="none"/>
                <w:lang w:val="en-US" w:eastAsia="zh-CN"/>
              </w:rPr>
              <w:t>河北省唐山市滦州市雷庄镇耀隆宝峰矿业有限公司院内</w:t>
            </w:r>
            <w:r>
              <w:rPr>
                <w:rFonts w:hint="default" w:ascii="Times New Roman" w:hAnsi="Times New Roman" w:cs="Times New Roman"/>
                <w:color w:val="auto"/>
                <w:highlight w:val="none"/>
                <w:lang w:val="en-US" w:eastAsia="zh-CN"/>
              </w:rPr>
              <w:t>投资</w:t>
            </w:r>
            <w:r>
              <w:rPr>
                <w:rFonts w:hint="eastAsia" w:cs="Times New Roman"/>
                <w:color w:val="auto"/>
                <w:highlight w:val="none"/>
                <w:lang w:val="en-US" w:eastAsia="zh-CN"/>
              </w:rPr>
              <w:t>300</w:t>
            </w:r>
            <w:r>
              <w:rPr>
                <w:rFonts w:hint="default" w:ascii="Times New Roman" w:hAnsi="Times New Roman" w:cs="Times New Roman"/>
                <w:color w:val="auto"/>
                <w:highlight w:val="none"/>
                <w:lang w:val="en-US" w:eastAsia="zh-CN"/>
              </w:rPr>
              <w:t>万元建设</w:t>
            </w:r>
            <w:r>
              <w:rPr>
                <w:rFonts w:hint="eastAsia" w:cs="Times New Roman"/>
                <w:color w:val="auto"/>
                <w:sz w:val="24"/>
                <w:szCs w:val="24"/>
                <w:highlight w:val="none"/>
                <w:lang w:val="en-US" w:eastAsia="zh-CN"/>
              </w:rPr>
              <w:t>滦州市耀隆宝峰矿业有限公司新增破碎筛分设备技术改造项目</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kern w:val="2"/>
                <w:sz w:val="24"/>
                <w:szCs w:val="24"/>
                <w:highlight w:val="none"/>
                <w:lang w:val="en-US" w:eastAsia="zh-CN" w:bidi="ar-SA"/>
              </w:rPr>
              <w:t>项目建成后，产品产能保持不变，仍为年产10万吨硅砂。</w:t>
            </w:r>
          </w:p>
          <w:p w14:paraId="6879F2D2">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根据《中华人民共和国环境保护法》、《中华人民共和国环境影响评价法》、《建设项目环境保护管理条例》（国务</w:t>
            </w:r>
            <w:r>
              <w:rPr>
                <w:rFonts w:hint="eastAsia" w:ascii="Times New Roman" w:hAnsi="Times New Roman" w:eastAsia="宋体" w:cs="Times New Roman"/>
                <w:color w:val="auto"/>
                <w:highlight w:val="none"/>
                <w:lang w:val="en-US" w:eastAsia="zh-CN"/>
              </w:rPr>
              <w:t>院第</w:t>
            </w:r>
            <w:r>
              <w:rPr>
                <w:rFonts w:hint="default" w:ascii="Times New Roman" w:hAnsi="Times New Roman" w:eastAsia="宋体" w:cs="Times New Roman"/>
                <w:color w:val="auto"/>
                <w:highlight w:val="none"/>
                <w:lang w:val="en-US" w:eastAsia="zh-CN"/>
              </w:rPr>
              <w:t>682号令）的要求，以及《建设项目环境影响评价分类管理名录》（2021年版）（部令第16号）等环保法律法规的相关规定，本项目属于“二十七、非金属矿物制品业30-6</w:t>
            </w:r>
            <w:r>
              <w:rPr>
                <w:rFonts w:hint="eastAsia"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lang w:val="en-US" w:eastAsia="zh-CN"/>
              </w:rPr>
              <w:t>石墨及其他非金属矿物制品制造309-其他”之列，应编制环境影响报告表。</w:t>
            </w:r>
            <w:r>
              <w:rPr>
                <w:rFonts w:hint="eastAsia" w:ascii="Times New Roman" w:hAnsi="Times New Roman" w:eastAsia="宋体" w:cs="Times New Roman"/>
                <w:color w:val="auto"/>
                <w:highlight w:val="none"/>
                <w:lang w:val="en-US" w:eastAsia="zh-CN"/>
              </w:rPr>
              <w:t>滦州市耀隆宝峰矿业有限公司</w:t>
            </w:r>
            <w:r>
              <w:rPr>
                <w:rFonts w:hint="default" w:ascii="Times New Roman" w:hAnsi="Times New Roman" w:eastAsia="宋体" w:cs="Times New Roman"/>
                <w:color w:val="auto"/>
                <w:highlight w:val="none"/>
                <w:lang w:val="en-US" w:eastAsia="zh-CN"/>
              </w:rPr>
              <w:t>委托我公司承担该项目的环境影响报告表的编制工作，接受委托后，我单位立即开展了现场踏勘、资料收集等工作，按照《建设项目环境影响报告表编制技术指南（污染影响类）（试行）》的要求编制了本项目环境影响报告表，供上级部门决策。</w:t>
            </w:r>
          </w:p>
          <w:p w14:paraId="42809352">
            <w:pPr>
              <w:keepNext w:val="0"/>
              <w:keepLines w:val="0"/>
              <w:pageBreakBefore w:val="0"/>
              <w:widowControl w:val="0"/>
              <w:numPr>
                <w:ilvl w:val="0"/>
                <w:numId w:val="6"/>
              </w:numPr>
              <w:suppressLineNumbers w:val="0"/>
              <w:shd w:val="clear"/>
              <w:kinsoku/>
              <w:wordWrap/>
              <w:overflowPunct/>
              <w:topLinePunct w:val="0"/>
              <w:autoSpaceDE w:val="0"/>
              <w:autoSpaceDN w:val="0"/>
              <w:bidi w:val="0"/>
              <w:adjustRightInd w:val="0"/>
              <w:snapToGrid/>
              <w:spacing w:beforeAutospacing="0" w:after="0" w:afterAutospacing="0" w:line="480" w:lineRule="exact"/>
              <w:ind w:right="0" w:rightChars="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现有工程概况</w:t>
            </w:r>
          </w:p>
          <w:p w14:paraId="452AF6F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滦州市耀隆宝峰矿业有限公司现有工程主要建设有年产10万吨精制硅砂加工生产线一条，现有工程主要建成内容情况如下表所示。</w:t>
            </w:r>
          </w:p>
          <w:p w14:paraId="462C2475">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1、建设单位：滦州市耀隆宝峰矿业有限公司</w:t>
            </w:r>
          </w:p>
          <w:p w14:paraId="432E5545">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2、建设地点：</w:t>
            </w:r>
            <w:r>
              <w:rPr>
                <w:rFonts w:hint="eastAsia"/>
                <w:color w:val="auto"/>
                <w:highlight w:val="none"/>
                <w:lang w:val="en-US" w:eastAsia="zh-CN"/>
              </w:rPr>
              <w:t>河北省唐山市滦州市雷庄镇耀隆宝峰矿业有限公司院内</w:t>
            </w:r>
          </w:p>
          <w:p w14:paraId="5D83AAA7">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3、工作制度及劳动定员：劳动定员30人，年工作300天，每天3班，每班8h</w:t>
            </w:r>
          </w:p>
          <w:p w14:paraId="42CE1FC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4、产品规模：年产10万吨精制硅砂。</w:t>
            </w:r>
          </w:p>
          <w:p w14:paraId="50994CFA">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p>
          <w:p w14:paraId="5E3C41B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产品方案</w:t>
            </w:r>
          </w:p>
          <w:tbl>
            <w:tblPr>
              <w:tblStyle w:val="33"/>
              <w:tblW w:w="776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195"/>
              <w:gridCol w:w="916"/>
              <w:gridCol w:w="2858"/>
              <w:gridCol w:w="1935"/>
              <w:gridCol w:w="862"/>
            </w:tblGrid>
            <w:tr w14:paraId="027F258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77" w:hRule="atLeast"/>
                <w:jc w:val="center"/>
              </w:trPr>
              <w:tc>
                <w:tcPr>
                  <w:tcW w:w="1195" w:type="dxa"/>
                  <w:tcBorders>
                    <w:tl2br w:val="nil"/>
                    <w:tr2bl w:val="nil"/>
                  </w:tcBorders>
                  <w:vAlign w:val="center"/>
                </w:tcPr>
                <w:p w14:paraId="3F07CA6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产品名称</w:t>
                  </w:r>
                </w:p>
              </w:tc>
              <w:tc>
                <w:tcPr>
                  <w:tcW w:w="916" w:type="dxa"/>
                  <w:tcBorders>
                    <w:tl2br w:val="nil"/>
                    <w:tr2bl w:val="nil"/>
                  </w:tcBorders>
                  <w:vAlign w:val="center"/>
                </w:tcPr>
                <w:p w14:paraId="7C96B8B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产能</w:t>
                  </w:r>
                </w:p>
              </w:tc>
              <w:tc>
                <w:tcPr>
                  <w:tcW w:w="2858" w:type="dxa"/>
                  <w:tcBorders>
                    <w:tl2br w:val="nil"/>
                    <w:tr2bl w:val="nil"/>
                  </w:tcBorders>
                  <w:vAlign w:val="center"/>
                </w:tcPr>
                <w:p w14:paraId="6FD1DB9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产品规格</w:t>
                  </w:r>
                </w:p>
              </w:tc>
              <w:tc>
                <w:tcPr>
                  <w:tcW w:w="1935" w:type="dxa"/>
                  <w:tcBorders>
                    <w:tl2br w:val="nil"/>
                    <w:tr2bl w:val="nil"/>
                  </w:tcBorders>
                  <w:vAlign w:val="center"/>
                </w:tcPr>
                <w:p w14:paraId="57C7346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执行标准</w:t>
                  </w:r>
                </w:p>
              </w:tc>
              <w:tc>
                <w:tcPr>
                  <w:tcW w:w="862" w:type="dxa"/>
                  <w:tcBorders>
                    <w:tl2br w:val="nil"/>
                    <w:tr2bl w:val="nil"/>
                  </w:tcBorders>
                  <w:vAlign w:val="center"/>
                </w:tcPr>
                <w:p w14:paraId="2F92711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用途</w:t>
                  </w:r>
                </w:p>
              </w:tc>
            </w:tr>
            <w:tr w14:paraId="625EEAD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23" w:hRule="atLeast"/>
                <w:jc w:val="center"/>
              </w:trPr>
              <w:tc>
                <w:tcPr>
                  <w:tcW w:w="1195" w:type="dxa"/>
                  <w:tcBorders>
                    <w:tl2br w:val="nil"/>
                    <w:tr2bl w:val="nil"/>
                  </w:tcBorders>
                  <w:vAlign w:val="center"/>
                </w:tcPr>
                <w:p w14:paraId="06EE49C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精制硅砂</w:t>
                  </w:r>
                </w:p>
              </w:tc>
              <w:tc>
                <w:tcPr>
                  <w:tcW w:w="916" w:type="dxa"/>
                  <w:tcBorders>
                    <w:tl2br w:val="nil"/>
                    <w:tr2bl w:val="nil"/>
                  </w:tcBorders>
                  <w:vAlign w:val="center"/>
                </w:tcPr>
                <w:p w14:paraId="64D9265A">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10万t/a</w:t>
                  </w:r>
                </w:p>
              </w:tc>
              <w:tc>
                <w:tcPr>
                  <w:tcW w:w="2858" w:type="dxa"/>
                  <w:tcBorders>
                    <w:tl2br w:val="nil"/>
                    <w:tr2bl w:val="nil"/>
                  </w:tcBorders>
                  <w:vAlign w:val="center"/>
                </w:tcPr>
                <w:p w14:paraId="3DC129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粒径0.1</w:t>
                  </w:r>
                  <w:r>
                    <w:rPr>
                      <w:rFonts w:hint="eastAsia" w:eastAsia="宋体" w:cs="Times New Roman"/>
                      <w:color w:val="auto"/>
                      <w:kern w:val="0"/>
                      <w:sz w:val="21"/>
                      <w:szCs w:val="21"/>
                      <w:highlight w:val="none"/>
                      <w:lang w:val="en-US" w:eastAsia="zh-CN"/>
                    </w:rPr>
                    <w:t>mm</w:t>
                  </w:r>
                  <w:r>
                    <w:rPr>
                      <w:rFonts w:hint="eastAsia" w:ascii="Times New Roman" w:hAnsi="Times New Roman" w:eastAsia="宋体" w:cs="Times New Roman"/>
                      <w:color w:val="auto"/>
                      <w:kern w:val="0"/>
                      <w:sz w:val="21"/>
                      <w:szCs w:val="21"/>
                      <w:highlight w:val="none"/>
                      <w:lang w:val="en-US" w:eastAsia="zh-CN"/>
                    </w:rPr>
                    <w:t>-0.7</w:t>
                  </w:r>
                  <w:r>
                    <w:rPr>
                      <w:rFonts w:hint="eastAsia" w:eastAsia="宋体" w:cs="Times New Roman"/>
                      <w:color w:val="auto"/>
                      <w:kern w:val="0"/>
                      <w:sz w:val="21"/>
                      <w:szCs w:val="21"/>
                      <w:highlight w:val="none"/>
                      <w:lang w:val="en-US" w:eastAsia="zh-CN"/>
                    </w:rPr>
                    <w:t>mm；</w:t>
                  </w:r>
                  <w:r>
                    <w:rPr>
                      <w:rFonts w:hint="eastAsia" w:eastAsia="宋体" w:cs="Times New Roman"/>
                      <w:b w:val="0"/>
                      <w:color w:val="auto"/>
                      <w:sz w:val="21"/>
                      <w:szCs w:val="21"/>
                      <w:highlight w:val="none"/>
                      <w:lang w:val="en-US" w:eastAsia="zh-CN"/>
                    </w:rPr>
                    <w:t>SiO</w:t>
                  </w:r>
                  <w:r>
                    <w:rPr>
                      <w:rFonts w:hint="eastAsia" w:eastAsia="宋体" w:cs="Times New Roman"/>
                      <w:b w:val="0"/>
                      <w:color w:val="auto"/>
                      <w:sz w:val="21"/>
                      <w:szCs w:val="21"/>
                      <w:highlight w:val="none"/>
                      <w:vertAlign w:val="subscript"/>
                      <w:lang w:val="en-US" w:eastAsia="zh-CN"/>
                    </w:rPr>
                    <w:t>2</w:t>
                  </w:r>
                  <w:r>
                    <w:rPr>
                      <w:rFonts w:hint="eastAsia" w:eastAsia="宋体" w:cs="Times New Roman"/>
                      <w:b w:val="0"/>
                      <w:color w:val="auto"/>
                      <w:sz w:val="21"/>
                      <w:szCs w:val="21"/>
                      <w:highlight w:val="none"/>
                      <w:lang w:val="en-US" w:eastAsia="zh-CN"/>
                    </w:rPr>
                    <w:t>≥</w:t>
                  </w:r>
                  <w:r>
                    <w:rPr>
                      <w:rFonts w:hint="eastAsia" w:ascii="Times New Roman" w:hAnsi="Times New Roman" w:eastAsia="宋体" w:cs="Times New Roman"/>
                      <w:b w:val="0"/>
                      <w:color w:val="auto"/>
                      <w:sz w:val="21"/>
                      <w:szCs w:val="21"/>
                      <w:highlight w:val="none"/>
                      <w:lang w:val="en-US" w:eastAsia="zh-CN"/>
                    </w:rPr>
                    <w:t>98.</w:t>
                  </w:r>
                  <w:r>
                    <w:rPr>
                      <w:rFonts w:hint="eastAsia" w:eastAsia="宋体" w:cs="Times New Roman"/>
                      <w:b w:val="0"/>
                      <w:color w:val="auto"/>
                      <w:sz w:val="21"/>
                      <w:szCs w:val="21"/>
                      <w:highlight w:val="none"/>
                      <w:lang w:val="en-US" w:eastAsia="zh-CN"/>
                    </w:rPr>
                    <w:t>5</w:t>
                  </w:r>
                  <w:r>
                    <w:rPr>
                      <w:rFonts w:hint="eastAsia" w:ascii="Times New Roman" w:hAnsi="Times New Roman" w:eastAsia="宋体" w:cs="Times New Roman"/>
                      <w:b w:val="0"/>
                      <w:color w:val="auto"/>
                      <w:sz w:val="21"/>
                      <w:szCs w:val="21"/>
                      <w:highlight w:val="none"/>
                      <w:lang w:val="en-US" w:eastAsia="zh-CN"/>
                    </w:rPr>
                    <w:t>%，</w:t>
                  </w:r>
                  <w:r>
                    <w:rPr>
                      <w:rFonts w:hint="eastAsia" w:eastAsia="宋体" w:cs="Times New Roman"/>
                      <w:b w:val="0"/>
                      <w:color w:val="auto"/>
                      <w:sz w:val="21"/>
                      <w:szCs w:val="21"/>
                      <w:highlight w:val="none"/>
                      <w:lang w:val="en-US" w:eastAsia="zh-CN"/>
                    </w:rPr>
                    <w:t>Al</w:t>
                  </w:r>
                  <w:r>
                    <w:rPr>
                      <w:rFonts w:hint="eastAsia" w:eastAsia="宋体" w:cs="Times New Roman"/>
                      <w:b w:val="0"/>
                      <w:color w:val="auto"/>
                      <w:sz w:val="21"/>
                      <w:szCs w:val="21"/>
                      <w:highlight w:val="none"/>
                      <w:vertAlign w:val="subscript"/>
                      <w:lang w:val="en-US" w:eastAsia="zh-CN"/>
                    </w:rPr>
                    <w:t>2</w:t>
                  </w:r>
                  <w:r>
                    <w:rPr>
                      <w:rFonts w:hint="eastAsia" w:eastAsia="宋体" w:cs="Times New Roman"/>
                      <w:b w:val="0"/>
                      <w:color w:val="auto"/>
                      <w:sz w:val="21"/>
                      <w:szCs w:val="21"/>
                      <w:highlight w:val="none"/>
                      <w:lang w:val="en-US" w:eastAsia="zh-CN"/>
                    </w:rPr>
                    <w:t>O</w:t>
                  </w:r>
                  <w:r>
                    <w:rPr>
                      <w:rFonts w:hint="eastAsia" w:eastAsia="宋体" w:cs="Times New Roman"/>
                      <w:b w:val="0"/>
                      <w:color w:val="auto"/>
                      <w:sz w:val="21"/>
                      <w:szCs w:val="21"/>
                      <w:highlight w:val="none"/>
                      <w:vertAlign w:val="subscript"/>
                      <w:lang w:val="en-US" w:eastAsia="zh-CN"/>
                    </w:rPr>
                    <w:t>3</w:t>
                  </w:r>
                  <w:r>
                    <w:rPr>
                      <w:rFonts w:hint="eastAsia" w:eastAsia="宋体" w:cs="Times New Roman"/>
                      <w:b w:val="0"/>
                      <w:color w:val="auto"/>
                      <w:sz w:val="21"/>
                      <w:szCs w:val="21"/>
                      <w:highlight w:val="none"/>
                      <w:lang w:val="en-US" w:eastAsia="zh-CN"/>
                    </w:rPr>
                    <w:t>≤</w:t>
                  </w:r>
                  <w:r>
                    <w:rPr>
                      <w:rFonts w:hint="eastAsia" w:ascii="Times New Roman" w:hAnsi="Times New Roman" w:eastAsia="宋体" w:cs="Times New Roman"/>
                      <w:b w:val="0"/>
                      <w:color w:val="auto"/>
                      <w:sz w:val="21"/>
                      <w:szCs w:val="21"/>
                      <w:highlight w:val="none"/>
                      <w:lang w:val="en-US" w:eastAsia="zh-CN"/>
                    </w:rPr>
                    <w:t>0.</w:t>
                  </w:r>
                  <w:r>
                    <w:rPr>
                      <w:rFonts w:hint="eastAsia" w:eastAsia="宋体" w:cs="Times New Roman"/>
                      <w:b w:val="0"/>
                      <w:color w:val="auto"/>
                      <w:sz w:val="21"/>
                      <w:szCs w:val="21"/>
                      <w:highlight w:val="none"/>
                      <w:lang w:val="en-US" w:eastAsia="zh-CN"/>
                    </w:rPr>
                    <w:t>70</w:t>
                  </w:r>
                  <w:r>
                    <w:rPr>
                      <w:rFonts w:hint="eastAsia" w:ascii="Times New Roman" w:hAnsi="Times New Roman" w:eastAsia="宋体" w:cs="Times New Roman"/>
                      <w:b w:val="0"/>
                      <w:color w:val="auto"/>
                      <w:sz w:val="21"/>
                      <w:szCs w:val="21"/>
                      <w:highlight w:val="none"/>
                      <w:lang w:val="en-US" w:eastAsia="zh-CN"/>
                    </w:rPr>
                    <w:t>%</w:t>
                  </w:r>
                  <w:r>
                    <w:rPr>
                      <w:rFonts w:hint="eastAsia" w:eastAsia="宋体" w:cs="Times New Roman"/>
                      <w:b w:val="0"/>
                      <w:color w:val="auto"/>
                      <w:sz w:val="21"/>
                      <w:szCs w:val="21"/>
                      <w:highlight w:val="none"/>
                      <w:lang w:val="en-US" w:eastAsia="zh-CN"/>
                    </w:rPr>
                    <w:t>，Fe</w:t>
                  </w:r>
                  <w:r>
                    <w:rPr>
                      <w:rFonts w:hint="eastAsia" w:eastAsia="宋体" w:cs="Times New Roman"/>
                      <w:b w:val="0"/>
                      <w:color w:val="auto"/>
                      <w:sz w:val="21"/>
                      <w:szCs w:val="21"/>
                      <w:highlight w:val="none"/>
                      <w:vertAlign w:val="subscript"/>
                      <w:lang w:val="en-US" w:eastAsia="zh-CN"/>
                    </w:rPr>
                    <w:t>2</w:t>
                  </w:r>
                  <w:r>
                    <w:rPr>
                      <w:rFonts w:hint="eastAsia" w:eastAsia="宋体" w:cs="Times New Roman"/>
                      <w:b w:val="0"/>
                      <w:color w:val="auto"/>
                      <w:sz w:val="21"/>
                      <w:szCs w:val="21"/>
                      <w:highlight w:val="none"/>
                      <w:lang w:val="en-US" w:eastAsia="zh-CN"/>
                    </w:rPr>
                    <w:t>O</w:t>
                  </w:r>
                  <w:r>
                    <w:rPr>
                      <w:rFonts w:hint="eastAsia" w:eastAsia="宋体" w:cs="Times New Roman"/>
                      <w:b w:val="0"/>
                      <w:color w:val="auto"/>
                      <w:sz w:val="21"/>
                      <w:szCs w:val="21"/>
                      <w:highlight w:val="none"/>
                      <w:vertAlign w:val="subscript"/>
                      <w:lang w:val="en-US" w:eastAsia="zh-CN"/>
                    </w:rPr>
                    <w:t>3</w:t>
                  </w:r>
                  <w:r>
                    <w:rPr>
                      <w:rFonts w:hint="eastAsia" w:eastAsia="宋体" w:cs="Times New Roman"/>
                      <w:b w:val="0"/>
                      <w:color w:val="auto"/>
                      <w:sz w:val="21"/>
                      <w:szCs w:val="21"/>
                      <w:highlight w:val="none"/>
                      <w:lang w:val="en-US" w:eastAsia="zh-CN"/>
                    </w:rPr>
                    <w:t>≤</w:t>
                  </w:r>
                  <w:r>
                    <w:rPr>
                      <w:rFonts w:hint="eastAsia" w:ascii="Times New Roman" w:hAnsi="Times New Roman" w:eastAsia="宋体" w:cs="Times New Roman"/>
                      <w:b w:val="0"/>
                      <w:color w:val="auto"/>
                      <w:sz w:val="21"/>
                      <w:szCs w:val="21"/>
                      <w:highlight w:val="none"/>
                      <w:lang w:val="en-US" w:eastAsia="zh-CN"/>
                    </w:rPr>
                    <w:t>0.</w:t>
                  </w:r>
                  <w:r>
                    <w:rPr>
                      <w:rFonts w:hint="eastAsia" w:eastAsia="宋体" w:cs="Times New Roman"/>
                      <w:b w:val="0"/>
                      <w:color w:val="auto"/>
                      <w:sz w:val="21"/>
                      <w:szCs w:val="21"/>
                      <w:highlight w:val="none"/>
                      <w:lang w:val="en-US" w:eastAsia="zh-CN"/>
                    </w:rPr>
                    <w:t>10</w:t>
                  </w:r>
                  <w:r>
                    <w:rPr>
                      <w:rFonts w:hint="eastAsia" w:ascii="Times New Roman" w:hAnsi="Times New Roman" w:eastAsia="宋体" w:cs="Times New Roman"/>
                      <w:b w:val="0"/>
                      <w:color w:val="auto"/>
                      <w:sz w:val="21"/>
                      <w:szCs w:val="21"/>
                      <w:highlight w:val="none"/>
                      <w:lang w:val="en-US" w:eastAsia="zh-CN"/>
                    </w:rPr>
                    <w:t>%</w:t>
                  </w:r>
                  <w:r>
                    <w:rPr>
                      <w:rFonts w:hint="eastAsia" w:eastAsia="宋体" w:cs="Times New Roman"/>
                      <w:b w:val="0"/>
                      <w:color w:val="auto"/>
                      <w:sz w:val="21"/>
                      <w:szCs w:val="21"/>
                      <w:highlight w:val="none"/>
                      <w:lang w:val="en-US" w:eastAsia="zh-CN"/>
                    </w:rPr>
                    <w:t>；水分含量≤5%</w:t>
                  </w:r>
                </w:p>
              </w:tc>
              <w:tc>
                <w:tcPr>
                  <w:tcW w:w="1935" w:type="dxa"/>
                  <w:tcBorders>
                    <w:tl2br w:val="nil"/>
                    <w:tr2bl w:val="nil"/>
                  </w:tcBorders>
                  <w:vAlign w:val="center"/>
                </w:tcPr>
                <w:p w14:paraId="15C0668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《平板玻璃用硅质原料》（JC/T529-2000）</w:t>
                  </w:r>
                </w:p>
              </w:tc>
              <w:tc>
                <w:tcPr>
                  <w:tcW w:w="862" w:type="dxa"/>
                  <w:tcBorders>
                    <w:tl2br w:val="nil"/>
                    <w:tr2bl w:val="nil"/>
                  </w:tcBorders>
                  <w:vAlign w:val="center"/>
                </w:tcPr>
                <w:p w14:paraId="75EB5A4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eastAsia="宋体" w:cs="Times New Roman"/>
                      <w:color w:val="auto"/>
                      <w:kern w:val="0"/>
                      <w:sz w:val="21"/>
                      <w:szCs w:val="21"/>
                      <w:highlight w:val="none"/>
                      <w:lang w:val="en-US" w:eastAsia="zh-CN"/>
                    </w:rPr>
                    <w:t>玻璃原料</w:t>
                  </w:r>
                </w:p>
              </w:tc>
            </w:tr>
          </w:tbl>
          <w:p w14:paraId="1AA216F5">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现有工程</w:t>
            </w:r>
            <w:r>
              <w:rPr>
                <w:rFonts w:hint="default" w:ascii="Times New Roman" w:hAnsi="Times New Roman" w:eastAsia="宋体" w:cs="Times New Roman"/>
                <w:b/>
                <w:bCs/>
                <w:color w:val="auto"/>
                <w:spacing w:val="0"/>
                <w:sz w:val="21"/>
                <w:szCs w:val="21"/>
                <w:highlight w:val="none"/>
                <w:lang w:val="en-US" w:eastAsia="zh-CN"/>
              </w:rPr>
              <w:t>主要建设内容一览表</w:t>
            </w:r>
          </w:p>
          <w:tbl>
            <w:tblPr>
              <w:tblStyle w:val="32"/>
              <w:tblW w:w="7853"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796"/>
              <w:gridCol w:w="1320"/>
              <w:gridCol w:w="789"/>
              <w:gridCol w:w="3234"/>
              <w:gridCol w:w="1714"/>
            </w:tblGrid>
            <w:tr w14:paraId="530142E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tcBorders>
                    <w:tl2br w:val="nil"/>
                    <w:tr2bl w:val="nil"/>
                  </w:tcBorders>
                  <w:vAlign w:val="center"/>
                </w:tcPr>
                <w:p w14:paraId="462C62FD">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项目</w:t>
                  </w:r>
                </w:p>
                <w:p w14:paraId="720326BC">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类别</w:t>
                  </w:r>
                </w:p>
              </w:tc>
              <w:tc>
                <w:tcPr>
                  <w:tcW w:w="1320" w:type="dxa"/>
                  <w:tcBorders>
                    <w:tl2br w:val="nil"/>
                    <w:tr2bl w:val="nil"/>
                  </w:tcBorders>
                  <w:vAlign w:val="center"/>
                </w:tcPr>
                <w:p w14:paraId="1A4C7A55">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名称</w:t>
                  </w:r>
                </w:p>
              </w:tc>
              <w:tc>
                <w:tcPr>
                  <w:tcW w:w="5737" w:type="dxa"/>
                  <w:gridSpan w:val="3"/>
                  <w:tcBorders>
                    <w:tl2br w:val="nil"/>
                    <w:tr2bl w:val="nil"/>
                  </w:tcBorders>
                  <w:vAlign w:val="center"/>
                </w:tcPr>
                <w:p w14:paraId="2B3EE3AA">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工程内容及规模</w:t>
                  </w:r>
                </w:p>
              </w:tc>
            </w:tr>
            <w:tr w14:paraId="23F38A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7" w:hRule="atLeast"/>
                <w:jc w:val="center"/>
              </w:trPr>
              <w:tc>
                <w:tcPr>
                  <w:tcW w:w="796" w:type="dxa"/>
                  <w:vMerge w:val="restart"/>
                  <w:tcBorders>
                    <w:tl2br w:val="nil"/>
                    <w:tr2bl w:val="nil"/>
                  </w:tcBorders>
                  <w:vAlign w:val="center"/>
                </w:tcPr>
                <w:p w14:paraId="04060D8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主体</w:t>
                  </w:r>
                </w:p>
                <w:p w14:paraId="57E98B3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工程</w:t>
                  </w:r>
                </w:p>
              </w:tc>
              <w:tc>
                <w:tcPr>
                  <w:tcW w:w="1320" w:type="dxa"/>
                  <w:tcBorders>
                    <w:tl2br w:val="nil"/>
                    <w:tr2bl w:val="nil"/>
                  </w:tcBorders>
                  <w:vAlign w:val="center"/>
                </w:tcPr>
                <w:p w14:paraId="1853914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受料仓及颚破间</w:t>
                  </w:r>
                </w:p>
              </w:tc>
              <w:tc>
                <w:tcPr>
                  <w:tcW w:w="4023" w:type="dxa"/>
                  <w:gridSpan w:val="2"/>
                  <w:tcBorders>
                    <w:tl2br w:val="nil"/>
                    <w:tr2bl w:val="nil"/>
                  </w:tcBorders>
                  <w:vAlign w:val="center"/>
                </w:tcPr>
                <w:p w14:paraId="72789D7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w:t>
                  </w:r>
                  <w:r>
                    <w:rPr>
                      <w:rFonts w:hint="eastAsia" w:cs="Times New Roman"/>
                      <w:color w:val="auto"/>
                      <w:kern w:val="0"/>
                      <w:sz w:val="21"/>
                      <w:szCs w:val="21"/>
                      <w:highlight w:val="none"/>
                      <w:lang w:val="en-US" w:eastAsia="zh-CN"/>
                    </w:rPr>
                    <w:t>57</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围护结构为</w:t>
                  </w:r>
                  <w:r>
                    <w:rPr>
                      <w:rFonts w:hint="eastAsia" w:ascii="Times New Roman" w:hAnsi="Times New Roman" w:eastAsia="宋体" w:cs="Times New Roman"/>
                      <w:color w:val="auto"/>
                      <w:kern w:val="0"/>
                      <w:sz w:val="21"/>
                      <w:szCs w:val="21"/>
                      <w:highlight w:val="none"/>
                      <w:lang w:val="en-US" w:eastAsia="zh-CN"/>
                    </w:rPr>
                    <w:t>混凝土基础墙+单层彩钢</w:t>
                  </w:r>
                  <w:r>
                    <w:rPr>
                      <w:rFonts w:hint="eastAsia" w:cs="Times New Roman"/>
                      <w:color w:val="auto"/>
                      <w:kern w:val="0"/>
                      <w:sz w:val="21"/>
                      <w:szCs w:val="21"/>
                      <w:highlight w:val="none"/>
                      <w:lang w:val="en-US" w:eastAsia="zh-CN"/>
                    </w:rPr>
                    <w:t>板。</w:t>
                  </w:r>
                </w:p>
              </w:tc>
              <w:tc>
                <w:tcPr>
                  <w:tcW w:w="1714" w:type="dxa"/>
                  <w:vMerge w:val="restart"/>
                  <w:tcBorders>
                    <w:tl2br w:val="nil"/>
                    <w:tr2bl w:val="nil"/>
                  </w:tcBorders>
                  <w:vAlign w:val="center"/>
                </w:tcPr>
                <w:p w14:paraId="296445A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yellow"/>
                      <w:lang w:val="en-US" w:eastAsia="zh-CN"/>
                    </w:rPr>
                  </w:pPr>
                  <w:r>
                    <w:rPr>
                      <w:rFonts w:hint="eastAsia" w:ascii="Times New Roman" w:hAnsi="Times New Roman" w:eastAsia="宋体" w:cs="Times New Roman"/>
                      <w:color w:val="auto"/>
                      <w:kern w:val="0"/>
                      <w:sz w:val="21"/>
                      <w:szCs w:val="21"/>
                      <w:highlight w:val="none"/>
                      <w:lang w:val="en-US" w:eastAsia="zh-CN"/>
                    </w:rPr>
                    <w:t>10万吨精制硅砂加工生产线一条，各个建构筑物之间通过密闭的输送通廊连接。</w:t>
                  </w:r>
                </w:p>
              </w:tc>
            </w:tr>
            <w:tr w14:paraId="7DEE1B8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54" w:hRule="atLeast"/>
                <w:jc w:val="center"/>
              </w:trPr>
              <w:tc>
                <w:tcPr>
                  <w:tcW w:w="796" w:type="dxa"/>
                  <w:vMerge w:val="continue"/>
                  <w:tcBorders>
                    <w:tl2br w:val="nil"/>
                    <w:tr2bl w:val="nil"/>
                  </w:tcBorders>
                  <w:vAlign w:val="center"/>
                </w:tcPr>
                <w:p w14:paraId="5D64AAA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D35FDE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圆锥破碎间</w:t>
                  </w:r>
                </w:p>
              </w:tc>
              <w:tc>
                <w:tcPr>
                  <w:tcW w:w="4023" w:type="dxa"/>
                  <w:gridSpan w:val="2"/>
                  <w:tcBorders>
                    <w:tl2br w:val="nil"/>
                    <w:tr2bl w:val="nil"/>
                  </w:tcBorders>
                  <w:vAlign w:val="center"/>
                </w:tcPr>
                <w:p w14:paraId="3F35516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建筑面积1</w:t>
                  </w:r>
                  <w:r>
                    <w:rPr>
                      <w:rFonts w:hint="eastAsia" w:cs="Times New Roman"/>
                      <w:color w:val="auto"/>
                      <w:kern w:val="0"/>
                      <w:sz w:val="21"/>
                      <w:szCs w:val="21"/>
                      <w:highlight w:val="none"/>
                      <w:lang w:val="en-US" w:eastAsia="zh-CN"/>
                    </w:rPr>
                    <w:t>12.5</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围护结构为</w:t>
                  </w:r>
                  <w:r>
                    <w:rPr>
                      <w:rFonts w:hint="eastAsia" w:ascii="Times New Roman" w:hAnsi="Times New Roman" w:eastAsia="宋体" w:cs="Times New Roman"/>
                      <w:color w:val="auto"/>
                      <w:kern w:val="0"/>
                      <w:sz w:val="21"/>
                      <w:szCs w:val="21"/>
                      <w:highlight w:val="none"/>
                      <w:lang w:val="en-US" w:eastAsia="zh-CN"/>
                    </w:rPr>
                    <w:t>混凝土基础墙+单层彩钢</w:t>
                  </w:r>
                  <w:r>
                    <w:rPr>
                      <w:rFonts w:hint="eastAsia" w:cs="Times New Roman"/>
                      <w:color w:val="auto"/>
                      <w:kern w:val="0"/>
                      <w:sz w:val="21"/>
                      <w:szCs w:val="21"/>
                      <w:highlight w:val="none"/>
                      <w:lang w:val="en-US" w:eastAsia="zh-CN"/>
                    </w:rPr>
                    <w:t>板。</w:t>
                  </w:r>
                </w:p>
              </w:tc>
              <w:tc>
                <w:tcPr>
                  <w:tcW w:w="1714" w:type="dxa"/>
                  <w:vMerge w:val="continue"/>
                  <w:tcBorders>
                    <w:tl2br w:val="nil"/>
                    <w:tr2bl w:val="nil"/>
                  </w:tcBorders>
                  <w:vAlign w:val="center"/>
                </w:tcPr>
                <w:p w14:paraId="4331684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yellow"/>
                      <w:lang w:val="en-US" w:eastAsia="zh-CN"/>
                    </w:rPr>
                  </w:pPr>
                </w:p>
              </w:tc>
            </w:tr>
            <w:tr w14:paraId="6FD8A8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7" w:hRule="atLeast"/>
                <w:jc w:val="center"/>
              </w:trPr>
              <w:tc>
                <w:tcPr>
                  <w:tcW w:w="796" w:type="dxa"/>
                  <w:vMerge w:val="continue"/>
                  <w:tcBorders>
                    <w:tl2br w:val="nil"/>
                    <w:tr2bl w:val="nil"/>
                  </w:tcBorders>
                  <w:vAlign w:val="center"/>
                </w:tcPr>
                <w:p w14:paraId="28627D6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9F7684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中间仓</w:t>
                  </w:r>
                </w:p>
              </w:tc>
              <w:tc>
                <w:tcPr>
                  <w:tcW w:w="4023" w:type="dxa"/>
                  <w:gridSpan w:val="2"/>
                  <w:tcBorders>
                    <w:tl2br w:val="nil"/>
                    <w:tr2bl w:val="nil"/>
                  </w:tcBorders>
                  <w:vAlign w:val="center"/>
                </w:tcPr>
                <w:p w14:paraId="0239BED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建筑面积64m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围护结构为</w:t>
                  </w:r>
                  <w:r>
                    <w:rPr>
                      <w:rFonts w:hint="eastAsia" w:ascii="Times New Roman" w:hAnsi="Times New Roman" w:eastAsia="宋体" w:cs="Times New Roman"/>
                      <w:color w:val="auto"/>
                      <w:kern w:val="0"/>
                      <w:sz w:val="21"/>
                      <w:szCs w:val="21"/>
                      <w:highlight w:val="none"/>
                      <w:lang w:val="en-US" w:eastAsia="zh-CN"/>
                    </w:rPr>
                    <w:t>混凝土基础墙+单层彩钢</w:t>
                  </w:r>
                  <w:r>
                    <w:rPr>
                      <w:rFonts w:hint="eastAsia" w:cs="Times New Roman"/>
                      <w:color w:val="auto"/>
                      <w:kern w:val="0"/>
                      <w:sz w:val="21"/>
                      <w:szCs w:val="21"/>
                      <w:highlight w:val="none"/>
                      <w:lang w:val="en-US" w:eastAsia="zh-CN"/>
                    </w:rPr>
                    <w:t>板。</w:t>
                  </w:r>
                </w:p>
              </w:tc>
              <w:tc>
                <w:tcPr>
                  <w:tcW w:w="1714" w:type="dxa"/>
                  <w:vMerge w:val="continue"/>
                  <w:tcBorders>
                    <w:tl2br w:val="nil"/>
                    <w:tr2bl w:val="nil"/>
                  </w:tcBorders>
                  <w:vAlign w:val="center"/>
                </w:tcPr>
                <w:p w14:paraId="1412790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yellow"/>
                      <w:lang w:val="en-US" w:eastAsia="zh-CN"/>
                    </w:rPr>
                  </w:pPr>
                </w:p>
              </w:tc>
            </w:tr>
            <w:tr w14:paraId="6FFAAC8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17" w:hRule="atLeast"/>
                <w:jc w:val="center"/>
              </w:trPr>
              <w:tc>
                <w:tcPr>
                  <w:tcW w:w="796" w:type="dxa"/>
                  <w:vMerge w:val="continue"/>
                  <w:tcBorders>
                    <w:tl2br w:val="nil"/>
                    <w:tr2bl w:val="nil"/>
                  </w:tcBorders>
                  <w:vAlign w:val="center"/>
                </w:tcPr>
                <w:p w14:paraId="0EBBA43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6F0A9ED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联合车间</w:t>
                  </w:r>
                </w:p>
              </w:tc>
              <w:tc>
                <w:tcPr>
                  <w:tcW w:w="4023" w:type="dxa"/>
                  <w:gridSpan w:val="2"/>
                  <w:tcBorders>
                    <w:tl2br w:val="nil"/>
                    <w:tr2bl w:val="nil"/>
                  </w:tcBorders>
                  <w:vAlign w:val="center"/>
                </w:tcPr>
                <w:p w14:paraId="3B6EDAE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w:t>
                  </w:r>
                  <w:r>
                    <w:rPr>
                      <w:rFonts w:hint="eastAsia" w:cs="Times New Roman"/>
                      <w:color w:val="auto"/>
                      <w:kern w:val="0"/>
                      <w:sz w:val="21"/>
                      <w:szCs w:val="21"/>
                      <w:highlight w:val="none"/>
                      <w:lang w:val="en-US" w:eastAsia="zh-CN"/>
                    </w:rPr>
                    <w:t>468</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，混凝土框架结构</w:t>
                  </w:r>
                  <w:r>
                    <w:rPr>
                      <w:rFonts w:hint="eastAsia" w:cs="Times New Roman"/>
                      <w:color w:val="auto"/>
                      <w:kern w:val="0"/>
                      <w:sz w:val="21"/>
                      <w:szCs w:val="21"/>
                      <w:highlight w:val="none"/>
                      <w:lang w:val="en-US" w:eastAsia="zh-CN"/>
                    </w:rPr>
                    <w:t>。</w:t>
                  </w:r>
                </w:p>
              </w:tc>
              <w:tc>
                <w:tcPr>
                  <w:tcW w:w="1714" w:type="dxa"/>
                  <w:vMerge w:val="continue"/>
                  <w:tcBorders>
                    <w:tl2br w:val="nil"/>
                    <w:tr2bl w:val="nil"/>
                  </w:tcBorders>
                  <w:vAlign w:val="center"/>
                </w:tcPr>
                <w:p w14:paraId="720AECC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yellow"/>
                      <w:lang w:val="en-US" w:eastAsia="zh-CN"/>
                    </w:rPr>
                  </w:pPr>
                </w:p>
              </w:tc>
            </w:tr>
            <w:tr w14:paraId="30D832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4" w:hRule="atLeast"/>
                <w:jc w:val="center"/>
              </w:trPr>
              <w:tc>
                <w:tcPr>
                  <w:tcW w:w="796" w:type="dxa"/>
                  <w:vMerge w:val="restart"/>
                  <w:tcBorders>
                    <w:tl2br w:val="nil"/>
                    <w:tr2bl w:val="nil"/>
                  </w:tcBorders>
                  <w:vAlign w:val="center"/>
                </w:tcPr>
                <w:p w14:paraId="63C9020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辅助</w:t>
                  </w:r>
                </w:p>
                <w:p w14:paraId="2649BC9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工程</w:t>
                  </w:r>
                </w:p>
              </w:tc>
              <w:tc>
                <w:tcPr>
                  <w:tcW w:w="1320" w:type="dxa"/>
                  <w:tcBorders>
                    <w:tl2br w:val="nil"/>
                    <w:tr2bl w:val="nil"/>
                  </w:tcBorders>
                  <w:vAlign w:val="center"/>
                </w:tcPr>
                <w:p w14:paraId="7AD728C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办公室</w:t>
                  </w:r>
                </w:p>
              </w:tc>
              <w:tc>
                <w:tcPr>
                  <w:tcW w:w="5737" w:type="dxa"/>
                  <w:gridSpan w:val="3"/>
                  <w:tcBorders>
                    <w:tl2br w:val="nil"/>
                    <w:tr2bl w:val="nil"/>
                  </w:tcBorders>
                  <w:vAlign w:val="center"/>
                </w:tcPr>
                <w:p w14:paraId="22A7D59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w:t>
                  </w:r>
                  <w:r>
                    <w:rPr>
                      <w:rFonts w:hint="eastAsia" w:cs="Times New Roman"/>
                      <w:color w:val="auto"/>
                      <w:kern w:val="0"/>
                      <w:sz w:val="21"/>
                      <w:szCs w:val="21"/>
                      <w:highlight w:val="none"/>
                      <w:lang w:val="en-US" w:eastAsia="zh-CN"/>
                    </w:rPr>
                    <w:t>59.4</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，用于人员办公</w:t>
                  </w:r>
                  <w:r>
                    <w:rPr>
                      <w:rFonts w:hint="eastAsia" w:cs="Times New Roman"/>
                      <w:color w:val="auto"/>
                      <w:kern w:val="0"/>
                      <w:sz w:val="21"/>
                      <w:szCs w:val="21"/>
                      <w:highlight w:val="none"/>
                      <w:lang w:val="en-US" w:eastAsia="zh-CN"/>
                    </w:rPr>
                    <w:t>。</w:t>
                  </w:r>
                </w:p>
              </w:tc>
            </w:tr>
            <w:tr w14:paraId="090368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4" w:hRule="atLeast"/>
                <w:jc w:val="center"/>
              </w:trPr>
              <w:tc>
                <w:tcPr>
                  <w:tcW w:w="796" w:type="dxa"/>
                  <w:vMerge w:val="continue"/>
                  <w:tcBorders>
                    <w:tl2br w:val="nil"/>
                    <w:tr2bl w:val="nil"/>
                  </w:tcBorders>
                  <w:vAlign w:val="center"/>
                </w:tcPr>
                <w:p w14:paraId="6E6D6BF6">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1BFB10C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压滤厂房</w:t>
                  </w:r>
                </w:p>
              </w:tc>
              <w:tc>
                <w:tcPr>
                  <w:tcW w:w="5737" w:type="dxa"/>
                  <w:gridSpan w:val="3"/>
                  <w:tcBorders>
                    <w:tl2br w:val="nil"/>
                    <w:tr2bl w:val="nil"/>
                  </w:tcBorders>
                  <w:vAlign w:val="center"/>
                </w:tcPr>
                <w:p w14:paraId="2844C9E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w:t>
                  </w:r>
                  <w:r>
                    <w:rPr>
                      <w:rFonts w:hint="eastAsia" w:cs="Times New Roman"/>
                      <w:color w:val="auto"/>
                      <w:kern w:val="0"/>
                      <w:sz w:val="21"/>
                      <w:szCs w:val="21"/>
                      <w:highlight w:val="none"/>
                      <w:lang w:val="en-US" w:eastAsia="zh-CN"/>
                    </w:rPr>
                    <w:t>810</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，用于处理尾砂。</w:t>
                  </w:r>
                </w:p>
              </w:tc>
            </w:tr>
            <w:tr w14:paraId="3CC74D3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4" w:hRule="atLeast"/>
                <w:jc w:val="center"/>
              </w:trPr>
              <w:tc>
                <w:tcPr>
                  <w:tcW w:w="796" w:type="dxa"/>
                  <w:vMerge w:val="continue"/>
                  <w:tcBorders>
                    <w:tl2br w:val="nil"/>
                    <w:tr2bl w:val="nil"/>
                  </w:tcBorders>
                  <w:vAlign w:val="center"/>
                </w:tcPr>
                <w:p w14:paraId="16CC830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EA1D86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闲置厂房</w:t>
                  </w:r>
                </w:p>
              </w:tc>
              <w:tc>
                <w:tcPr>
                  <w:tcW w:w="5737" w:type="dxa"/>
                  <w:gridSpan w:val="3"/>
                  <w:tcBorders>
                    <w:tl2br w:val="nil"/>
                    <w:tr2bl w:val="nil"/>
                  </w:tcBorders>
                  <w:vAlign w:val="center"/>
                </w:tcPr>
                <w:p w14:paraId="3EDE92F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建筑面积1164m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，现状闲置，不作为固定生产用房，仅不定期临时停放场内工程机械及运输车辆。</w:t>
                  </w:r>
                </w:p>
              </w:tc>
            </w:tr>
            <w:tr w14:paraId="11791A9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69" w:hRule="atLeast"/>
                <w:jc w:val="center"/>
              </w:trPr>
              <w:tc>
                <w:tcPr>
                  <w:tcW w:w="796" w:type="dxa"/>
                  <w:vMerge w:val="continue"/>
                  <w:tcBorders>
                    <w:tl2br w:val="nil"/>
                    <w:tr2bl w:val="nil"/>
                  </w:tcBorders>
                  <w:vAlign w:val="center"/>
                </w:tcPr>
                <w:p w14:paraId="795F9E3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color w:val="auto"/>
                    </w:rPr>
                  </w:pPr>
                </w:p>
              </w:tc>
              <w:tc>
                <w:tcPr>
                  <w:tcW w:w="1320" w:type="dxa"/>
                  <w:tcBorders>
                    <w:tl2br w:val="nil"/>
                    <w:tr2bl w:val="nil"/>
                  </w:tcBorders>
                  <w:vAlign w:val="center"/>
                </w:tcPr>
                <w:p w14:paraId="4D5BCFF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杂品库</w:t>
                  </w:r>
                </w:p>
              </w:tc>
              <w:tc>
                <w:tcPr>
                  <w:tcW w:w="5737" w:type="dxa"/>
                  <w:gridSpan w:val="3"/>
                  <w:tcBorders>
                    <w:tl2br w:val="nil"/>
                    <w:tr2bl w:val="nil"/>
                  </w:tcBorders>
                  <w:vAlign w:val="center"/>
                </w:tcPr>
                <w:p w14:paraId="4B0F9ED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w:t>
                  </w:r>
                  <w:r>
                    <w:rPr>
                      <w:rFonts w:hint="eastAsia" w:cs="Times New Roman"/>
                      <w:color w:val="auto"/>
                      <w:kern w:val="0"/>
                      <w:sz w:val="21"/>
                      <w:szCs w:val="21"/>
                      <w:highlight w:val="none"/>
                      <w:lang w:val="en-US" w:eastAsia="zh-CN"/>
                    </w:rPr>
                    <w:t>320</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，存放杂物</w:t>
                  </w:r>
                  <w:r>
                    <w:rPr>
                      <w:rFonts w:hint="eastAsia" w:cs="Times New Roman"/>
                      <w:color w:val="auto"/>
                      <w:kern w:val="0"/>
                      <w:sz w:val="21"/>
                      <w:szCs w:val="21"/>
                      <w:highlight w:val="none"/>
                      <w:lang w:val="en-US" w:eastAsia="zh-CN"/>
                    </w:rPr>
                    <w:t>。</w:t>
                  </w:r>
                </w:p>
              </w:tc>
            </w:tr>
            <w:tr w14:paraId="2A29145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31" w:hRule="atLeast"/>
                <w:jc w:val="center"/>
              </w:trPr>
              <w:tc>
                <w:tcPr>
                  <w:tcW w:w="796" w:type="dxa"/>
                  <w:vMerge w:val="restart"/>
                  <w:tcBorders>
                    <w:tl2br w:val="nil"/>
                    <w:tr2bl w:val="nil"/>
                  </w:tcBorders>
                  <w:vAlign w:val="center"/>
                </w:tcPr>
                <w:p w14:paraId="0013C25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储运</w:t>
                  </w:r>
                </w:p>
                <w:p w14:paraId="79CD34B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工程</w:t>
                  </w:r>
                </w:p>
              </w:tc>
              <w:tc>
                <w:tcPr>
                  <w:tcW w:w="1320" w:type="dxa"/>
                  <w:tcBorders>
                    <w:tl2br w:val="nil"/>
                    <w:tr2bl w:val="nil"/>
                  </w:tcBorders>
                  <w:vAlign w:val="center"/>
                </w:tcPr>
                <w:p w14:paraId="21FD3D76">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原料库</w:t>
                  </w:r>
                </w:p>
              </w:tc>
              <w:tc>
                <w:tcPr>
                  <w:tcW w:w="5737" w:type="dxa"/>
                  <w:gridSpan w:val="3"/>
                  <w:tcBorders>
                    <w:tl2br w:val="nil"/>
                    <w:tr2bl w:val="nil"/>
                  </w:tcBorders>
                  <w:vAlign w:val="center"/>
                </w:tcPr>
                <w:p w14:paraId="304628A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建筑面积5258.2m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围护结构为</w:t>
                  </w:r>
                  <w:r>
                    <w:rPr>
                      <w:rFonts w:hint="eastAsia" w:ascii="Times New Roman" w:hAnsi="Times New Roman" w:eastAsia="宋体" w:cs="Times New Roman"/>
                      <w:color w:val="auto"/>
                      <w:kern w:val="0"/>
                      <w:sz w:val="21"/>
                      <w:szCs w:val="21"/>
                      <w:highlight w:val="none"/>
                      <w:lang w:val="en-US" w:eastAsia="zh-CN"/>
                    </w:rPr>
                    <w:t>混凝土基础墙+单层彩钢</w:t>
                  </w:r>
                  <w:r>
                    <w:rPr>
                      <w:rFonts w:hint="eastAsia" w:cs="Times New Roman"/>
                      <w:color w:val="auto"/>
                      <w:kern w:val="0"/>
                      <w:sz w:val="21"/>
                      <w:szCs w:val="21"/>
                      <w:highlight w:val="none"/>
                      <w:lang w:val="en-US" w:eastAsia="zh-CN"/>
                    </w:rPr>
                    <w:t>板，与受料仓及</w:t>
                  </w:r>
                  <w:r>
                    <w:rPr>
                      <w:rFonts w:hint="eastAsia" w:ascii="Times New Roman" w:hAnsi="Times New Roman" w:eastAsia="宋体" w:cs="Times New Roman"/>
                      <w:color w:val="auto"/>
                      <w:kern w:val="0"/>
                      <w:sz w:val="21"/>
                      <w:szCs w:val="21"/>
                      <w:highlight w:val="none"/>
                      <w:lang w:val="en-US" w:eastAsia="zh-CN"/>
                    </w:rPr>
                    <w:t>颚破间通过密闭的输送通廊连接，用于储存合格的原料矿石。</w:t>
                  </w:r>
                </w:p>
              </w:tc>
            </w:tr>
            <w:tr w14:paraId="23110F7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06" w:hRule="atLeast"/>
                <w:jc w:val="center"/>
              </w:trPr>
              <w:tc>
                <w:tcPr>
                  <w:tcW w:w="796" w:type="dxa"/>
                  <w:vMerge w:val="continue"/>
                  <w:tcBorders>
                    <w:tl2br w:val="nil"/>
                    <w:tr2bl w:val="nil"/>
                  </w:tcBorders>
                  <w:vAlign w:val="center"/>
                </w:tcPr>
                <w:p w14:paraId="6E42A35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381EA14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成品库</w:t>
                  </w:r>
                </w:p>
              </w:tc>
              <w:tc>
                <w:tcPr>
                  <w:tcW w:w="5737" w:type="dxa"/>
                  <w:gridSpan w:val="3"/>
                  <w:tcBorders>
                    <w:tl2br w:val="nil"/>
                    <w:tr2bl w:val="nil"/>
                  </w:tcBorders>
                  <w:vAlign w:val="center"/>
                </w:tcPr>
                <w:p w14:paraId="7E10FE56">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建筑面积6818.8m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，混凝土框架结构，用于储存成品。</w:t>
                  </w:r>
                </w:p>
              </w:tc>
            </w:tr>
            <w:tr w14:paraId="6110F2D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4" w:hRule="atLeast"/>
                <w:jc w:val="center"/>
              </w:trPr>
              <w:tc>
                <w:tcPr>
                  <w:tcW w:w="796" w:type="dxa"/>
                  <w:vMerge w:val="continue"/>
                  <w:tcBorders>
                    <w:tl2br w:val="nil"/>
                    <w:tr2bl w:val="nil"/>
                  </w:tcBorders>
                  <w:vAlign w:val="center"/>
                </w:tcPr>
                <w:p w14:paraId="65CC4FE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7AA601B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一般固废</w:t>
                  </w:r>
                  <w:r>
                    <w:rPr>
                      <w:rFonts w:hint="eastAsia" w:cs="Times New Roman"/>
                      <w:color w:val="auto"/>
                      <w:kern w:val="0"/>
                      <w:sz w:val="21"/>
                      <w:szCs w:val="21"/>
                      <w:highlight w:val="none"/>
                      <w:lang w:val="en-US" w:eastAsia="zh-CN"/>
                    </w:rPr>
                    <w:t>暂存间</w:t>
                  </w:r>
                </w:p>
              </w:tc>
              <w:tc>
                <w:tcPr>
                  <w:tcW w:w="5737" w:type="dxa"/>
                  <w:gridSpan w:val="3"/>
                  <w:tcBorders>
                    <w:tl2br w:val="nil"/>
                    <w:tr2bl w:val="nil"/>
                  </w:tcBorders>
                  <w:vAlign w:val="center"/>
                </w:tcPr>
                <w:p w14:paraId="7F864EA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color w:val="auto"/>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建筑面积810m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w:t>
                  </w:r>
                  <w:r>
                    <w:rPr>
                      <w:rFonts w:hint="eastAsia"/>
                      <w:color w:val="auto"/>
                      <w:sz w:val="21"/>
                      <w:szCs w:val="21"/>
                      <w:highlight w:val="none"/>
                      <w:lang w:val="en-US" w:eastAsia="zh-CN"/>
                    </w:rPr>
                    <w:t>主要储存压滤后的尾砂、除尘灰以及铁精粉。</w:t>
                  </w:r>
                </w:p>
              </w:tc>
            </w:tr>
            <w:tr w14:paraId="42DE99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7" w:hRule="atLeast"/>
                <w:jc w:val="center"/>
              </w:trPr>
              <w:tc>
                <w:tcPr>
                  <w:tcW w:w="796" w:type="dxa"/>
                  <w:vMerge w:val="continue"/>
                  <w:tcBorders>
                    <w:tl2br w:val="nil"/>
                    <w:tr2bl w:val="nil"/>
                  </w:tcBorders>
                  <w:vAlign w:val="center"/>
                </w:tcPr>
                <w:p w14:paraId="23BC7EF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024B335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危废暂存间</w:t>
                  </w:r>
                </w:p>
              </w:tc>
              <w:tc>
                <w:tcPr>
                  <w:tcW w:w="5737" w:type="dxa"/>
                  <w:gridSpan w:val="3"/>
                  <w:tcBorders>
                    <w:tl2br w:val="nil"/>
                    <w:tr2bl w:val="nil"/>
                  </w:tcBorders>
                  <w:vAlign w:val="center"/>
                </w:tcPr>
                <w:p w14:paraId="3E8131F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vertAlign w:val="baseline"/>
                      <w:lang w:val="en-US" w:eastAsia="zh-CN"/>
                    </w:rPr>
                  </w:pPr>
                  <w:r>
                    <w:rPr>
                      <w:rFonts w:hint="eastAsia" w:ascii="Times New Roman" w:hAnsi="Times New Roman" w:eastAsia="宋体" w:cs="Times New Roman"/>
                      <w:color w:val="auto"/>
                      <w:kern w:val="0"/>
                      <w:sz w:val="21"/>
                      <w:szCs w:val="21"/>
                      <w:highlight w:val="none"/>
                      <w:lang w:val="en-US" w:eastAsia="zh-CN"/>
                    </w:rPr>
                    <w:t>建筑面积</w:t>
                  </w:r>
                  <w:r>
                    <w:rPr>
                      <w:rFonts w:hint="eastAsia" w:cs="Times New Roman"/>
                      <w:color w:val="auto"/>
                      <w:kern w:val="0"/>
                      <w:sz w:val="21"/>
                      <w:szCs w:val="21"/>
                      <w:highlight w:val="none"/>
                      <w:lang w:val="en-US" w:eastAsia="zh-CN"/>
                    </w:rPr>
                    <w:t>8.75</w:t>
                  </w:r>
                  <w:r>
                    <w:rPr>
                      <w:rFonts w:hint="eastAsia" w:ascii="Times New Roman" w:hAnsi="Times New Roman" w:eastAsia="宋体" w:cs="Times New Roman"/>
                      <w:color w:val="auto"/>
                      <w:kern w:val="0"/>
                      <w:sz w:val="21"/>
                      <w:szCs w:val="21"/>
                      <w:highlight w:val="none"/>
                      <w:lang w:val="en-US" w:eastAsia="zh-CN"/>
                    </w:rPr>
                    <w:t>m</w:t>
                  </w:r>
                  <w:r>
                    <w:rPr>
                      <w:rFonts w:hint="eastAsia" w:ascii="Times New Roman" w:hAnsi="Times New Roman" w:eastAsia="宋体" w:cs="Times New Roman"/>
                      <w:color w:val="auto"/>
                      <w:kern w:val="0"/>
                      <w:sz w:val="21"/>
                      <w:szCs w:val="21"/>
                      <w:highlight w:val="none"/>
                      <w:vertAlign w:val="superscript"/>
                      <w:lang w:val="en-US" w:eastAsia="zh-CN"/>
                    </w:rPr>
                    <w:t>2</w:t>
                  </w:r>
                  <w:r>
                    <w:rPr>
                      <w:rFonts w:hint="eastAsia" w:ascii="Times New Roman" w:hAnsi="Times New Roman" w:eastAsia="宋体" w:cs="Times New Roman"/>
                      <w:color w:val="auto"/>
                      <w:kern w:val="0"/>
                      <w:sz w:val="21"/>
                      <w:szCs w:val="21"/>
                      <w:highlight w:val="none"/>
                      <w:lang w:val="en-US" w:eastAsia="zh-CN"/>
                    </w:rPr>
                    <w:t>，砖混结构</w:t>
                  </w:r>
                  <w:r>
                    <w:rPr>
                      <w:rFonts w:hint="eastAsia" w:cs="Times New Roman"/>
                      <w:b w:val="0"/>
                      <w:bCs w:val="0"/>
                      <w:color w:val="auto"/>
                      <w:w w:val="100"/>
                      <w:kern w:val="2"/>
                      <w:sz w:val="21"/>
                      <w:szCs w:val="21"/>
                      <w:highlight w:val="none"/>
                      <w:vertAlign w:val="baseline"/>
                      <w:lang w:val="en-US" w:eastAsia="zh-CN" w:bidi="ar-SA"/>
                    </w:rPr>
                    <w:t>，用于暂存危险废物。</w:t>
                  </w:r>
                </w:p>
              </w:tc>
            </w:tr>
            <w:tr w14:paraId="4EF6DC3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restart"/>
                  <w:tcBorders>
                    <w:tl2br w:val="nil"/>
                    <w:tr2bl w:val="nil"/>
                  </w:tcBorders>
                  <w:vAlign w:val="center"/>
                </w:tcPr>
                <w:p w14:paraId="0E9A9A7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公用</w:t>
                  </w:r>
                </w:p>
                <w:p w14:paraId="53045D9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工程</w:t>
                  </w:r>
                </w:p>
              </w:tc>
              <w:tc>
                <w:tcPr>
                  <w:tcW w:w="1320" w:type="dxa"/>
                  <w:tcBorders>
                    <w:tl2br w:val="nil"/>
                    <w:tr2bl w:val="nil"/>
                  </w:tcBorders>
                  <w:vAlign w:val="center"/>
                </w:tcPr>
                <w:p w14:paraId="558780B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供水系统</w:t>
                  </w:r>
                </w:p>
              </w:tc>
              <w:tc>
                <w:tcPr>
                  <w:tcW w:w="5737" w:type="dxa"/>
                  <w:gridSpan w:val="3"/>
                  <w:tcBorders>
                    <w:tl2br w:val="nil"/>
                    <w:tr2bl w:val="nil"/>
                  </w:tcBorders>
                  <w:vAlign w:val="center"/>
                </w:tcPr>
                <w:p w14:paraId="663F00C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项目用水由</w:t>
                  </w:r>
                  <w:r>
                    <w:rPr>
                      <w:rFonts w:hint="eastAsia" w:ascii="Times New Roman" w:hAnsi="Times New Roman" w:eastAsia="宋体" w:cs="Times New Roman"/>
                      <w:color w:val="auto"/>
                      <w:kern w:val="0"/>
                      <w:sz w:val="21"/>
                      <w:szCs w:val="21"/>
                      <w:highlight w:val="none"/>
                      <w:lang w:val="en-US" w:eastAsia="zh-CN"/>
                    </w:rPr>
                    <w:t>自备水井提供</w:t>
                  </w:r>
                  <w:r>
                    <w:rPr>
                      <w:rFonts w:hint="eastAsia" w:cs="Times New Roman"/>
                      <w:color w:val="auto"/>
                      <w:kern w:val="0"/>
                      <w:sz w:val="21"/>
                      <w:szCs w:val="21"/>
                      <w:highlight w:val="none"/>
                      <w:lang w:val="en-US" w:eastAsia="zh-CN"/>
                    </w:rPr>
                    <w:t>。</w:t>
                  </w:r>
                </w:p>
              </w:tc>
            </w:tr>
            <w:tr w14:paraId="0A3C447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5E72533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1653552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排水系统</w:t>
                  </w:r>
                </w:p>
              </w:tc>
              <w:tc>
                <w:tcPr>
                  <w:tcW w:w="5737" w:type="dxa"/>
                  <w:gridSpan w:val="3"/>
                  <w:tcBorders>
                    <w:tl2br w:val="nil"/>
                    <w:tr2bl w:val="nil"/>
                  </w:tcBorders>
                  <w:vAlign w:val="center"/>
                </w:tcPr>
                <w:p w14:paraId="477FFBC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生产废水循环使用，不外排</w:t>
                  </w:r>
                  <w:r>
                    <w:rPr>
                      <w:rFonts w:hint="eastAsia" w:cs="Times New Roman"/>
                      <w:color w:val="auto"/>
                      <w:kern w:val="0"/>
                      <w:sz w:val="21"/>
                      <w:szCs w:val="21"/>
                      <w:highlight w:val="none"/>
                      <w:lang w:val="en-US" w:eastAsia="zh-CN"/>
                    </w:rPr>
                    <w:t>；</w:t>
                  </w:r>
                  <w:r>
                    <w:rPr>
                      <w:rFonts w:hint="eastAsia" w:ascii="Times New Roman" w:hAnsi="Times New Roman" w:eastAsia="宋体" w:cs="Times New Roman"/>
                      <w:color w:val="auto"/>
                      <w:kern w:val="0"/>
                      <w:sz w:val="21"/>
                      <w:szCs w:val="21"/>
                      <w:highlight w:val="none"/>
                      <w:lang w:val="en-US" w:eastAsia="zh-CN"/>
                    </w:rPr>
                    <w:t>洗车废水循环使用，不外排；少量生活污水泼洒地面抑尘</w:t>
                  </w:r>
                  <w:r>
                    <w:rPr>
                      <w:rFonts w:hint="default" w:ascii="Times New Roman" w:hAnsi="Times New Roman" w:eastAsia="宋体" w:cs="Times New Roman"/>
                      <w:color w:val="auto"/>
                      <w:kern w:val="0"/>
                      <w:sz w:val="21"/>
                      <w:szCs w:val="21"/>
                      <w:highlight w:val="none"/>
                      <w:lang w:val="en-US" w:eastAsia="zh-CN"/>
                    </w:rPr>
                    <w:t>。</w:t>
                  </w:r>
                </w:p>
              </w:tc>
            </w:tr>
            <w:tr w14:paraId="1B86377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continue"/>
                  <w:tcBorders>
                    <w:tl2br w:val="nil"/>
                    <w:tr2bl w:val="nil"/>
                  </w:tcBorders>
                  <w:vAlign w:val="center"/>
                </w:tcPr>
                <w:p w14:paraId="7C2AC69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554F85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供电系统</w:t>
                  </w:r>
                </w:p>
              </w:tc>
              <w:tc>
                <w:tcPr>
                  <w:tcW w:w="5737" w:type="dxa"/>
                  <w:gridSpan w:val="3"/>
                  <w:tcBorders>
                    <w:tl2br w:val="nil"/>
                    <w:tr2bl w:val="nil"/>
                  </w:tcBorders>
                  <w:vAlign w:val="center"/>
                </w:tcPr>
                <w:p w14:paraId="158114E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由当地供电电网提供。</w:t>
                  </w:r>
                </w:p>
              </w:tc>
            </w:tr>
            <w:tr w14:paraId="2C33FBC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continue"/>
                  <w:tcBorders>
                    <w:tl2br w:val="nil"/>
                    <w:tr2bl w:val="nil"/>
                  </w:tcBorders>
                  <w:vAlign w:val="center"/>
                </w:tcPr>
                <w:p w14:paraId="758C18E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51C0121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冷暖系统</w:t>
                  </w:r>
                </w:p>
              </w:tc>
              <w:tc>
                <w:tcPr>
                  <w:tcW w:w="5737" w:type="dxa"/>
                  <w:gridSpan w:val="3"/>
                  <w:tcBorders>
                    <w:tl2br w:val="nil"/>
                    <w:tr2bl w:val="nil"/>
                  </w:tcBorders>
                  <w:vAlign w:val="center"/>
                </w:tcPr>
                <w:p w14:paraId="2404BD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生产车间不需采暖，</w:t>
                  </w:r>
                  <w:r>
                    <w:rPr>
                      <w:rFonts w:hint="eastAsia" w:cs="Times New Roman"/>
                      <w:b w:val="0"/>
                      <w:color w:val="auto"/>
                      <w:sz w:val="21"/>
                      <w:szCs w:val="21"/>
                      <w:highlight w:val="none"/>
                      <w:lang w:val="en-US" w:eastAsia="zh-CN"/>
                    </w:rPr>
                    <w:t>办公室</w:t>
                  </w:r>
                  <w:r>
                    <w:rPr>
                      <w:rFonts w:hint="default" w:ascii="Times New Roman" w:hAnsi="Times New Roman" w:eastAsia="宋体" w:cs="Times New Roman"/>
                      <w:b w:val="0"/>
                      <w:color w:val="auto"/>
                      <w:sz w:val="21"/>
                      <w:szCs w:val="21"/>
                      <w:highlight w:val="none"/>
                      <w:lang w:val="en-US" w:eastAsia="zh-CN"/>
                    </w:rPr>
                    <w:t>取暖采用</w:t>
                  </w:r>
                  <w:r>
                    <w:rPr>
                      <w:rFonts w:hint="default" w:ascii="Times New Roman" w:hAnsi="Times New Roman" w:cs="Times New Roman"/>
                      <w:b w:val="0"/>
                      <w:color w:val="auto"/>
                      <w:sz w:val="21"/>
                      <w:szCs w:val="21"/>
                      <w:highlight w:val="none"/>
                      <w:lang w:val="en-US" w:eastAsia="zh-CN"/>
                    </w:rPr>
                    <w:t>单体</w:t>
                  </w:r>
                  <w:r>
                    <w:rPr>
                      <w:rFonts w:hint="default" w:ascii="Times New Roman" w:hAnsi="Times New Roman" w:eastAsia="宋体" w:cs="Times New Roman"/>
                      <w:b w:val="0"/>
                      <w:color w:val="auto"/>
                      <w:sz w:val="21"/>
                      <w:szCs w:val="21"/>
                      <w:highlight w:val="none"/>
                      <w:lang w:val="en-US" w:eastAsia="zh-CN"/>
                    </w:rPr>
                    <w:t>空调</w:t>
                  </w:r>
                  <w:r>
                    <w:rPr>
                      <w:rFonts w:hint="default" w:ascii="Times New Roman" w:hAnsi="Times New Roman" w:cs="Times New Roman"/>
                      <w:b w:val="0"/>
                      <w:color w:val="auto"/>
                      <w:sz w:val="21"/>
                      <w:szCs w:val="21"/>
                      <w:highlight w:val="none"/>
                      <w:lang w:val="en-US" w:eastAsia="zh-CN"/>
                    </w:rPr>
                    <w:t>，以电为能源</w:t>
                  </w:r>
                  <w:r>
                    <w:rPr>
                      <w:rFonts w:hint="eastAsia" w:ascii="Times New Roman" w:hAnsi="Times New Roman" w:eastAsia="宋体" w:cs="Times New Roman"/>
                      <w:b w:val="0"/>
                      <w:color w:val="auto"/>
                      <w:sz w:val="21"/>
                      <w:szCs w:val="21"/>
                      <w:highlight w:val="none"/>
                      <w:lang w:val="en-US" w:eastAsia="zh-CN"/>
                    </w:rPr>
                    <w:t>。</w:t>
                  </w:r>
                </w:p>
              </w:tc>
            </w:tr>
            <w:tr w14:paraId="295FB8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continue"/>
                  <w:tcBorders>
                    <w:tl2br w:val="nil"/>
                    <w:tr2bl w:val="nil"/>
                  </w:tcBorders>
                  <w:vAlign w:val="center"/>
                </w:tcPr>
                <w:p w14:paraId="27D52CB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55879D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应急池</w:t>
                  </w:r>
                </w:p>
              </w:tc>
              <w:tc>
                <w:tcPr>
                  <w:tcW w:w="5737" w:type="dxa"/>
                  <w:gridSpan w:val="3"/>
                  <w:tcBorders>
                    <w:tl2br w:val="nil"/>
                    <w:tr2bl w:val="nil"/>
                  </w:tcBorders>
                  <w:vAlign w:val="center"/>
                </w:tcPr>
                <w:p w14:paraId="6F86604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设有应急池4座。</w:t>
                  </w:r>
                </w:p>
              </w:tc>
            </w:tr>
            <w:tr w14:paraId="3248103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restart"/>
                  <w:tcBorders>
                    <w:tl2br w:val="nil"/>
                    <w:tr2bl w:val="nil"/>
                  </w:tcBorders>
                  <w:vAlign w:val="center"/>
                </w:tcPr>
                <w:p w14:paraId="00BBFCD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环保</w:t>
                  </w:r>
                </w:p>
                <w:p w14:paraId="2825430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工程</w:t>
                  </w:r>
                </w:p>
              </w:tc>
              <w:tc>
                <w:tcPr>
                  <w:tcW w:w="1320" w:type="dxa"/>
                  <w:vMerge w:val="restart"/>
                  <w:tcBorders>
                    <w:tl2br w:val="nil"/>
                    <w:tr2bl w:val="nil"/>
                  </w:tcBorders>
                  <w:vAlign w:val="center"/>
                </w:tcPr>
                <w:p w14:paraId="37240E8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废气</w:t>
                  </w:r>
                </w:p>
              </w:tc>
              <w:tc>
                <w:tcPr>
                  <w:tcW w:w="5737" w:type="dxa"/>
                  <w:gridSpan w:val="3"/>
                  <w:tcBorders>
                    <w:tl2br w:val="nil"/>
                    <w:tr2bl w:val="nil"/>
                  </w:tcBorders>
                  <w:vAlign w:val="center"/>
                </w:tcPr>
                <w:p w14:paraId="369810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项目设置原料库、成品库、尾矿砂库各1座，用于存储原料、成品、尾矿砂，原料库设置</w:t>
                  </w:r>
                  <w:r>
                    <w:rPr>
                      <w:rFonts w:hint="eastAsia" w:ascii="Times New Roman" w:hAnsi="Times New Roman" w:eastAsia="宋体" w:cs="Times New Roman"/>
                      <w:color w:val="auto"/>
                      <w:kern w:val="0"/>
                      <w:sz w:val="21"/>
                      <w:szCs w:val="21"/>
                      <w:highlight w:val="none"/>
                      <w:lang w:val="en-US" w:eastAsia="zh-CN"/>
                    </w:rPr>
                    <w:t>雾炮、</w:t>
                  </w:r>
                  <w:r>
                    <w:rPr>
                      <w:rFonts w:hint="default" w:ascii="Times New Roman" w:hAnsi="Times New Roman" w:eastAsia="宋体" w:cs="Times New Roman"/>
                      <w:color w:val="auto"/>
                      <w:kern w:val="0"/>
                      <w:sz w:val="21"/>
                      <w:szCs w:val="21"/>
                      <w:highlight w:val="none"/>
                      <w:lang w:val="en-US" w:eastAsia="zh-CN"/>
                    </w:rPr>
                    <w:t>喷雾抑尘措施；受料仓置于封闭廊道内，并采取喷雾抑尘； 物料转运设置封闭的皮带通廊；车间及厂区道路地面全部硬化，</w:t>
                  </w:r>
                  <w:r>
                    <w:rPr>
                      <w:rFonts w:hint="eastAsia" w:ascii="Times New Roman" w:hAnsi="Times New Roman" w:eastAsia="宋体" w:cs="Times New Roman"/>
                      <w:color w:val="auto"/>
                      <w:kern w:val="0"/>
                      <w:sz w:val="21"/>
                      <w:szCs w:val="21"/>
                      <w:highlight w:val="none"/>
                      <w:lang w:val="en-US" w:eastAsia="zh-CN"/>
                    </w:rPr>
                    <w:t>未硬化的区域应采取绿化措施。</w:t>
                  </w:r>
                </w:p>
              </w:tc>
            </w:tr>
            <w:tr w14:paraId="140C651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67B4F0B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vMerge w:val="continue"/>
                  <w:tcBorders>
                    <w:tl2br w:val="nil"/>
                    <w:tr2bl w:val="nil"/>
                  </w:tcBorders>
                  <w:vAlign w:val="center"/>
                </w:tcPr>
                <w:p w14:paraId="6A4644D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5737" w:type="dxa"/>
                  <w:gridSpan w:val="3"/>
                  <w:tcBorders>
                    <w:tl2br w:val="nil"/>
                    <w:tr2bl w:val="nil"/>
                  </w:tcBorders>
                  <w:vAlign w:val="center"/>
                </w:tcPr>
                <w:p w14:paraId="672A2B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破碎、筛分</w:t>
                  </w:r>
                  <w:r>
                    <w:rPr>
                      <w:rFonts w:hint="eastAsia" w:cs="Times New Roman"/>
                      <w:color w:val="auto"/>
                      <w:kern w:val="0"/>
                      <w:sz w:val="21"/>
                      <w:szCs w:val="21"/>
                      <w:highlight w:val="none"/>
                      <w:lang w:val="en-US" w:eastAsia="zh-CN"/>
                    </w:rPr>
                    <w:t>、中间仓</w:t>
                  </w:r>
                  <w:r>
                    <w:rPr>
                      <w:rFonts w:hint="default" w:ascii="Times New Roman" w:hAnsi="Times New Roman" w:eastAsia="宋体" w:cs="Times New Roman"/>
                      <w:color w:val="auto"/>
                      <w:kern w:val="0"/>
                      <w:sz w:val="21"/>
                      <w:szCs w:val="21"/>
                      <w:highlight w:val="none"/>
                      <w:lang w:val="en-US" w:eastAsia="zh-CN"/>
                    </w:rPr>
                    <w:t>配有集气</w:t>
                  </w:r>
                  <w:r>
                    <w:rPr>
                      <w:rFonts w:hint="eastAsia" w:cs="Times New Roman"/>
                      <w:color w:val="auto"/>
                      <w:kern w:val="0"/>
                      <w:sz w:val="21"/>
                      <w:szCs w:val="21"/>
                      <w:highlight w:val="none"/>
                      <w:lang w:val="en-US" w:eastAsia="zh-CN"/>
                    </w:rPr>
                    <w:t>装置，废气经收集后，由1套</w:t>
                  </w:r>
                  <w:r>
                    <w:rPr>
                      <w:rFonts w:hint="default" w:ascii="Times New Roman" w:hAnsi="Times New Roman" w:eastAsia="宋体" w:cs="Times New Roman"/>
                      <w:color w:val="auto"/>
                      <w:kern w:val="0"/>
                      <w:sz w:val="21"/>
                      <w:szCs w:val="21"/>
                      <w:highlight w:val="none"/>
                      <w:lang w:val="en-US" w:eastAsia="zh-CN"/>
                    </w:rPr>
                    <w:t>脉冲布袋除尘器</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38</w:t>
                  </w:r>
                  <w:r>
                    <w:rPr>
                      <w:rFonts w:hint="eastAsia" w:ascii="Times New Roman" w:hAnsi="Times New Roman" w:eastAsia="宋体" w:cs="Times New Roman"/>
                      <w:color w:val="auto"/>
                      <w:kern w:val="0"/>
                      <w:sz w:val="21"/>
                      <w:szCs w:val="21"/>
                      <w:highlight w:val="none"/>
                      <w:lang w:val="en-US" w:eastAsia="zh-CN"/>
                    </w:rPr>
                    <w:t>000m</w:t>
                  </w:r>
                  <w:r>
                    <w:rPr>
                      <w:rFonts w:hint="eastAsia" w:ascii="Times New Roman" w:hAnsi="Times New Roman" w:eastAsia="宋体" w:cs="Times New Roman"/>
                      <w:color w:val="auto"/>
                      <w:kern w:val="0"/>
                      <w:sz w:val="21"/>
                      <w:szCs w:val="21"/>
                      <w:highlight w:val="none"/>
                      <w:vertAlign w:val="superscript"/>
                      <w:lang w:val="en-US" w:eastAsia="zh-CN"/>
                    </w:rPr>
                    <w:t>3</w:t>
                  </w:r>
                  <w:r>
                    <w:rPr>
                      <w:rFonts w:hint="eastAsia" w:ascii="Times New Roman" w:hAnsi="Times New Roman" w:eastAsia="宋体" w:cs="Times New Roman"/>
                      <w:color w:val="auto"/>
                      <w:kern w:val="0"/>
                      <w:sz w:val="21"/>
                      <w:szCs w:val="21"/>
                      <w:highlight w:val="none"/>
                      <w:lang w:val="en-US" w:eastAsia="zh-CN"/>
                    </w:rPr>
                    <w:t>/h）</w:t>
                  </w:r>
                  <w:r>
                    <w:rPr>
                      <w:rFonts w:hint="eastAsia" w:cs="Times New Roman"/>
                      <w:color w:val="auto"/>
                      <w:kern w:val="0"/>
                      <w:sz w:val="21"/>
                      <w:szCs w:val="21"/>
                      <w:highlight w:val="none"/>
                      <w:lang w:val="en-US" w:eastAsia="zh-CN"/>
                    </w:rPr>
                    <w:t>处理，由</w:t>
                  </w:r>
                  <w:r>
                    <w:rPr>
                      <w:rFonts w:hint="eastAsia" w:ascii="Times New Roman" w:hAnsi="Times New Roman" w:eastAsia="宋体" w:cs="Times New Roman"/>
                      <w:color w:val="auto"/>
                      <w:kern w:val="0"/>
                      <w:sz w:val="21"/>
                      <w:szCs w:val="21"/>
                      <w:highlight w:val="none"/>
                      <w:lang w:val="en-US" w:eastAsia="zh-CN"/>
                    </w:rPr>
                    <w:t>1根15m高排气筒</w:t>
                  </w:r>
                  <w:r>
                    <w:rPr>
                      <w:rFonts w:hint="eastAsia" w:cs="Times New Roman"/>
                      <w:color w:val="auto"/>
                      <w:kern w:val="0"/>
                      <w:sz w:val="21"/>
                      <w:szCs w:val="21"/>
                      <w:highlight w:val="none"/>
                      <w:lang w:val="en-US" w:eastAsia="zh-CN"/>
                    </w:rPr>
                    <w:t>（DA001）</w:t>
                  </w:r>
                  <w:r>
                    <w:rPr>
                      <w:rFonts w:hint="eastAsia" w:ascii="Times New Roman" w:hAnsi="Times New Roman" w:eastAsia="宋体" w:cs="Times New Roman"/>
                      <w:color w:val="auto"/>
                      <w:kern w:val="0"/>
                      <w:sz w:val="21"/>
                      <w:szCs w:val="21"/>
                      <w:highlight w:val="none"/>
                      <w:lang w:val="en-US" w:eastAsia="zh-CN"/>
                    </w:rPr>
                    <w:t>排放。</w:t>
                  </w:r>
                </w:p>
              </w:tc>
            </w:tr>
            <w:tr w14:paraId="4C557CF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55120EE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5A1657C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废水</w:t>
                  </w:r>
                </w:p>
              </w:tc>
              <w:tc>
                <w:tcPr>
                  <w:tcW w:w="5737" w:type="dxa"/>
                  <w:gridSpan w:val="3"/>
                  <w:tcBorders>
                    <w:tl2br w:val="nil"/>
                    <w:tr2bl w:val="nil"/>
                  </w:tcBorders>
                  <w:vAlign w:val="center"/>
                </w:tcPr>
                <w:p w14:paraId="500E6BC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生产废水循环使用，不外排</w:t>
                  </w:r>
                  <w:r>
                    <w:rPr>
                      <w:rFonts w:hint="eastAsia" w:cs="Times New Roman"/>
                      <w:color w:val="auto"/>
                      <w:kern w:val="0"/>
                      <w:sz w:val="21"/>
                      <w:szCs w:val="21"/>
                      <w:highlight w:val="none"/>
                      <w:lang w:val="en-US" w:eastAsia="zh-CN"/>
                    </w:rPr>
                    <w:t>；</w:t>
                  </w:r>
                  <w:r>
                    <w:rPr>
                      <w:rFonts w:hint="eastAsia" w:ascii="Times New Roman" w:hAnsi="Times New Roman" w:eastAsia="宋体" w:cs="Times New Roman"/>
                      <w:color w:val="auto"/>
                      <w:kern w:val="0"/>
                      <w:sz w:val="21"/>
                      <w:szCs w:val="21"/>
                      <w:highlight w:val="none"/>
                      <w:lang w:val="en-US" w:eastAsia="zh-CN"/>
                    </w:rPr>
                    <w:t>洗车废水循环使用，不外排；少量生活污水泼洒地面抑尘</w:t>
                  </w:r>
                  <w:r>
                    <w:rPr>
                      <w:rFonts w:hint="default" w:ascii="Times New Roman" w:hAnsi="Times New Roman" w:eastAsia="宋体" w:cs="Times New Roman"/>
                      <w:color w:val="auto"/>
                      <w:kern w:val="0"/>
                      <w:sz w:val="21"/>
                      <w:szCs w:val="21"/>
                      <w:highlight w:val="none"/>
                      <w:lang w:val="en-US" w:eastAsia="zh-CN"/>
                    </w:rPr>
                    <w:t>。</w:t>
                  </w:r>
                </w:p>
              </w:tc>
            </w:tr>
            <w:tr w14:paraId="4F61954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52" w:hRule="atLeast"/>
                <w:jc w:val="center"/>
              </w:trPr>
              <w:tc>
                <w:tcPr>
                  <w:tcW w:w="796" w:type="dxa"/>
                  <w:vMerge w:val="continue"/>
                  <w:tcBorders>
                    <w:tl2br w:val="nil"/>
                    <w:tr2bl w:val="nil"/>
                  </w:tcBorders>
                  <w:vAlign w:val="center"/>
                </w:tcPr>
                <w:p w14:paraId="4FA8FAC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70E0CE0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噪声</w:t>
                  </w:r>
                </w:p>
              </w:tc>
              <w:tc>
                <w:tcPr>
                  <w:tcW w:w="5737" w:type="dxa"/>
                  <w:gridSpan w:val="3"/>
                  <w:tcBorders>
                    <w:tl2br w:val="nil"/>
                    <w:tr2bl w:val="nil"/>
                  </w:tcBorders>
                  <w:vAlign w:val="center"/>
                </w:tcPr>
                <w:p w14:paraId="2A07329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选用低噪声设备、合理布局，隔声、减振等措施。</w:t>
                  </w:r>
                </w:p>
              </w:tc>
            </w:tr>
            <w:tr w14:paraId="7DB86F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507AFDF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vMerge w:val="restart"/>
                  <w:tcBorders>
                    <w:tl2br w:val="nil"/>
                    <w:tr2bl w:val="nil"/>
                  </w:tcBorders>
                  <w:vAlign w:val="center"/>
                </w:tcPr>
                <w:p w14:paraId="0232DCD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固废</w:t>
                  </w:r>
                </w:p>
              </w:tc>
              <w:tc>
                <w:tcPr>
                  <w:tcW w:w="789" w:type="dxa"/>
                  <w:tcBorders>
                    <w:tl2br w:val="nil"/>
                    <w:tr2bl w:val="nil"/>
                  </w:tcBorders>
                  <w:vAlign w:val="center"/>
                </w:tcPr>
                <w:p w14:paraId="1AA9D79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一般</w:t>
                  </w:r>
                </w:p>
                <w:p w14:paraId="7BCC3F0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固废</w:t>
                  </w:r>
                </w:p>
              </w:tc>
              <w:tc>
                <w:tcPr>
                  <w:tcW w:w="4948" w:type="dxa"/>
                  <w:gridSpan w:val="2"/>
                  <w:tcBorders>
                    <w:tl2br w:val="nil"/>
                    <w:tr2bl w:val="nil"/>
                  </w:tcBorders>
                  <w:vAlign w:val="center"/>
                </w:tcPr>
                <w:p w14:paraId="0D52815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布袋除尘器产生的废布袋，</w:t>
                  </w:r>
                  <w:r>
                    <w:rPr>
                      <w:rFonts w:hint="default" w:ascii="Times New Roman" w:hAnsi="Times New Roman" w:eastAsia="宋体" w:cs="Times New Roman"/>
                      <w:b w:val="0"/>
                      <w:bCs/>
                      <w:color w:val="auto"/>
                      <w:sz w:val="21"/>
                      <w:szCs w:val="21"/>
                      <w:highlight w:val="none"/>
                      <w:lang w:val="en-US" w:eastAsia="zh-CN"/>
                    </w:rPr>
                    <w:t>更换后，直接外售废品回收站</w:t>
                  </w:r>
                  <w:r>
                    <w:rPr>
                      <w:rFonts w:hint="eastAsia" w:ascii="Times New Roman" w:hAnsi="Times New Roman" w:eastAsia="宋体"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除尘灰</w:t>
                  </w:r>
                  <w:r>
                    <w:rPr>
                      <w:rFonts w:hint="eastAsia" w:cs="Times New Roman"/>
                      <w:b w:val="0"/>
                      <w:bCs/>
                      <w:color w:val="auto"/>
                      <w:sz w:val="21"/>
                      <w:szCs w:val="21"/>
                      <w:highlight w:val="none"/>
                      <w:lang w:val="en-US" w:eastAsia="zh-CN"/>
                    </w:rPr>
                    <w:t>集中</w:t>
                  </w:r>
                  <w:r>
                    <w:rPr>
                      <w:rFonts w:hint="default" w:ascii="Times New Roman" w:hAnsi="Times New Roman" w:eastAsia="宋体" w:cs="Times New Roman"/>
                      <w:b w:val="0"/>
                      <w:bCs/>
                      <w:color w:val="auto"/>
                      <w:sz w:val="21"/>
                      <w:szCs w:val="21"/>
                      <w:highlight w:val="none"/>
                      <w:lang w:val="en-US" w:eastAsia="zh-CN"/>
                    </w:rPr>
                    <w:t>收集</w:t>
                  </w:r>
                  <w:r>
                    <w:rPr>
                      <w:rFonts w:hint="eastAsia" w:cs="Times New Roman"/>
                      <w:b w:val="0"/>
                      <w:bCs/>
                      <w:color w:val="auto"/>
                      <w:sz w:val="21"/>
                      <w:szCs w:val="21"/>
                      <w:highlight w:val="none"/>
                      <w:lang w:val="en-US" w:eastAsia="zh-CN"/>
                    </w:rPr>
                    <w:t>，</w:t>
                  </w:r>
                  <w:r>
                    <w:rPr>
                      <w:rFonts w:hint="eastAsia" w:cs="Times New Roman"/>
                      <w:b w:val="0"/>
                      <w:bCs/>
                      <w:color w:val="auto"/>
                      <w:sz w:val="21"/>
                      <w:szCs w:val="21"/>
                      <w:highlight w:val="none"/>
                      <w:lang w:eastAsia="zh-CN"/>
                    </w:rPr>
                    <w:t>暂存于一般固废暂存间，定期外售水泥厂</w:t>
                  </w:r>
                  <w:r>
                    <w:rPr>
                      <w:rFonts w:hint="eastAsia" w:ascii="Times New Roman" w:hAnsi="Times New Roman" w:eastAsia="宋体" w:cs="Times New Roman"/>
                      <w:b w:val="0"/>
                      <w:bCs/>
                      <w:color w:val="auto"/>
                      <w:sz w:val="21"/>
                      <w:szCs w:val="21"/>
                      <w:highlight w:val="none"/>
                      <w:lang w:eastAsia="zh-CN"/>
                    </w:rPr>
                    <w:t>；</w:t>
                  </w:r>
                  <w:r>
                    <w:rPr>
                      <w:rFonts w:hint="eastAsia" w:ascii="Times New Roman" w:hAnsi="Times New Roman" w:eastAsia="宋体" w:cs="Times New Roman"/>
                      <w:b w:val="0"/>
                      <w:bCs/>
                      <w:color w:val="auto"/>
                      <w:sz w:val="21"/>
                      <w:szCs w:val="21"/>
                      <w:highlight w:val="none"/>
                      <w:lang w:val="en-US" w:eastAsia="zh-CN"/>
                    </w:rPr>
                    <w:t>沉淀池污泥定期清理，清理后直接</w:t>
                  </w:r>
                  <w:r>
                    <w:rPr>
                      <w:rFonts w:hint="default" w:ascii="Times New Roman" w:hAnsi="Times New Roman" w:eastAsia="宋体" w:cs="Times New Roman"/>
                      <w:b w:val="0"/>
                      <w:bCs/>
                      <w:color w:val="auto"/>
                      <w:sz w:val="21"/>
                      <w:szCs w:val="21"/>
                      <w:highlight w:val="none"/>
                      <w:lang w:val="en-US" w:eastAsia="zh-CN"/>
                    </w:rPr>
                    <w:t>作外售</w:t>
                  </w:r>
                  <w:r>
                    <w:rPr>
                      <w:rFonts w:hint="eastAsia" w:ascii="Times New Roman" w:hAnsi="Times New Roman" w:eastAsia="宋体" w:cs="Times New Roman"/>
                      <w:b w:val="0"/>
                      <w:bCs/>
                      <w:color w:val="auto"/>
                      <w:sz w:val="21"/>
                      <w:szCs w:val="21"/>
                      <w:highlight w:val="none"/>
                      <w:lang w:val="en-US" w:eastAsia="zh-CN"/>
                    </w:rPr>
                    <w:t>水泥厂；</w:t>
                  </w:r>
                  <w:r>
                    <w:rPr>
                      <w:rFonts w:hint="eastAsia" w:ascii="Times New Roman" w:hAnsi="Times New Roman" w:eastAsia="宋体" w:cs="Times New Roman"/>
                      <w:b w:val="0"/>
                      <w:bCs w:val="0"/>
                      <w:color w:val="auto"/>
                      <w:w w:val="100"/>
                      <w:kern w:val="2"/>
                      <w:sz w:val="21"/>
                      <w:szCs w:val="21"/>
                      <w:highlight w:val="none"/>
                      <w:lang w:val="en-US" w:eastAsia="zh-CN" w:bidi="ar-SA"/>
                    </w:rPr>
                    <w:t>尾矿砂</w:t>
                  </w:r>
                  <w:r>
                    <w:rPr>
                      <w:rFonts w:hint="default" w:ascii="Times New Roman" w:hAnsi="Times New Roman" w:eastAsia="宋体" w:cs="Times New Roman"/>
                      <w:b w:val="0"/>
                      <w:bCs w:val="0"/>
                      <w:color w:val="auto"/>
                      <w:w w:val="100"/>
                      <w:kern w:val="2"/>
                      <w:sz w:val="21"/>
                      <w:szCs w:val="21"/>
                      <w:highlight w:val="none"/>
                      <w:lang w:val="en-US" w:eastAsia="zh-CN" w:bidi="ar-SA"/>
                    </w:rPr>
                    <w:t>集中收集，</w:t>
                  </w:r>
                  <w:r>
                    <w:rPr>
                      <w:rFonts w:hint="eastAsia" w:cs="Times New Roman"/>
                      <w:b w:val="0"/>
                      <w:bCs/>
                      <w:color w:val="auto"/>
                      <w:sz w:val="21"/>
                      <w:szCs w:val="21"/>
                      <w:highlight w:val="none"/>
                      <w:lang w:eastAsia="zh-CN"/>
                    </w:rPr>
                    <w:t>暂存于一般固废暂存间，</w:t>
                  </w:r>
                  <w:r>
                    <w:rPr>
                      <w:rFonts w:hint="eastAsia" w:cs="Times New Roman"/>
                      <w:b w:val="0"/>
                      <w:bCs w:val="0"/>
                      <w:color w:val="auto"/>
                      <w:w w:val="100"/>
                      <w:kern w:val="2"/>
                      <w:sz w:val="21"/>
                      <w:szCs w:val="21"/>
                      <w:highlight w:val="none"/>
                      <w:lang w:val="en-US" w:eastAsia="zh-CN" w:bidi="ar-SA"/>
                    </w:rPr>
                    <w:t>定期</w:t>
                  </w:r>
                  <w:r>
                    <w:rPr>
                      <w:rFonts w:hint="default" w:ascii="Times New Roman" w:hAnsi="Times New Roman" w:eastAsia="宋体" w:cs="Times New Roman"/>
                      <w:b w:val="0"/>
                      <w:bCs w:val="0"/>
                      <w:color w:val="auto"/>
                      <w:w w:val="100"/>
                      <w:kern w:val="2"/>
                      <w:sz w:val="21"/>
                      <w:szCs w:val="21"/>
                      <w:highlight w:val="none"/>
                      <w:lang w:val="en-US" w:eastAsia="zh-CN" w:bidi="ar-SA"/>
                    </w:rPr>
                    <w:t>外售至水泥厂</w:t>
                  </w:r>
                  <w:r>
                    <w:rPr>
                      <w:rFonts w:hint="eastAsia" w:ascii="Times New Roman" w:hAnsi="Times New Roman" w:eastAsia="宋体" w:cs="Times New Roman"/>
                      <w:b w:val="0"/>
                      <w:bCs/>
                      <w:color w:val="auto"/>
                      <w:sz w:val="21"/>
                      <w:szCs w:val="21"/>
                      <w:highlight w:val="none"/>
                      <w:lang w:val="en-US" w:eastAsia="zh-CN"/>
                    </w:rPr>
                    <w:t>；</w:t>
                  </w:r>
                  <w:r>
                    <w:rPr>
                      <w:rFonts w:hint="eastAsia" w:cs="Times New Roman"/>
                      <w:b w:val="0"/>
                      <w:bCs/>
                      <w:color w:val="auto"/>
                      <w:sz w:val="21"/>
                      <w:szCs w:val="21"/>
                      <w:highlight w:val="none"/>
                      <w:lang w:val="en-US" w:eastAsia="zh-CN"/>
                    </w:rPr>
                    <w:t>铁精粉</w:t>
                  </w:r>
                  <w:r>
                    <w:rPr>
                      <w:rFonts w:hint="default" w:ascii="Times New Roman" w:hAnsi="Times New Roman" w:eastAsia="宋体" w:cs="Times New Roman"/>
                      <w:b w:val="0"/>
                      <w:bCs w:val="0"/>
                      <w:color w:val="auto"/>
                      <w:w w:val="100"/>
                      <w:kern w:val="2"/>
                      <w:sz w:val="21"/>
                      <w:szCs w:val="21"/>
                      <w:highlight w:val="none"/>
                      <w:lang w:val="en-US" w:eastAsia="zh-CN" w:bidi="ar-SA"/>
                    </w:rPr>
                    <w:t>集中收集，</w:t>
                  </w:r>
                  <w:r>
                    <w:rPr>
                      <w:rFonts w:hint="eastAsia" w:cs="Times New Roman"/>
                      <w:b w:val="0"/>
                      <w:bCs/>
                      <w:color w:val="auto"/>
                      <w:sz w:val="21"/>
                      <w:szCs w:val="21"/>
                      <w:highlight w:val="none"/>
                      <w:lang w:eastAsia="zh-CN"/>
                    </w:rPr>
                    <w:t>暂存于一般固废暂存间，</w:t>
                  </w:r>
                  <w:r>
                    <w:rPr>
                      <w:rFonts w:hint="eastAsia" w:cs="Times New Roman"/>
                      <w:b w:val="0"/>
                      <w:bCs w:val="0"/>
                      <w:color w:val="auto"/>
                      <w:w w:val="100"/>
                      <w:kern w:val="2"/>
                      <w:sz w:val="21"/>
                      <w:szCs w:val="21"/>
                      <w:highlight w:val="none"/>
                      <w:lang w:val="en-US" w:eastAsia="zh-CN" w:bidi="ar-SA"/>
                    </w:rPr>
                    <w:t>定期</w:t>
                  </w:r>
                  <w:r>
                    <w:rPr>
                      <w:rFonts w:hint="eastAsia" w:ascii="Times New Roman" w:hAnsi="Times New Roman" w:eastAsia="宋体" w:cs="Times New Roman"/>
                      <w:b w:val="0"/>
                      <w:bCs w:val="0"/>
                      <w:color w:val="auto"/>
                      <w:w w:val="100"/>
                      <w:kern w:val="2"/>
                      <w:sz w:val="21"/>
                      <w:szCs w:val="21"/>
                      <w:highlight w:val="none"/>
                      <w:lang w:val="en-US" w:eastAsia="zh-CN" w:bidi="ar-SA"/>
                    </w:rPr>
                    <w:t>外售铁粉厂</w:t>
                  </w:r>
                  <w:r>
                    <w:rPr>
                      <w:rFonts w:hint="eastAsia" w:cs="Times New Roman"/>
                      <w:b w:val="0"/>
                      <w:bCs w:val="0"/>
                      <w:color w:val="auto"/>
                      <w:w w:val="100"/>
                      <w:kern w:val="2"/>
                      <w:sz w:val="21"/>
                      <w:szCs w:val="21"/>
                      <w:highlight w:val="none"/>
                      <w:lang w:val="en-US" w:eastAsia="zh-CN" w:bidi="ar-SA"/>
                    </w:rPr>
                    <w:t>。</w:t>
                  </w:r>
                </w:p>
              </w:tc>
            </w:tr>
            <w:tr w14:paraId="1D91F53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796" w:type="dxa"/>
                  <w:vMerge w:val="continue"/>
                  <w:tcBorders>
                    <w:tl2br w:val="nil"/>
                    <w:tr2bl w:val="nil"/>
                  </w:tcBorders>
                  <w:vAlign w:val="center"/>
                </w:tcPr>
                <w:p w14:paraId="2B79DCD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vMerge w:val="continue"/>
                  <w:tcBorders>
                    <w:tl2br w:val="nil"/>
                    <w:tr2bl w:val="nil"/>
                  </w:tcBorders>
                  <w:vAlign w:val="center"/>
                </w:tcPr>
                <w:p w14:paraId="4EFA71B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789" w:type="dxa"/>
                  <w:tcBorders>
                    <w:tl2br w:val="nil"/>
                    <w:tr2bl w:val="nil"/>
                  </w:tcBorders>
                  <w:vAlign w:val="center"/>
                </w:tcPr>
                <w:p w14:paraId="5483C3B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危险</w:t>
                  </w:r>
                </w:p>
                <w:p w14:paraId="30103D9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废物</w:t>
                  </w:r>
                </w:p>
              </w:tc>
              <w:tc>
                <w:tcPr>
                  <w:tcW w:w="4948" w:type="dxa"/>
                  <w:gridSpan w:val="2"/>
                  <w:tcBorders>
                    <w:tl2br w:val="nil"/>
                    <w:tr2bl w:val="nil"/>
                  </w:tcBorders>
                  <w:vAlign w:val="center"/>
                </w:tcPr>
                <w:p w14:paraId="602F7B5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废润滑油、废油桶</w:t>
                  </w:r>
                  <w:r>
                    <w:rPr>
                      <w:rFonts w:hint="default" w:ascii="Times New Roman" w:hAnsi="Times New Roman" w:eastAsia="宋体" w:cs="Times New Roman"/>
                      <w:color w:val="auto"/>
                      <w:kern w:val="0"/>
                      <w:sz w:val="21"/>
                      <w:szCs w:val="21"/>
                      <w:highlight w:val="none"/>
                      <w:lang w:val="en-US" w:eastAsia="zh-CN"/>
                    </w:rPr>
                    <w:t>暂存于危废暂存间，定期交由有资质单位处理。</w:t>
                  </w:r>
                </w:p>
              </w:tc>
            </w:tr>
            <w:tr w14:paraId="536807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3F365E1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vMerge w:val="continue"/>
                  <w:tcBorders>
                    <w:tl2br w:val="nil"/>
                    <w:tr2bl w:val="nil"/>
                  </w:tcBorders>
                  <w:vAlign w:val="center"/>
                </w:tcPr>
                <w:p w14:paraId="6FFADE6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5737" w:type="dxa"/>
                  <w:gridSpan w:val="3"/>
                  <w:tcBorders>
                    <w:tl2br w:val="nil"/>
                    <w:tr2bl w:val="nil"/>
                  </w:tcBorders>
                  <w:vAlign w:val="center"/>
                </w:tcPr>
                <w:p w14:paraId="7BB1498A">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职工生活垃圾集中收集后由当地环卫部门统一处理</w:t>
                  </w:r>
                  <w:r>
                    <w:rPr>
                      <w:rFonts w:hint="eastAsia" w:cs="Times New Roman"/>
                      <w:color w:val="auto"/>
                      <w:kern w:val="0"/>
                      <w:sz w:val="21"/>
                      <w:szCs w:val="21"/>
                      <w:highlight w:val="none"/>
                      <w:lang w:val="en-US" w:eastAsia="zh-CN"/>
                    </w:rPr>
                    <w:t>。</w:t>
                  </w:r>
                </w:p>
              </w:tc>
            </w:tr>
            <w:tr w14:paraId="5967383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5" w:hRule="atLeast"/>
                <w:jc w:val="center"/>
              </w:trPr>
              <w:tc>
                <w:tcPr>
                  <w:tcW w:w="796" w:type="dxa"/>
                  <w:vMerge w:val="continue"/>
                  <w:tcBorders>
                    <w:tl2br w:val="nil"/>
                    <w:tr2bl w:val="nil"/>
                  </w:tcBorders>
                  <w:vAlign w:val="center"/>
                </w:tcPr>
                <w:p w14:paraId="68FEA0F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F49357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风险</w:t>
                  </w:r>
                </w:p>
              </w:tc>
              <w:tc>
                <w:tcPr>
                  <w:tcW w:w="5737" w:type="dxa"/>
                  <w:gridSpan w:val="3"/>
                  <w:tcBorders>
                    <w:tl2br w:val="nil"/>
                    <w:tr2bl w:val="nil"/>
                  </w:tcBorders>
                  <w:vAlign w:val="center"/>
                </w:tcPr>
                <w:p w14:paraId="2622F97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textAlignment w:val="auto"/>
                    <w:rPr>
                      <w:rFonts w:hint="eastAsia" w:cs="Times New Roman"/>
                      <w:color w:val="auto"/>
                      <w:kern w:val="0"/>
                      <w:sz w:val="21"/>
                      <w:szCs w:val="21"/>
                      <w:highlight w:val="none"/>
                      <w:lang w:val="en-US" w:eastAsia="zh-CN"/>
                    </w:rPr>
                  </w:pPr>
                  <w:r>
                    <w:rPr>
                      <w:rFonts w:hint="eastAsia" w:ascii="Times New Roman" w:hAnsi="Times New Roman" w:cs="Times New Roman"/>
                      <w:color w:val="auto"/>
                      <w:sz w:val="21"/>
                      <w:szCs w:val="21"/>
                      <w:highlight w:val="none"/>
                      <w:lang w:val="en-US" w:eastAsia="zh-CN"/>
                    </w:rPr>
                    <w:t>各风险单元按要求进行了防腐防渗，配备必要的应急物资；设置应急组织机构，并定期进行培训和演练。</w:t>
                  </w:r>
                </w:p>
              </w:tc>
            </w:tr>
            <w:tr w14:paraId="15CDD29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16F6315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1320" w:type="dxa"/>
                  <w:tcBorders>
                    <w:tl2br w:val="nil"/>
                    <w:tr2bl w:val="nil"/>
                  </w:tcBorders>
                  <w:vAlign w:val="center"/>
                </w:tcPr>
                <w:p w14:paraId="21ECE62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防渗</w:t>
                  </w:r>
                </w:p>
              </w:tc>
              <w:tc>
                <w:tcPr>
                  <w:tcW w:w="5737" w:type="dxa"/>
                  <w:gridSpan w:val="3"/>
                  <w:tcBorders>
                    <w:tl2br w:val="nil"/>
                    <w:tr2bl w:val="nil"/>
                  </w:tcBorders>
                  <w:vAlign w:val="center"/>
                </w:tcPr>
                <w:p w14:paraId="39583D3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 w:val="21"/>
                      <w:szCs w:val="21"/>
                      <w:highlight w:val="none"/>
                    </w:rPr>
                    <w:t>危废暂存间</w:t>
                  </w:r>
                  <w:r>
                    <w:rPr>
                      <w:rFonts w:hint="default" w:ascii="Times New Roman" w:hAnsi="Times New Roman" w:cs="Times New Roman"/>
                      <w:color w:val="auto"/>
                      <w:sz w:val="21"/>
                      <w:szCs w:val="21"/>
                      <w:highlight w:val="none"/>
                      <w:lang w:val="en-US" w:eastAsia="zh-CN"/>
                    </w:rPr>
                    <w:t>地面采用抗渗混凝土浇筑，防渗层厚度为15cm，危废暂存间设有堵截泄漏的裙脚，地面与裙脚采用坚固防渗的材料建造，地面与裙脚</w:t>
                  </w:r>
                  <w:r>
                    <w:rPr>
                      <w:rFonts w:hint="eastAsia" w:cs="Times New Roman"/>
                      <w:color w:val="auto"/>
                      <w:sz w:val="21"/>
                      <w:szCs w:val="21"/>
                      <w:highlight w:val="none"/>
                      <w:lang w:val="en-US" w:eastAsia="zh-CN"/>
                    </w:rPr>
                    <w:t>涂覆</w:t>
                  </w:r>
                  <w:r>
                    <w:rPr>
                      <w:rFonts w:hint="default" w:ascii="Times New Roman" w:hAnsi="Times New Roman" w:cs="Times New Roman"/>
                      <w:color w:val="auto"/>
                      <w:sz w:val="21"/>
                      <w:szCs w:val="21"/>
                      <w:highlight w:val="none"/>
                      <w:lang w:val="en-US" w:eastAsia="zh-CN"/>
                    </w:rPr>
                    <w:t>3层环氧树脂胶，2层玻璃纤维布进行防腐防渗，渗透系数</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1.0×10</w:t>
                  </w:r>
                  <w:r>
                    <w:rPr>
                      <w:rFonts w:hint="default" w:ascii="Times New Roman" w:hAnsi="Times New Roman" w:cs="Times New Roman"/>
                      <w:color w:val="auto"/>
                      <w:sz w:val="21"/>
                      <w:szCs w:val="21"/>
                      <w:highlight w:val="none"/>
                      <w:vertAlign w:val="superscript"/>
                      <w:lang w:val="en-US" w:eastAsia="zh-CN"/>
                    </w:rPr>
                    <w:t>-10</w:t>
                  </w:r>
                  <w:r>
                    <w:rPr>
                      <w:rFonts w:hint="default" w:ascii="Times New Roman" w:hAnsi="Times New Roman" w:cs="Times New Roman"/>
                      <w:color w:val="auto"/>
                      <w:sz w:val="21"/>
                      <w:szCs w:val="21"/>
                      <w:highlight w:val="none"/>
                      <w:lang w:val="en-US" w:eastAsia="zh-CN"/>
                    </w:rPr>
                    <w:t>cm/s</w:t>
                  </w:r>
                  <w:r>
                    <w:rPr>
                      <w:rFonts w:hint="eastAsia" w:ascii="Times New Roman" w:hAnsi="Times New Roman" w:cs="Times New Roman"/>
                      <w:color w:val="auto"/>
                      <w:sz w:val="21"/>
                      <w:szCs w:val="21"/>
                      <w:highlight w:val="none"/>
                      <w:lang w:val="en-US" w:eastAsia="zh-CN"/>
                    </w:rPr>
                    <w:t>。</w:t>
                  </w:r>
                </w:p>
              </w:tc>
            </w:tr>
          </w:tbl>
          <w:p w14:paraId="1538AE45">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5、现有工程生产工艺流程简述</w:t>
            </w:r>
          </w:p>
          <w:p w14:paraId="52A6BBE6">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⑴原料进厂</w:t>
            </w:r>
          </w:p>
          <w:p w14:paraId="3B1D6F27">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本项目原料硅砂岩汽运入厂，于原料库房卸车暂存。</w:t>
            </w:r>
          </w:p>
          <w:p w14:paraId="32FF6F8B">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⑵粗破</w:t>
            </w:r>
          </w:p>
          <w:p w14:paraId="7492808F">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原料由铲车下料至受料仓内，受料仓内物料经给料机进入</w:t>
            </w:r>
            <w:r>
              <w:rPr>
                <w:rFonts w:hint="eastAsia" w:cs="Times New Roman"/>
                <w:color w:val="auto"/>
                <w:highlight w:val="none"/>
                <w:lang w:val="en-US" w:eastAsia="zh-CN"/>
              </w:rPr>
              <w:t>颚式破碎机</w:t>
            </w:r>
            <w:r>
              <w:rPr>
                <w:rFonts w:hint="default" w:ascii="Times New Roman" w:hAnsi="Times New Roman" w:eastAsia="宋体" w:cs="Times New Roman"/>
                <w:color w:val="auto"/>
                <w:highlight w:val="none"/>
                <w:lang w:val="en-US" w:eastAsia="zh-CN"/>
              </w:rPr>
              <w:t>进行一级破碎。一级破碎后的物料下料至皮带，由皮带送入圆锥破碎机进行二次破碎。</w:t>
            </w:r>
          </w:p>
          <w:p w14:paraId="3C95533E">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⑶二级破碎</w:t>
            </w:r>
          </w:p>
          <w:p w14:paraId="29005A7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经一级破碎后的物料通过皮带输送至圆锥破碎机进行二级破碎，破碎后物料进入中间仓，之后进入联合车间。</w:t>
            </w:r>
          </w:p>
          <w:p w14:paraId="5D99500F">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⑷棒磨及筛分</w:t>
            </w:r>
          </w:p>
          <w:p w14:paraId="01501784">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破碎后由皮带机直接输送至联合车间，以水为介质进行磨矿，棒磨机排矿经胶泵打入滚笼筛进行筛分，筛上物料返回棒磨机重新磨矿，筛下矿浆进入水力分级机。</w:t>
            </w:r>
          </w:p>
          <w:p w14:paraId="779AFD1B">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⑸水力分级、磁选、成品暂存</w:t>
            </w:r>
          </w:p>
          <w:p w14:paraId="40C19A7A">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滚笼筛筛下物料进入水力分级机进行水力分级，溢流水排入浓缩罐，矿浆进入中磁机进行磁选，选出含磁物料，磁选后矿浆进入高效分级机进行高效分级，溢流水排入浓缩罐，矿浆由泵打入旋流器，旋流分级后即为成品，输送至成品库暂存。</w:t>
            </w:r>
          </w:p>
          <w:p w14:paraId="1A2E4C20">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⑹尾矿处理及贮存</w:t>
            </w:r>
          </w:p>
          <w:p w14:paraId="51C60322">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尾矿矿浆排入浓缩罐，经浓缩罐浓缩后，沉淀在浓缩罐底部的浓矿浆由泵打入压滤机进行压滤后，尾矿砂进入尾砂库暂存，之后外售。浓缩罐上清液及成品库溢流水一起排入清水池后回用于生产。</w:t>
            </w:r>
          </w:p>
          <w:p w14:paraId="2238A97F">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color w:val="auto"/>
                <w:lang w:val="en-US" w:eastAsia="zh-CN"/>
              </w:rPr>
            </w:pPr>
            <w:r>
              <w:rPr>
                <w:rFonts w:hint="eastAsia"/>
                <w:color w:val="auto"/>
                <w:lang w:val="en-US" w:eastAsia="zh-CN"/>
              </w:rPr>
              <w:t>现有生产工艺流程如下：</w:t>
            </w:r>
          </w:p>
          <w:p w14:paraId="18F6D306">
            <w:pPr>
              <w:pStyle w:val="15"/>
              <w:keepNext w:val="0"/>
              <w:keepLines w:val="0"/>
              <w:pageBreakBefore w:val="0"/>
              <w:widowControl w:val="0"/>
              <w:shd w:val="clear"/>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default"/>
                <w:color w:val="auto"/>
                <w:lang w:val="en-US" w:eastAsia="zh-CN"/>
              </w:rPr>
            </w:pPr>
            <w:r>
              <w:rPr>
                <w:rFonts w:hint="default"/>
                <w:color w:val="auto"/>
                <w:lang w:val="en-US" w:eastAsia="zh-CN"/>
              </w:rPr>
              <w:drawing>
                <wp:inline distT="0" distB="0" distL="114300" distR="114300">
                  <wp:extent cx="4424680" cy="5942965"/>
                  <wp:effectExtent l="0" t="0" r="13970" b="635"/>
                  <wp:docPr id="3" name="图片 3"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1"/>
                          <pic:cNvPicPr>
                            <a:picLocks noChangeAspect="1"/>
                          </pic:cNvPicPr>
                        </pic:nvPicPr>
                        <pic:blipFill>
                          <a:blip r:embed="rId9"/>
                          <a:srcRect l="11760" t="8847" r="11155" b="17965"/>
                          <a:stretch>
                            <a:fillRect/>
                          </a:stretch>
                        </pic:blipFill>
                        <pic:spPr>
                          <a:xfrm>
                            <a:off x="0" y="0"/>
                            <a:ext cx="4424680" cy="5942965"/>
                          </a:xfrm>
                          <a:prstGeom prst="rect">
                            <a:avLst/>
                          </a:prstGeom>
                        </pic:spPr>
                      </pic:pic>
                    </a:graphicData>
                  </a:graphic>
                </wp:inline>
              </w:drawing>
            </w:r>
          </w:p>
          <w:p w14:paraId="01EB71E9">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color w:val="auto"/>
                <w:lang w:val="en-US" w:eastAsia="zh-CN"/>
              </w:rPr>
            </w:pPr>
            <w:r>
              <w:rPr>
                <w:rFonts w:hint="eastAsia"/>
                <w:b/>
                <w:bCs/>
                <w:color w:val="auto"/>
                <w:sz w:val="21"/>
                <w:szCs w:val="21"/>
                <w:lang w:val="en-US" w:eastAsia="zh-CN"/>
              </w:rPr>
              <w:t>现有工程工艺流程图</w:t>
            </w:r>
          </w:p>
          <w:p w14:paraId="0AF65A81">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w:t>
            </w:r>
            <w:r>
              <w:rPr>
                <w:rFonts w:hint="eastAsia" w:ascii="Times New Roman" w:hAnsi="Times New Roman" w:eastAsia="宋体" w:cs="Times New Roman"/>
                <w:color w:val="auto"/>
                <w:highlight w:val="none"/>
                <w:lang w:val="en-US" w:eastAsia="zh-CN"/>
              </w:rPr>
              <w:t>现有工程现状</w:t>
            </w:r>
          </w:p>
          <w:p w14:paraId="2E62F9E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color w:val="auto"/>
                <w:lang w:val="en-US" w:eastAsia="zh-CN"/>
              </w:rPr>
            </w:pPr>
            <w:r>
              <w:rPr>
                <w:rFonts w:hint="default" w:ascii="Times New Roman" w:hAnsi="Times New Roman" w:eastAsia="宋体" w:cs="Times New Roman"/>
                <w:color w:val="auto"/>
                <w:highlight w:val="none"/>
                <w:lang w:val="en-US" w:eastAsia="zh-CN"/>
              </w:rPr>
              <w:t>现有工程于2024年4月停产至今，停产期间生产设备及生产设施均处于停用状态，未开展生产活动，厂区仅保留必要的日常维护及安保值守，无废水、废气、噪声等污染物排放。</w:t>
            </w:r>
          </w:p>
        </w:tc>
      </w:tr>
      <w:tr w14:paraId="78C131BB">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13305" w:hRule="atLeast"/>
          <w:jc w:val="center"/>
        </w:trPr>
        <w:tc>
          <w:tcPr>
            <w:tcW w:w="868" w:type="dxa"/>
            <w:tcBorders>
              <w:tl2br w:val="nil"/>
              <w:tr2bl w:val="nil"/>
            </w:tcBorders>
            <w:vAlign w:val="center"/>
          </w:tcPr>
          <w:p w14:paraId="507AE33A">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line="0" w:lineRule="atLeast"/>
              <w:ind w:firstLine="0" w:firstLineChars="0"/>
              <w:jc w:val="center"/>
              <w:textAlignment w:val="auto"/>
              <w:outlineLvl w:val="0"/>
              <w:rPr>
                <w:rFonts w:hint="default" w:ascii="Times New Roman" w:hAnsi="Times New Roman" w:cs="Times New Roman"/>
                <w:color w:val="auto"/>
                <w:sz w:val="24"/>
                <w:szCs w:val="24"/>
                <w:highlight w:val="none"/>
              </w:rPr>
            </w:pPr>
          </w:p>
        </w:tc>
        <w:tc>
          <w:tcPr>
            <w:tcW w:w="8311" w:type="dxa"/>
            <w:tcBorders>
              <w:tl2br w:val="nil"/>
              <w:tr2bl w:val="nil"/>
            </w:tcBorders>
          </w:tcPr>
          <w:p w14:paraId="73E8863F">
            <w:pPr>
              <w:keepNext w:val="0"/>
              <w:keepLines w:val="0"/>
              <w:pageBreakBefore w:val="0"/>
              <w:widowControl w:val="0"/>
              <w:numPr>
                <w:ilvl w:val="0"/>
                <w:numId w:val="6"/>
              </w:numPr>
              <w:suppressLineNumbers w:val="0"/>
              <w:shd w:val="clear"/>
              <w:kinsoku/>
              <w:wordWrap/>
              <w:overflowPunct/>
              <w:topLinePunct w:val="0"/>
              <w:autoSpaceDE w:val="0"/>
              <w:autoSpaceDN w:val="0"/>
              <w:bidi w:val="0"/>
              <w:adjustRightInd w:val="0"/>
              <w:snapToGrid/>
              <w:spacing w:beforeAutospacing="0" w:after="0" w:afterAutospacing="0" w:line="480" w:lineRule="exact"/>
              <w:ind w:right="0" w:rightChars="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本项目工程概况</w:t>
            </w:r>
          </w:p>
          <w:p w14:paraId="1864F5A7">
            <w:pPr>
              <w:shd w:val="clear"/>
              <w:bidi w:val="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highlight w:val="none"/>
              </w:rPr>
              <w:t>项目名称：</w:t>
            </w:r>
            <w:r>
              <w:rPr>
                <w:rFonts w:hint="eastAsia" w:cs="Times New Roman"/>
                <w:color w:val="auto"/>
                <w:sz w:val="24"/>
                <w:szCs w:val="24"/>
                <w:highlight w:val="none"/>
                <w:lang w:val="en-US" w:eastAsia="zh-CN"/>
              </w:rPr>
              <w:t>滦州市耀隆宝峰矿业有限公司新增破碎筛分设备技术改造项目</w:t>
            </w:r>
            <w:r>
              <w:rPr>
                <w:rFonts w:hint="default" w:ascii="Times New Roman" w:hAnsi="Times New Roman" w:cs="Times New Roman"/>
                <w:color w:val="auto"/>
                <w:highlight w:val="none"/>
              </w:rPr>
              <w:t>。</w:t>
            </w:r>
          </w:p>
          <w:p w14:paraId="0B5282E9">
            <w:pPr>
              <w:shd w:val="clea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建设单位：</w:t>
            </w:r>
            <w:r>
              <w:rPr>
                <w:rFonts w:hint="eastAsia" w:cs="Times New Roman"/>
                <w:color w:val="auto"/>
                <w:sz w:val="24"/>
                <w:szCs w:val="24"/>
                <w:highlight w:val="none"/>
                <w:lang w:val="en-US" w:eastAsia="zh-CN"/>
              </w:rPr>
              <w:t>滦州市耀隆宝峰矿业有限公司</w:t>
            </w:r>
            <w:r>
              <w:rPr>
                <w:rFonts w:hint="default" w:ascii="Times New Roman" w:hAnsi="Times New Roman" w:cs="Times New Roman"/>
                <w:color w:val="auto"/>
                <w:highlight w:val="none"/>
              </w:rPr>
              <w:t>。</w:t>
            </w:r>
          </w:p>
          <w:p w14:paraId="4E4494C2">
            <w:pPr>
              <w:shd w:val="clea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建设性质：</w:t>
            </w:r>
            <w:r>
              <w:rPr>
                <w:rFonts w:hint="eastAsia" w:cs="Times New Roman"/>
                <w:color w:val="auto"/>
                <w:highlight w:val="none"/>
                <w:lang w:eastAsia="zh-CN"/>
              </w:rPr>
              <w:t>技术改造</w:t>
            </w:r>
            <w:r>
              <w:rPr>
                <w:rFonts w:hint="default" w:ascii="Times New Roman" w:hAnsi="Times New Roman" w:cs="Times New Roman"/>
                <w:color w:val="auto"/>
                <w:highlight w:val="none"/>
              </w:rPr>
              <w:t>。</w:t>
            </w:r>
          </w:p>
          <w:p w14:paraId="02AB691F">
            <w:pPr>
              <w:shd w:val="clear"/>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建设地点：</w:t>
            </w:r>
            <w:r>
              <w:rPr>
                <w:rFonts w:hint="eastAsia" w:cs="Times New Roman"/>
                <w:color w:val="auto"/>
                <w:sz w:val="24"/>
                <w:szCs w:val="24"/>
                <w:highlight w:val="none"/>
                <w:lang w:val="en-US" w:eastAsia="zh-CN"/>
              </w:rPr>
              <w:t>河北省唐山市滦州市雷庄镇耀隆宝峰矿业有限公司院内</w:t>
            </w:r>
            <w:r>
              <w:rPr>
                <w:rFonts w:hint="default" w:ascii="Times New Roman" w:hAnsi="Times New Roman" w:cs="Times New Roman"/>
                <w:color w:val="auto"/>
                <w:highlight w:val="none"/>
              </w:rPr>
              <w:t>。</w:t>
            </w:r>
          </w:p>
          <w:p w14:paraId="28B6ED7F">
            <w:pPr>
              <w:shd w:val="clea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5、项目组成：本项目利用原有建设用地，新建厂房5000m</w:t>
            </w:r>
            <w:r>
              <w:rPr>
                <w:rFonts w:hint="default" w:ascii="Times New Roman" w:hAnsi="Times New Roman" w:eastAsia="宋体" w:cs="Times New Roman"/>
                <w:color w:val="auto"/>
                <w:highlight w:val="none"/>
                <w:vertAlign w:val="superscript"/>
                <w:lang w:val="en-US" w:eastAsia="zh-CN"/>
              </w:rPr>
              <w:t>2</w:t>
            </w:r>
            <w:r>
              <w:rPr>
                <w:rFonts w:hint="default" w:ascii="Times New Roman" w:hAnsi="Times New Roman" w:eastAsia="宋体" w:cs="Times New Roman"/>
                <w:color w:val="auto"/>
                <w:highlight w:val="none"/>
                <w:lang w:val="en-US" w:eastAsia="zh-CN"/>
              </w:rPr>
              <w:t>，新增设备500</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750mm颚式破碎机1台</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1200mm圆锥破碎机1台</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650mm皮带输送机2台</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6m往复式摇筛1台</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布袋除尘器1台，提高了预先产品筛分质量。技改完成后，产能不变。</w:t>
            </w:r>
          </w:p>
          <w:p w14:paraId="2685A512">
            <w:pPr>
              <w:shd w:val="clear"/>
              <w:bidi w:val="0"/>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本项目建设内容一览表</w:t>
            </w:r>
            <w:r>
              <w:rPr>
                <w:rFonts w:hint="eastAsia" w:ascii="Times New Roman" w:hAnsi="Times New Roman" w:eastAsia="宋体" w:cs="Times New Roman"/>
                <w:color w:val="auto"/>
                <w:highlight w:val="none"/>
                <w:lang w:val="en-US" w:eastAsia="zh-CN"/>
              </w:rPr>
              <w:t>见</w:t>
            </w:r>
            <w:r>
              <w:rPr>
                <w:rFonts w:hint="eastAsia" w:cs="Times New Roman"/>
                <w:color w:val="auto"/>
                <w:highlight w:val="none"/>
                <w:lang w:val="en-US" w:eastAsia="zh-CN"/>
              </w:rPr>
              <w:t>下</w:t>
            </w:r>
            <w:r>
              <w:rPr>
                <w:rFonts w:hint="eastAsia" w:ascii="Times New Roman" w:hAnsi="Times New Roman" w:eastAsia="宋体" w:cs="Times New Roman"/>
                <w:color w:val="auto"/>
                <w:highlight w:val="none"/>
                <w:lang w:val="en-US" w:eastAsia="zh-CN"/>
              </w:rPr>
              <w:t>表。</w:t>
            </w:r>
          </w:p>
          <w:p w14:paraId="1857BE32">
            <w:pPr>
              <w:pStyle w:val="2"/>
              <w:shd w:val="clear"/>
              <w:rPr>
                <w:rFonts w:hint="eastAsia" w:ascii="Times New Roman" w:hAnsi="Times New Roman" w:eastAsia="宋体" w:cs="Times New Roman"/>
                <w:color w:val="auto"/>
                <w:highlight w:val="none"/>
                <w:lang w:val="en-US" w:eastAsia="zh-CN"/>
              </w:rPr>
            </w:pPr>
          </w:p>
          <w:p w14:paraId="7A5EA46A">
            <w:pPr>
              <w:shd w:val="clear"/>
              <w:rPr>
                <w:rFonts w:hint="eastAsia" w:ascii="Times New Roman" w:hAnsi="Times New Roman" w:eastAsia="宋体" w:cs="Times New Roman"/>
                <w:color w:val="auto"/>
                <w:highlight w:val="none"/>
                <w:lang w:val="en-US" w:eastAsia="zh-CN"/>
              </w:rPr>
            </w:pPr>
          </w:p>
          <w:p w14:paraId="112BD004">
            <w:pPr>
              <w:shd w:val="clear"/>
              <w:rPr>
                <w:rFonts w:hint="eastAsia" w:ascii="Times New Roman" w:hAnsi="Times New Roman" w:eastAsia="宋体" w:cs="Times New Roman"/>
                <w:color w:val="auto"/>
                <w:highlight w:val="none"/>
                <w:lang w:val="en-US" w:eastAsia="zh-CN"/>
              </w:rPr>
            </w:pPr>
          </w:p>
          <w:p w14:paraId="1257D9F6">
            <w:pPr>
              <w:pStyle w:val="2"/>
              <w:shd w:val="clear"/>
              <w:rPr>
                <w:rFonts w:hint="eastAsia" w:ascii="Times New Roman" w:hAnsi="Times New Roman" w:eastAsia="宋体" w:cs="Times New Roman"/>
                <w:color w:val="auto"/>
                <w:highlight w:val="none"/>
                <w:lang w:val="en-US" w:eastAsia="zh-CN"/>
              </w:rPr>
            </w:pPr>
          </w:p>
          <w:p w14:paraId="2BC242C6">
            <w:pPr>
              <w:shd w:val="clear"/>
              <w:rPr>
                <w:rFonts w:hint="eastAsia" w:ascii="Times New Roman" w:hAnsi="Times New Roman" w:eastAsia="宋体" w:cs="Times New Roman"/>
                <w:color w:val="auto"/>
                <w:highlight w:val="none"/>
                <w:lang w:val="en-US" w:eastAsia="zh-CN"/>
              </w:rPr>
            </w:pPr>
          </w:p>
          <w:p w14:paraId="20952711">
            <w:pPr>
              <w:pStyle w:val="2"/>
              <w:shd w:val="clear"/>
              <w:rPr>
                <w:rFonts w:hint="eastAsia" w:ascii="Times New Roman" w:hAnsi="Times New Roman" w:eastAsia="宋体" w:cs="Times New Roman"/>
                <w:color w:val="auto"/>
                <w:highlight w:val="none"/>
                <w:lang w:val="en-US" w:eastAsia="zh-CN"/>
              </w:rPr>
            </w:pPr>
          </w:p>
          <w:p w14:paraId="6B5D8521">
            <w:pPr>
              <w:shd w:val="clear"/>
              <w:rPr>
                <w:rFonts w:hint="eastAsia" w:ascii="Times New Roman" w:hAnsi="Times New Roman" w:eastAsia="宋体" w:cs="Times New Roman"/>
                <w:color w:val="auto"/>
                <w:highlight w:val="none"/>
                <w:lang w:val="en-US" w:eastAsia="zh-CN"/>
              </w:rPr>
            </w:pPr>
          </w:p>
          <w:p w14:paraId="11618A24">
            <w:pPr>
              <w:pStyle w:val="2"/>
              <w:shd w:val="clear"/>
              <w:rPr>
                <w:rFonts w:hint="eastAsia" w:ascii="Times New Roman" w:hAnsi="Times New Roman" w:eastAsia="宋体" w:cs="Times New Roman"/>
                <w:color w:val="auto"/>
                <w:highlight w:val="none"/>
                <w:lang w:val="en-US" w:eastAsia="zh-CN"/>
              </w:rPr>
            </w:pPr>
          </w:p>
          <w:p w14:paraId="1739BAC4">
            <w:pPr>
              <w:shd w:val="clear"/>
              <w:rPr>
                <w:rFonts w:hint="eastAsia" w:ascii="Times New Roman" w:hAnsi="Times New Roman" w:eastAsia="宋体" w:cs="Times New Roman"/>
                <w:color w:val="auto"/>
                <w:highlight w:val="none"/>
                <w:lang w:val="en-US" w:eastAsia="zh-CN"/>
              </w:rPr>
            </w:pPr>
          </w:p>
          <w:p w14:paraId="4DB22851">
            <w:pPr>
              <w:pStyle w:val="2"/>
              <w:shd w:val="clear"/>
              <w:ind w:left="0" w:leftChars="0" w:firstLine="0" w:firstLineChars="0"/>
              <w:rPr>
                <w:rFonts w:hint="default"/>
                <w:color w:val="auto"/>
                <w:lang w:val="en-US" w:eastAsia="zh-CN"/>
              </w:rPr>
            </w:pPr>
          </w:p>
        </w:tc>
      </w:tr>
    </w:tbl>
    <w:p w14:paraId="6D3D5EA0">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autofit"/>
        <w:tblCellMar>
          <w:top w:w="0" w:type="dxa"/>
          <w:left w:w="108" w:type="dxa"/>
          <w:bottom w:w="0" w:type="dxa"/>
          <w:right w:w="108" w:type="dxa"/>
        </w:tblCellMar>
      </w:tblPr>
      <w:tblGrid>
        <w:gridCol w:w="902"/>
        <w:gridCol w:w="13272"/>
      </w:tblGrid>
      <w:tr w14:paraId="6FE7F2B0">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c>
          <w:tcPr>
            <w:tcW w:w="902" w:type="dxa"/>
            <w:tcBorders>
              <w:tl2br w:val="nil"/>
              <w:tr2bl w:val="nil"/>
            </w:tcBorders>
          </w:tcPr>
          <w:p w14:paraId="09378DB8">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tc>
        <w:tc>
          <w:tcPr>
            <w:tcW w:w="13272" w:type="dxa"/>
            <w:tcBorders>
              <w:tl2br w:val="nil"/>
              <w:tr2bl w:val="nil"/>
            </w:tcBorders>
          </w:tcPr>
          <w:p w14:paraId="518A638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本项目建设内容一览表</w:t>
            </w:r>
          </w:p>
          <w:tbl>
            <w:tblPr>
              <w:tblStyle w:val="32"/>
              <w:tblW w:w="1286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autofit"/>
              <w:tblCellMar>
                <w:top w:w="0" w:type="dxa"/>
                <w:left w:w="108" w:type="dxa"/>
                <w:bottom w:w="0" w:type="dxa"/>
                <w:right w:w="108" w:type="dxa"/>
              </w:tblCellMar>
            </w:tblPr>
            <w:tblGrid>
              <w:gridCol w:w="1059"/>
              <w:gridCol w:w="1688"/>
              <w:gridCol w:w="769"/>
              <w:gridCol w:w="8205"/>
              <w:gridCol w:w="1146"/>
            </w:tblGrid>
            <w:tr w14:paraId="5CF79F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2" w:hRule="atLeast"/>
                <w:jc w:val="center"/>
              </w:trPr>
              <w:tc>
                <w:tcPr>
                  <w:tcW w:w="1059" w:type="dxa"/>
                  <w:tcBorders>
                    <w:tl2br w:val="nil"/>
                    <w:tr2bl w:val="nil"/>
                  </w:tcBorders>
                  <w:noWrap w:val="0"/>
                  <w:vAlign w:val="center"/>
                </w:tcPr>
                <w:p w14:paraId="0866E68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工程类别</w:t>
                  </w:r>
                </w:p>
              </w:tc>
              <w:tc>
                <w:tcPr>
                  <w:tcW w:w="1688" w:type="dxa"/>
                  <w:tcBorders>
                    <w:tl2br w:val="nil"/>
                    <w:tr2bl w:val="nil"/>
                  </w:tcBorders>
                  <w:noWrap w:val="0"/>
                  <w:vAlign w:val="center"/>
                </w:tcPr>
                <w:p w14:paraId="70B16A7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项目名称</w:t>
                  </w:r>
                </w:p>
              </w:tc>
              <w:tc>
                <w:tcPr>
                  <w:tcW w:w="8974" w:type="dxa"/>
                  <w:gridSpan w:val="2"/>
                  <w:tcBorders>
                    <w:tl2br w:val="nil"/>
                    <w:tr2bl w:val="nil"/>
                  </w:tcBorders>
                  <w:noWrap w:val="0"/>
                  <w:vAlign w:val="center"/>
                </w:tcPr>
                <w:p w14:paraId="5B3A485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建设内容</w:t>
                  </w:r>
                </w:p>
              </w:tc>
              <w:tc>
                <w:tcPr>
                  <w:tcW w:w="1146" w:type="dxa"/>
                  <w:tcBorders>
                    <w:tl2br w:val="nil"/>
                    <w:tr2bl w:val="nil"/>
                  </w:tcBorders>
                  <w:noWrap w:val="0"/>
                  <w:vAlign w:val="center"/>
                </w:tcPr>
                <w:p w14:paraId="793A55B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备注</w:t>
                  </w:r>
                </w:p>
              </w:tc>
            </w:tr>
            <w:tr w14:paraId="31FED09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911" w:hRule="atLeast"/>
                <w:jc w:val="center"/>
              </w:trPr>
              <w:tc>
                <w:tcPr>
                  <w:tcW w:w="1059" w:type="dxa"/>
                  <w:tcBorders>
                    <w:tl2br w:val="nil"/>
                    <w:tr2bl w:val="nil"/>
                  </w:tcBorders>
                  <w:noWrap w:val="0"/>
                  <w:vAlign w:val="center"/>
                </w:tcPr>
                <w:p w14:paraId="01BFA4B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1688" w:type="dxa"/>
                  <w:tcBorders>
                    <w:tl2br w:val="nil"/>
                    <w:tr2bl w:val="nil"/>
                  </w:tcBorders>
                  <w:noWrap w:val="0"/>
                  <w:vAlign w:val="center"/>
                </w:tcPr>
                <w:p w14:paraId="524BD1E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预处理车间</w:t>
                  </w:r>
                </w:p>
              </w:tc>
              <w:tc>
                <w:tcPr>
                  <w:tcW w:w="8974" w:type="dxa"/>
                  <w:gridSpan w:val="2"/>
                  <w:tcBorders>
                    <w:tl2br w:val="nil"/>
                    <w:tr2bl w:val="nil"/>
                  </w:tcBorders>
                  <w:noWrap w:val="0"/>
                  <w:vAlign w:val="center"/>
                </w:tcPr>
                <w:p w14:paraId="2D617E95">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rPr>
                    <w:t>新建厂房建筑面积为</w:t>
                  </w:r>
                  <w:r>
                    <w:rPr>
                      <w:rStyle w:val="35"/>
                      <w:rFonts w:hint="default" w:ascii="Times New Roman" w:hAnsi="Times New Roman" w:eastAsia="宋体" w:cs="Times New Roman"/>
                      <w:b w:val="0"/>
                      <w:bCs w:val="0"/>
                      <w:color w:val="auto"/>
                      <w:sz w:val="21"/>
                      <w:szCs w:val="21"/>
                    </w:rPr>
                    <w:t>5000</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2</w:t>
                  </w:r>
                  <w:r>
                    <w:rPr>
                      <w:rFonts w:hint="default" w:ascii="Times New Roman" w:hAnsi="Times New Roman" w:eastAsia="宋体" w:cs="Times New Roman"/>
                      <w:b w:val="0"/>
                      <w:bCs w:val="0"/>
                      <w:color w:val="auto"/>
                      <w:sz w:val="21"/>
                      <w:szCs w:val="21"/>
                    </w:rPr>
                    <w:t>，建筑尺寸</w:t>
                  </w:r>
                  <w:r>
                    <w:rPr>
                      <w:rFonts w:hint="eastAsia" w:ascii="Times New Roman" w:hAnsi="Times New Roman" w:eastAsia="宋体" w:cs="Times New Roman"/>
                      <w:b w:val="0"/>
                      <w:bCs w:val="0"/>
                      <w:color w:val="auto"/>
                      <w:sz w:val="21"/>
                      <w:szCs w:val="21"/>
                      <w:highlight w:val="none"/>
                      <w:lang w:val="en-US" w:eastAsia="zh-CN"/>
                    </w:rPr>
                    <w:t>（长×宽×高）：100m×50m×8m</w:t>
                  </w:r>
                  <w:r>
                    <w:rPr>
                      <w:rFonts w:hint="default" w:ascii="Times New Roman" w:hAnsi="Times New Roman" w:eastAsia="宋体" w:cs="Times New Roman"/>
                      <w:b w:val="0"/>
                      <w:bCs w:val="0"/>
                      <w:color w:val="auto"/>
                      <w:sz w:val="21"/>
                      <w:szCs w:val="21"/>
                    </w:rPr>
                    <w:t>，新增生产设备布置</w:t>
                  </w:r>
                  <w:r>
                    <w:rPr>
                      <w:rFonts w:hint="default" w:ascii="Times New Roman" w:hAnsi="Times New Roman" w:eastAsia="宋体" w:cs="Times New Roman"/>
                      <w:color w:val="auto"/>
                      <w:kern w:val="0"/>
                      <w:sz w:val="21"/>
                      <w:szCs w:val="21"/>
                      <w:highlight w:val="none"/>
                      <w:lang w:val="en-US" w:eastAsia="zh-CN" w:bidi="ar-SA"/>
                    </w:rPr>
                    <w:t>于该厂房内。该厂房主要功能为原料预处理，同时用于不合格矿石原料的暂存；通过预处理工序将不合格矿石原料加工为合格原料，</w:t>
                  </w:r>
                  <w:r>
                    <w:rPr>
                      <w:rFonts w:hint="eastAsia" w:ascii="Times New Roman" w:hAnsi="Times New Roman" w:eastAsia="宋体" w:cs="Times New Roman"/>
                      <w:color w:val="auto"/>
                      <w:kern w:val="0"/>
                      <w:sz w:val="21"/>
                      <w:szCs w:val="21"/>
                      <w:highlight w:val="none"/>
                      <w:lang w:val="en-US" w:eastAsia="zh-CN" w:bidi="ar-SA"/>
                    </w:rPr>
                    <w:t>预处理车间与原料库连通布置，不单独设置对外门，统一利用原料库门进行人员及物料通行，</w:t>
                  </w:r>
                  <w:r>
                    <w:rPr>
                      <w:rFonts w:hint="default" w:ascii="Times New Roman" w:hAnsi="Times New Roman" w:eastAsia="宋体" w:cs="Times New Roman"/>
                      <w:color w:val="auto"/>
                      <w:kern w:val="0"/>
                      <w:sz w:val="21"/>
                      <w:szCs w:val="21"/>
                      <w:highlight w:val="none"/>
                      <w:lang w:val="en-US" w:eastAsia="zh-CN" w:bidi="ar-SA"/>
                    </w:rPr>
                    <w:t>合格</w:t>
                  </w:r>
                  <w:r>
                    <w:rPr>
                      <w:rFonts w:hint="eastAsia" w:ascii="Times New Roman" w:hAnsi="Times New Roman" w:eastAsia="宋体" w:cs="Times New Roman"/>
                      <w:color w:val="auto"/>
                      <w:kern w:val="0"/>
                      <w:sz w:val="21"/>
                      <w:szCs w:val="21"/>
                      <w:highlight w:val="none"/>
                      <w:lang w:val="en-US" w:eastAsia="zh-CN" w:bidi="ar-SA"/>
                    </w:rPr>
                    <w:t>矿石原料可密闭输送</w:t>
                  </w:r>
                  <w:r>
                    <w:rPr>
                      <w:rFonts w:hint="default" w:ascii="Times New Roman" w:hAnsi="Times New Roman" w:eastAsia="宋体" w:cs="Times New Roman"/>
                      <w:color w:val="auto"/>
                      <w:kern w:val="0"/>
                      <w:sz w:val="21"/>
                      <w:szCs w:val="21"/>
                      <w:highlight w:val="none"/>
                      <w:lang w:val="en-US" w:eastAsia="zh-CN" w:bidi="ar-SA"/>
                    </w:rPr>
                    <w:t>至现有工程原料库，实现与现有工程的衔接。</w:t>
                  </w:r>
                </w:p>
              </w:tc>
              <w:tc>
                <w:tcPr>
                  <w:tcW w:w="1146" w:type="dxa"/>
                  <w:tcBorders>
                    <w:tl2br w:val="nil"/>
                    <w:tr2bl w:val="nil"/>
                  </w:tcBorders>
                  <w:noWrap w:val="0"/>
                  <w:vAlign w:val="center"/>
                </w:tcPr>
                <w:p w14:paraId="518C3E6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新增</w:t>
                  </w:r>
                </w:p>
              </w:tc>
            </w:tr>
            <w:tr w14:paraId="54930BE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2" w:hRule="atLeast"/>
                <w:jc w:val="center"/>
              </w:trPr>
              <w:tc>
                <w:tcPr>
                  <w:tcW w:w="1059" w:type="dxa"/>
                  <w:tcBorders>
                    <w:tl2br w:val="nil"/>
                    <w:tr2bl w:val="nil"/>
                  </w:tcBorders>
                  <w:noWrap w:val="0"/>
                  <w:vAlign w:val="center"/>
                </w:tcPr>
                <w:p w14:paraId="423F2D4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辅助</w:t>
                  </w:r>
                  <w:r>
                    <w:rPr>
                      <w:rFonts w:hint="default" w:ascii="Times New Roman" w:hAnsi="Times New Roman" w:cs="Times New Roman"/>
                      <w:color w:val="auto"/>
                      <w:sz w:val="21"/>
                      <w:szCs w:val="21"/>
                      <w:highlight w:val="none"/>
                    </w:rPr>
                    <w:t>工程</w:t>
                  </w:r>
                </w:p>
              </w:tc>
              <w:tc>
                <w:tcPr>
                  <w:tcW w:w="1688" w:type="dxa"/>
                  <w:tcBorders>
                    <w:tl2br w:val="nil"/>
                    <w:tr2bl w:val="nil"/>
                  </w:tcBorders>
                  <w:noWrap w:val="0"/>
                  <w:vAlign w:val="center"/>
                </w:tcPr>
                <w:p w14:paraId="4E9C117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办公区</w:t>
                  </w:r>
                </w:p>
              </w:tc>
              <w:tc>
                <w:tcPr>
                  <w:tcW w:w="8974" w:type="dxa"/>
                  <w:gridSpan w:val="2"/>
                  <w:tcBorders>
                    <w:tl2br w:val="nil"/>
                    <w:tr2bl w:val="nil"/>
                  </w:tcBorders>
                  <w:noWrap w:val="0"/>
                  <w:vAlign w:val="center"/>
                </w:tcPr>
                <w:p w14:paraId="5BB1A31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依托原有办公室</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7592DF0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依托现有</w:t>
                  </w:r>
                </w:p>
              </w:tc>
            </w:tr>
            <w:tr w14:paraId="68129D3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2" w:hRule="atLeast"/>
                <w:jc w:val="center"/>
              </w:trPr>
              <w:tc>
                <w:tcPr>
                  <w:tcW w:w="1059" w:type="dxa"/>
                  <w:vMerge w:val="restart"/>
                  <w:tcBorders>
                    <w:tl2br w:val="nil"/>
                    <w:tr2bl w:val="nil"/>
                  </w:tcBorders>
                  <w:noWrap w:val="0"/>
                  <w:vAlign w:val="center"/>
                </w:tcPr>
                <w:p w14:paraId="2DD5BB3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公用</w:t>
                  </w:r>
                  <w:r>
                    <w:rPr>
                      <w:rFonts w:hint="default" w:ascii="Times New Roman" w:hAnsi="Times New Roman" w:cs="Times New Roman"/>
                      <w:color w:val="auto"/>
                      <w:sz w:val="21"/>
                      <w:szCs w:val="21"/>
                      <w:highlight w:val="none"/>
                    </w:rPr>
                    <w:t>工程</w:t>
                  </w:r>
                </w:p>
              </w:tc>
              <w:tc>
                <w:tcPr>
                  <w:tcW w:w="1688" w:type="dxa"/>
                  <w:tcBorders>
                    <w:tl2br w:val="nil"/>
                    <w:tr2bl w:val="nil"/>
                  </w:tcBorders>
                  <w:noWrap w:val="0"/>
                  <w:vAlign w:val="center"/>
                </w:tcPr>
                <w:p w14:paraId="41770FB3">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b w:val="0"/>
                      <w:color w:val="auto"/>
                      <w:sz w:val="21"/>
                      <w:szCs w:val="21"/>
                      <w:highlight w:val="none"/>
                    </w:rPr>
                    <w:t>取暖</w:t>
                  </w:r>
                </w:p>
              </w:tc>
              <w:tc>
                <w:tcPr>
                  <w:tcW w:w="8974" w:type="dxa"/>
                  <w:gridSpan w:val="2"/>
                  <w:tcBorders>
                    <w:tl2br w:val="nil"/>
                    <w:tr2bl w:val="nil"/>
                  </w:tcBorders>
                  <w:noWrap w:val="0"/>
                  <w:vAlign w:val="center"/>
                </w:tcPr>
                <w:p w14:paraId="19093DAB">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color w:val="auto"/>
                      <w:sz w:val="21"/>
                      <w:szCs w:val="21"/>
                      <w:highlight w:val="none"/>
                      <w:lang w:val="en-US" w:eastAsia="zh-CN"/>
                    </w:rPr>
                    <w:t>办公室</w:t>
                  </w:r>
                  <w:r>
                    <w:rPr>
                      <w:rFonts w:hint="default" w:ascii="Times New Roman" w:hAnsi="Times New Roman" w:eastAsia="宋体" w:cs="Times New Roman"/>
                      <w:b w:val="0"/>
                      <w:color w:val="auto"/>
                      <w:sz w:val="21"/>
                      <w:szCs w:val="21"/>
                      <w:highlight w:val="none"/>
                      <w:lang w:val="en-US" w:eastAsia="zh-CN"/>
                    </w:rPr>
                    <w:t>取暖采用</w:t>
                  </w:r>
                  <w:r>
                    <w:rPr>
                      <w:rFonts w:hint="default" w:ascii="Times New Roman" w:hAnsi="Times New Roman" w:cs="Times New Roman"/>
                      <w:b w:val="0"/>
                      <w:color w:val="auto"/>
                      <w:sz w:val="21"/>
                      <w:szCs w:val="21"/>
                      <w:highlight w:val="none"/>
                      <w:lang w:val="en-US" w:eastAsia="zh-CN"/>
                    </w:rPr>
                    <w:t>单体</w:t>
                  </w:r>
                  <w:r>
                    <w:rPr>
                      <w:rFonts w:hint="default" w:ascii="Times New Roman" w:hAnsi="Times New Roman" w:eastAsia="宋体" w:cs="Times New Roman"/>
                      <w:b w:val="0"/>
                      <w:color w:val="auto"/>
                      <w:sz w:val="21"/>
                      <w:szCs w:val="21"/>
                      <w:highlight w:val="none"/>
                      <w:lang w:val="en-US" w:eastAsia="zh-CN"/>
                    </w:rPr>
                    <w:t>空调</w:t>
                  </w:r>
                  <w:r>
                    <w:rPr>
                      <w:rFonts w:hint="default" w:ascii="Times New Roman" w:hAnsi="Times New Roman" w:cs="Times New Roman"/>
                      <w:b w:val="0"/>
                      <w:color w:val="auto"/>
                      <w:sz w:val="21"/>
                      <w:szCs w:val="21"/>
                      <w:highlight w:val="none"/>
                      <w:lang w:val="en-US" w:eastAsia="zh-CN"/>
                    </w:rPr>
                    <w:t>，以电为能源，</w:t>
                  </w:r>
                  <w:r>
                    <w:rPr>
                      <w:rFonts w:hint="eastAsia" w:cs="Times New Roman"/>
                      <w:color w:val="auto"/>
                      <w:sz w:val="21"/>
                      <w:szCs w:val="21"/>
                      <w:highlight w:val="none"/>
                      <w:lang w:val="en-US" w:eastAsia="zh-CN"/>
                    </w:rPr>
                    <w:t>预处理车间</w:t>
                  </w:r>
                  <w:r>
                    <w:rPr>
                      <w:rFonts w:hint="default" w:ascii="Times New Roman" w:hAnsi="Times New Roman" w:cs="Times New Roman"/>
                      <w:b w:val="0"/>
                      <w:color w:val="auto"/>
                      <w:sz w:val="21"/>
                      <w:szCs w:val="21"/>
                      <w:highlight w:val="none"/>
                      <w:lang w:val="en-US" w:eastAsia="zh-CN"/>
                    </w:rPr>
                    <w:t>不设取暖设施</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6274BF89">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eastAsia" w:cs="Times New Roman"/>
                      <w:b w:val="0"/>
                      <w:color w:val="auto"/>
                      <w:sz w:val="21"/>
                      <w:szCs w:val="21"/>
                      <w:highlight w:val="none"/>
                      <w:lang w:val="en-US" w:eastAsia="zh-CN"/>
                    </w:rPr>
                  </w:pPr>
                  <w:r>
                    <w:rPr>
                      <w:rFonts w:hint="eastAsia" w:cs="Times New Roman"/>
                      <w:color w:val="auto"/>
                      <w:sz w:val="21"/>
                      <w:szCs w:val="21"/>
                      <w:highlight w:val="none"/>
                      <w:lang w:val="en-US" w:eastAsia="zh-CN"/>
                    </w:rPr>
                    <w:t>/</w:t>
                  </w:r>
                </w:p>
              </w:tc>
            </w:tr>
            <w:tr w14:paraId="54AE597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9" w:hRule="atLeast"/>
                <w:jc w:val="center"/>
              </w:trPr>
              <w:tc>
                <w:tcPr>
                  <w:tcW w:w="1059" w:type="dxa"/>
                  <w:vMerge w:val="continue"/>
                  <w:tcBorders>
                    <w:tl2br w:val="nil"/>
                    <w:tr2bl w:val="nil"/>
                  </w:tcBorders>
                  <w:noWrap w:val="0"/>
                  <w:vAlign w:val="center"/>
                </w:tcPr>
                <w:p w14:paraId="0C524E5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32762AA7">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给水</w:t>
                  </w:r>
                </w:p>
              </w:tc>
              <w:tc>
                <w:tcPr>
                  <w:tcW w:w="8974" w:type="dxa"/>
                  <w:gridSpan w:val="2"/>
                  <w:tcBorders>
                    <w:tl2br w:val="nil"/>
                    <w:tr2bl w:val="nil"/>
                  </w:tcBorders>
                  <w:noWrap w:val="0"/>
                  <w:vAlign w:val="center"/>
                </w:tcPr>
                <w:p w14:paraId="3EDA202F">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本项目用水为生活用水</w:t>
                  </w:r>
                  <w:r>
                    <w:rPr>
                      <w:rFonts w:hint="eastAsia" w:cs="Times New Roman"/>
                      <w:b w:val="0"/>
                      <w:color w:val="auto"/>
                      <w:sz w:val="21"/>
                      <w:szCs w:val="21"/>
                      <w:highlight w:val="none"/>
                      <w:lang w:val="en-US" w:eastAsia="zh-CN"/>
                    </w:rPr>
                    <w:t>以及喷淋抑尘水，由企业自备水井供给，</w:t>
                  </w:r>
                  <w:r>
                    <w:rPr>
                      <w:rFonts w:hint="eastAsia"/>
                      <w:color w:val="auto"/>
                      <w:sz w:val="21"/>
                      <w:szCs w:val="21"/>
                      <w:highlight w:val="none"/>
                      <w:lang w:eastAsia="zh-CN"/>
                    </w:rPr>
                    <w:t>企业已取得取水许可证（编号 B130284G2021-18116），许可取水量</w:t>
                  </w:r>
                  <w:r>
                    <w:rPr>
                      <w:rFonts w:hint="eastAsia"/>
                      <w:color w:val="auto"/>
                      <w:sz w:val="21"/>
                      <w:szCs w:val="21"/>
                      <w:highlight w:val="none"/>
                      <w:lang w:val="en-US" w:eastAsia="zh-CN"/>
                    </w:rPr>
                    <w:t>2.34万m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/a</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4729A2C6">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依托现有</w:t>
                  </w:r>
                </w:p>
              </w:tc>
            </w:tr>
            <w:tr w14:paraId="1C53E22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7" w:hRule="atLeast"/>
                <w:jc w:val="center"/>
              </w:trPr>
              <w:tc>
                <w:tcPr>
                  <w:tcW w:w="1059" w:type="dxa"/>
                  <w:vMerge w:val="continue"/>
                  <w:tcBorders>
                    <w:tl2br w:val="nil"/>
                    <w:tr2bl w:val="nil"/>
                  </w:tcBorders>
                  <w:noWrap w:val="0"/>
                  <w:vAlign w:val="center"/>
                </w:tcPr>
                <w:p w14:paraId="4E02532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5B72A3E0">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b w:val="0"/>
                      <w:color w:val="auto"/>
                      <w:sz w:val="21"/>
                      <w:szCs w:val="21"/>
                      <w:highlight w:val="none"/>
                    </w:rPr>
                    <w:t>供电</w:t>
                  </w:r>
                </w:p>
              </w:tc>
              <w:tc>
                <w:tcPr>
                  <w:tcW w:w="8974" w:type="dxa"/>
                  <w:gridSpan w:val="2"/>
                  <w:tcBorders>
                    <w:tl2br w:val="nil"/>
                    <w:tr2bl w:val="nil"/>
                  </w:tcBorders>
                  <w:noWrap w:val="0"/>
                  <w:vAlign w:val="center"/>
                </w:tcPr>
                <w:p w14:paraId="4F2C9AF8">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color w:val="auto"/>
                      <w:sz w:val="21"/>
                      <w:szCs w:val="21"/>
                      <w:highlight w:val="none"/>
                      <w:lang w:val="en-US" w:eastAsia="zh-CN"/>
                    </w:rPr>
                    <w:t>市政</w:t>
                  </w:r>
                  <w:r>
                    <w:rPr>
                      <w:rFonts w:hint="default" w:ascii="Times New Roman" w:hAnsi="Times New Roman" w:eastAsia="宋体" w:cs="Times New Roman"/>
                      <w:b w:val="0"/>
                      <w:color w:val="auto"/>
                      <w:sz w:val="21"/>
                      <w:szCs w:val="21"/>
                      <w:highlight w:val="none"/>
                    </w:rPr>
                    <w:t>电网</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5561A37E">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cs="Times New Roman"/>
                      <w:b w:val="0"/>
                      <w:color w:val="auto"/>
                      <w:sz w:val="21"/>
                      <w:szCs w:val="21"/>
                      <w:highlight w:val="none"/>
                      <w:lang w:val="en-US" w:eastAsia="zh-CN"/>
                    </w:rPr>
                  </w:pPr>
                  <w:r>
                    <w:rPr>
                      <w:rFonts w:hint="eastAsia" w:cs="Times New Roman"/>
                      <w:color w:val="auto"/>
                      <w:sz w:val="21"/>
                      <w:szCs w:val="21"/>
                      <w:highlight w:val="none"/>
                      <w:lang w:val="en-US" w:eastAsia="zh-CN"/>
                    </w:rPr>
                    <w:t>/</w:t>
                  </w:r>
                </w:p>
              </w:tc>
            </w:tr>
            <w:tr w14:paraId="2C239F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54" w:hRule="atLeast"/>
                <w:jc w:val="center"/>
              </w:trPr>
              <w:tc>
                <w:tcPr>
                  <w:tcW w:w="1059" w:type="dxa"/>
                  <w:vMerge w:val="restart"/>
                  <w:tcBorders>
                    <w:tl2br w:val="nil"/>
                    <w:tr2bl w:val="nil"/>
                  </w:tcBorders>
                  <w:noWrap w:val="0"/>
                  <w:vAlign w:val="center"/>
                </w:tcPr>
                <w:p w14:paraId="2A63F19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储运工程</w:t>
                  </w:r>
                </w:p>
              </w:tc>
              <w:tc>
                <w:tcPr>
                  <w:tcW w:w="1688" w:type="dxa"/>
                  <w:tcBorders>
                    <w:tl2br w:val="nil"/>
                    <w:tr2bl w:val="nil"/>
                  </w:tcBorders>
                  <w:noWrap w:val="0"/>
                  <w:vAlign w:val="center"/>
                </w:tcPr>
                <w:p w14:paraId="1889FFB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sz w:val="21"/>
                      <w:szCs w:val="21"/>
                      <w:highlight w:val="none"/>
                      <w:lang w:val="en-US" w:eastAsia="zh-CN"/>
                    </w:rPr>
                    <w:t>不合格原料矿石储存区</w:t>
                  </w:r>
                </w:p>
              </w:tc>
              <w:tc>
                <w:tcPr>
                  <w:tcW w:w="8974" w:type="dxa"/>
                  <w:gridSpan w:val="2"/>
                  <w:tcBorders>
                    <w:tl2br w:val="nil"/>
                    <w:tr2bl w:val="nil"/>
                  </w:tcBorders>
                  <w:noWrap w:val="0"/>
                  <w:vAlign w:val="center"/>
                </w:tcPr>
                <w:p w14:paraId="08FCAE9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both"/>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sz w:val="21"/>
                      <w:szCs w:val="21"/>
                      <w:highlight w:val="none"/>
                      <w:lang w:val="en-US" w:eastAsia="zh-CN"/>
                    </w:rPr>
                    <w:t>预处理车间设置不合格原料矿石储存区，面积1000m</w:t>
                  </w:r>
                  <w:r>
                    <w:rPr>
                      <w:rFonts w:hint="eastAsia" w:cs="Times New Roman"/>
                      <w:color w:val="auto"/>
                      <w:sz w:val="21"/>
                      <w:szCs w:val="21"/>
                      <w:highlight w:val="none"/>
                      <w:vertAlign w:val="superscript"/>
                      <w:lang w:val="en-US" w:eastAsia="zh-CN"/>
                    </w:rPr>
                    <w:t>2</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1E7ECAD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新增</w:t>
                  </w:r>
                </w:p>
              </w:tc>
            </w:tr>
            <w:tr w14:paraId="1475F1B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07" w:hRule="atLeast"/>
                <w:jc w:val="center"/>
              </w:trPr>
              <w:tc>
                <w:tcPr>
                  <w:tcW w:w="1059" w:type="dxa"/>
                  <w:vMerge w:val="continue"/>
                  <w:tcBorders>
                    <w:tl2br w:val="nil"/>
                    <w:tr2bl w:val="nil"/>
                  </w:tcBorders>
                  <w:noWrap w:val="0"/>
                  <w:vAlign w:val="center"/>
                </w:tcPr>
                <w:p w14:paraId="174F33F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2317805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s="Times New Roman"/>
                      <w:color w:val="auto"/>
                      <w:sz w:val="21"/>
                      <w:szCs w:val="21"/>
                      <w:highlight w:val="none"/>
                      <w:lang w:val="en-US" w:eastAsia="zh-CN"/>
                    </w:rPr>
                    <w:t>合格原料矿石储存区</w:t>
                  </w:r>
                </w:p>
              </w:tc>
              <w:tc>
                <w:tcPr>
                  <w:tcW w:w="8974" w:type="dxa"/>
                  <w:gridSpan w:val="2"/>
                  <w:tcBorders>
                    <w:tl2br w:val="nil"/>
                    <w:tr2bl w:val="nil"/>
                  </w:tcBorders>
                  <w:noWrap w:val="0"/>
                  <w:vAlign w:val="center"/>
                </w:tcPr>
                <w:p w14:paraId="3303490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both"/>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sz w:val="21"/>
                      <w:szCs w:val="21"/>
                      <w:highlight w:val="none"/>
                      <w:lang w:val="en-US" w:eastAsia="zh-CN"/>
                    </w:rPr>
                    <w:t>预处理车间设置合格原料矿石储存区，面积500m</w:t>
                  </w:r>
                  <w:r>
                    <w:rPr>
                      <w:rFonts w:hint="eastAsia" w:cs="Times New Roman"/>
                      <w:color w:val="auto"/>
                      <w:sz w:val="21"/>
                      <w:szCs w:val="21"/>
                      <w:highlight w:val="none"/>
                      <w:vertAlign w:val="superscript"/>
                      <w:lang w:val="en-US" w:eastAsia="zh-CN"/>
                    </w:rPr>
                    <w:t>2</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1DE2157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新增</w:t>
                  </w:r>
                </w:p>
              </w:tc>
            </w:tr>
            <w:tr w14:paraId="73123DC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7" w:hRule="atLeast"/>
                <w:jc w:val="center"/>
              </w:trPr>
              <w:tc>
                <w:tcPr>
                  <w:tcW w:w="1059" w:type="dxa"/>
                  <w:vMerge w:val="continue"/>
                  <w:tcBorders>
                    <w:tl2br w:val="nil"/>
                    <w:tr2bl w:val="nil"/>
                  </w:tcBorders>
                  <w:noWrap w:val="0"/>
                  <w:vAlign w:val="center"/>
                </w:tcPr>
                <w:p w14:paraId="4CEB70A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5B342A3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土渣储存区</w:t>
                  </w:r>
                </w:p>
              </w:tc>
              <w:tc>
                <w:tcPr>
                  <w:tcW w:w="8974" w:type="dxa"/>
                  <w:gridSpan w:val="2"/>
                  <w:tcBorders>
                    <w:tl2br w:val="nil"/>
                    <w:tr2bl w:val="nil"/>
                  </w:tcBorders>
                  <w:noWrap w:val="0"/>
                  <w:vAlign w:val="center"/>
                </w:tcPr>
                <w:p w14:paraId="1915A94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预处理车间设置土渣储存区，面积1000m</w:t>
                  </w:r>
                  <w:r>
                    <w:rPr>
                      <w:rFonts w:hint="eastAsia" w:cs="Times New Roman"/>
                      <w:color w:val="auto"/>
                      <w:sz w:val="21"/>
                      <w:szCs w:val="21"/>
                      <w:highlight w:val="none"/>
                      <w:vertAlign w:val="superscript"/>
                      <w:lang w:val="en-US" w:eastAsia="zh-CN"/>
                    </w:rPr>
                    <w:t>2</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0BFE134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新增</w:t>
                  </w:r>
                </w:p>
              </w:tc>
            </w:tr>
            <w:tr w14:paraId="5189A4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27" w:hRule="atLeast"/>
                <w:jc w:val="center"/>
              </w:trPr>
              <w:tc>
                <w:tcPr>
                  <w:tcW w:w="1059" w:type="dxa"/>
                  <w:vMerge w:val="continue"/>
                  <w:tcBorders>
                    <w:tl2br w:val="nil"/>
                    <w:tr2bl w:val="nil"/>
                  </w:tcBorders>
                  <w:noWrap w:val="0"/>
                  <w:vAlign w:val="center"/>
                </w:tcPr>
                <w:p w14:paraId="1A1AF1C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54E3E6A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储运工程</w:t>
                  </w:r>
                </w:p>
              </w:tc>
              <w:tc>
                <w:tcPr>
                  <w:tcW w:w="8974" w:type="dxa"/>
                  <w:gridSpan w:val="2"/>
                  <w:tcBorders>
                    <w:tl2br w:val="nil"/>
                    <w:tr2bl w:val="nil"/>
                  </w:tcBorders>
                  <w:noWrap w:val="0"/>
                  <w:vAlign w:val="center"/>
                </w:tcPr>
                <w:p w14:paraId="3172E59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b w:val="0"/>
                      <w:bCs w:val="0"/>
                      <w:color w:val="auto"/>
                      <w:sz w:val="21"/>
                      <w:szCs w:val="21"/>
                      <w:lang w:val="en-US" w:eastAsia="zh-CN"/>
                    </w:rPr>
                    <w:t>原料运输采用国五</w:t>
                  </w:r>
                  <w:r>
                    <w:rPr>
                      <w:rFonts w:hint="eastAsia" w:ascii="Times New Roman" w:hAnsi="Times New Roman" w:cs="Times New Roman"/>
                      <w:color w:val="auto"/>
                      <w:spacing w:val="0"/>
                      <w:sz w:val="21"/>
                      <w:szCs w:val="21"/>
                      <w:highlight w:val="none"/>
                      <w:lang w:val="en-US" w:eastAsia="zh-CN"/>
                    </w:rPr>
                    <w:t>排放标准重型载货车辆</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1618361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r>
            <w:tr w14:paraId="608E3E2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07" w:hRule="atLeast"/>
                <w:jc w:val="center"/>
              </w:trPr>
              <w:tc>
                <w:tcPr>
                  <w:tcW w:w="1059" w:type="dxa"/>
                  <w:vMerge w:val="restart"/>
                  <w:tcBorders>
                    <w:tl2br w:val="nil"/>
                    <w:tr2bl w:val="nil"/>
                  </w:tcBorders>
                  <w:noWrap w:val="0"/>
                  <w:vAlign w:val="center"/>
                </w:tcPr>
                <w:p w14:paraId="2A3BA54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依托工程</w:t>
                  </w:r>
                </w:p>
              </w:tc>
              <w:tc>
                <w:tcPr>
                  <w:tcW w:w="1688" w:type="dxa"/>
                  <w:tcBorders>
                    <w:tl2br w:val="nil"/>
                    <w:tr2bl w:val="nil"/>
                  </w:tcBorders>
                  <w:shd w:val="clear" w:color="auto" w:fill="auto"/>
                  <w:noWrap w:val="0"/>
                  <w:vAlign w:val="center"/>
                </w:tcPr>
                <w:p w14:paraId="1A7FB38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一般固废储存区</w:t>
                  </w:r>
                </w:p>
              </w:tc>
              <w:tc>
                <w:tcPr>
                  <w:tcW w:w="8974" w:type="dxa"/>
                  <w:gridSpan w:val="2"/>
                  <w:tcBorders>
                    <w:tl2br w:val="nil"/>
                    <w:tr2bl w:val="nil"/>
                  </w:tcBorders>
                  <w:shd w:val="clear" w:color="auto" w:fill="auto"/>
                  <w:noWrap w:val="0"/>
                  <w:vAlign w:val="center"/>
                </w:tcPr>
                <w:p w14:paraId="7BB7936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依托现有一般固废储存区，面积810m</w:t>
                  </w:r>
                  <w:r>
                    <w:rPr>
                      <w:rFonts w:hint="eastAsia" w:cs="Times New Roman"/>
                      <w:color w:val="auto"/>
                      <w:sz w:val="21"/>
                      <w:szCs w:val="21"/>
                      <w:highlight w:val="none"/>
                      <w:vertAlign w:val="superscript"/>
                      <w:lang w:val="en-US" w:eastAsia="zh-CN"/>
                    </w:rPr>
                    <w:t>2</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2624006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依托现有</w:t>
                  </w:r>
                </w:p>
              </w:tc>
            </w:tr>
            <w:tr w14:paraId="78CB385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77" w:hRule="atLeast"/>
                <w:jc w:val="center"/>
              </w:trPr>
              <w:tc>
                <w:tcPr>
                  <w:tcW w:w="1059" w:type="dxa"/>
                  <w:vMerge w:val="continue"/>
                  <w:tcBorders>
                    <w:tl2br w:val="nil"/>
                    <w:tr2bl w:val="nil"/>
                  </w:tcBorders>
                  <w:noWrap w:val="0"/>
                  <w:vAlign w:val="center"/>
                </w:tcPr>
                <w:p w14:paraId="3AFF078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cs="Times New Roman"/>
                      <w:color w:val="auto"/>
                      <w:sz w:val="21"/>
                      <w:szCs w:val="21"/>
                      <w:highlight w:val="none"/>
                      <w:lang w:eastAsia="zh-CN"/>
                    </w:rPr>
                  </w:pPr>
                </w:p>
              </w:tc>
              <w:tc>
                <w:tcPr>
                  <w:tcW w:w="1688" w:type="dxa"/>
                  <w:tcBorders>
                    <w:tl2br w:val="nil"/>
                    <w:tr2bl w:val="nil"/>
                  </w:tcBorders>
                  <w:shd w:val="clear" w:color="auto" w:fill="auto"/>
                  <w:noWrap w:val="0"/>
                  <w:vAlign w:val="center"/>
                </w:tcPr>
                <w:p w14:paraId="683E81D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危险废物暂存间</w:t>
                  </w:r>
                </w:p>
              </w:tc>
              <w:tc>
                <w:tcPr>
                  <w:tcW w:w="8974" w:type="dxa"/>
                  <w:gridSpan w:val="2"/>
                  <w:tcBorders>
                    <w:tl2br w:val="nil"/>
                    <w:tr2bl w:val="nil"/>
                  </w:tcBorders>
                  <w:shd w:val="clear" w:color="auto" w:fill="auto"/>
                  <w:noWrap w:val="0"/>
                  <w:vAlign w:val="center"/>
                </w:tcPr>
                <w:p w14:paraId="49E7E245">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依托现有危险废物暂存间1座，面积8.75m</w:t>
                  </w:r>
                  <w:r>
                    <w:rPr>
                      <w:rFonts w:hint="eastAsia" w:cs="Times New Roman"/>
                      <w:color w:val="auto"/>
                      <w:sz w:val="21"/>
                      <w:szCs w:val="21"/>
                      <w:highlight w:val="none"/>
                      <w:vertAlign w:val="superscript"/>
                      <w:lang w:val="en-US" w:eastAsia="zh-CN"/>
                    </w:rPr>
                    <w:t>2</w:t>
                  </w:r>
                  <w:r>
                    <w:rPr>
                      <w:rFonts w:hint="eastAsia" w:ascii="Times New Roman" w:hAnsi="Times New Roman" w:eastAsia="宋体" w:cs="Times New Roman"/>
                      <w:b w:val="0"/>
                      <w:color w:val="auto"/>
                      <w:sz w:val="21"/>
                      <w:szCs w:val="21"/>
                      <w:highlight w:val="none"/>
                      <w:lang w:val="en-US" w:eastAsia="zh-CN"/>
                    </w:rPr>
                    <w:t>。</w:t>
                  </w:r>
                </w:p>
              </w:tc>
              <w:tc>
                <w:tcPr>
                  <w:tcW w:w="1146" w:type="dxa"/>
                  <w:tcBorders>
                    <w:tl2br w:val="nil"/>
                    <w:tr2bl w:val="nil"/>
                  </w:tcBorders>
                  <w:noWrap w:val="0"/>
                  <w:vAlign w:val="center"/>
                </w:tcPr>
                <w:p w14:paraId="4ECE7A8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依托现有</w:t>
                  </w:r>
                </w:p>
              </w:tc>
            </w:tr>
            <w:tr w14:paraId="2B56EF7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44" w:hRule="atLeast"/>
                <w:jc w:val="center"/>
              </w:trPr>
              <w:tc>
                <w:tcPr>
                  <w:tcW w:w="1059" w:type="dxa"/>
                  <w:vMerge w:val="restart"/>
                  <w:tcBorders>
                    <w:tl2br w:val="nil"/>
                    <w:tr2bl w:val="nil"/>
                  </w:tcBorders>
                  <w:noWrap w:val="0"/>
                  <w:vAlign w:val="center"/>
                </w:tcPr>
                <w:p w14:paraId="3604D58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环保工程</w:t>
                  </w:r>
                </w:p>
              </w:tc>
              <w:tc>
                <w:tcPr>
                  <w:tcW w:w="1688" w:type="dxa"/>
                  <w:vMerge w:val="restart"/>
                  <w:tcBorders>
                    <w:tl2br w:val="nil"/>
                    <w:tr2bl w:val="nil"/>
                  </w:tcBorders>
                  <w:noWrap w:val="0"/>
                  <w:vAlign w:val="center"/>
                </w:tcPr>
                <w:p w14:paraId="30F6A24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废气</w:t>
                  </w:r>
                </w:p>
              </w:tc>
              <w:tc>
                <w:tcPr>
                  <w:tcW w:w="769" w:type="dxa"/>
                  <w:tcBorders>
                    <w:tl2br w:val="nil"/>
                    <w:tr2bl w:val="nil"/>
                  </w:tcBorders>
                  <w:noWrap w:val="0"/>
                  <w:vAlign w:val="center"/>
                </w:tcPr>
                <w:p w14:paraId="052318F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有组织</w:t>
                  </w:r>
                </w:p>
              </w:tc>
              <w:tc>
                <w:tcPr>
                  <w:tcW w:w="8205" w:type="dxa"/>
                  <w:tcBorders>
                    <w:tl2br w:val="nil"/>
                    <w:tr2bl w:val="nil"/>
                  </w:tcBorders>
                  <w:noWrap w:val="0"/>
                  <w:vAlign w:val="center"/>
                </w:tcPr>
                <w:p w14:paraId="6565E7F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ascii="Times New Roman" w:hAnsi="Times New Roman" w:eastAsia="宋体" w:cs="Times New Roman"/>
                      <w:color w:val="auto"/>
                      <w:kern w:val="1"/>
                      <w:sz w:val="21"/>
                      <w:szCs w:val="21"/>
                      <w:highlight w:val="none"/>
                      <w:lang w:val="en-US" w:eastAsia="zh-CN" w:bidi="ar-SA"/>
                    </w:rPr>
                    <w:t>本项目破碎、筛分工序产生的含尘废气，经1套脉冲布袋除尘器净化处理后，通过1根排气筒（DA002）有组织排放。</w:t>
                  </w:r>
                </w:p>
              </w:tc>
              <w:tc>
                <w:tcPr>
                  <w:tcW w:w="1146" w:type="dxa"/>
                  <w:tcBorders>
                    <w:tl2br w:val="nil"/>
                    <w:tr2bl w:val="nil"/>
                  </w:tcBorders>
                  <w:noWrap w:val="0"/>
                  <w:vAlign w:val="center"/>
                </w:tcPr>
                <w:p w14:paraId="5D78E28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olor w:val="auto"/>
                      <w:sz w:val="21"/>
                      <w:szCs w:val="21"/>
                      <w:highlight w:val="yellow"/>
                      <w:lang w:val="en-US" w:eastAsia="zh-CN"/>
                    </w:rPr>
                  </w:pPr>
                  <w:r>
                    <w:rPr>
                      <w:rFonts w:hint="eastAsia" w:cs="Times New Roman"/>
                      <w:color w:val="auto"/>
                      <w:kern w:val="1"/>
                      <w:sz w:val="21"/>
                      <w:szCs w:val="21"/>
                      <w:highlight w:val="none"/>
                      <w:lang w:val="en-US" w:eastAsia="zh-CN" w:bidi="ar-SA"/>
                    </w:rPr>
                    <w:t>新增</w:t>
                  </w:r>
                </w:p>
              </w:tc>
            </w:tr>
            <w:tr w14:paraId="7105B2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89" w:hRule="atLeast"/>
                <w:jc w:val="center"/>
              </w:trPr>
              <w:tc>
                <w:tcPr>
                  <w:tcW w:w="1059" w:type="dxa"/>
                  <w:vMerge w:val="continue"/>
                  <w:tcBorders>
                    <w:tl2br w:val="nil"/>
                    <w:tr2bl w:val="nil"/>
                  </w:tcBorders>
                  <w:noWrap w:val="0"/>
                  <w:vAlign w:val="center"/>
                </w:tcPr>
                <w:p w14:paraId="7729DFE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cs="Times New Roman"/>
                      <w:color w:val="auto"/>
                      <w:sz w:val="21"/>
                      <w:szCs w:val="21"/>
                      <w:highlight w:val="none"/>
                      <w:lang w:val="en-US" w:eastAsia="zh-CN"/>
                    </w:rPr>
                  </w:pPr>
                </w:p>
              </w:tc>
              <w:tc>
                <w:tcPr>
                  <w:tcW w:w="1688" w:type="dxa"/>
                  <w:vMerge w:val="continue"/>
                  <w:tcBorders>
                    <w:tl2br w:val="nil"/>
                    <w:tr2bl w:val="nil"/>
                  </w:tcBorders>
                  <w:noWrap w:val="0"/>
                  <w:vAlign w:val="center"/>
                </w:tcPr>
                <w:p w14:paraId="611B400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ascii="Times New Roman" w:hAnsi="Times New Roman" w:cs="Times New Roman"/>
                      <w:color w:val="auto"/>
                      <w:sz w:val="21"/>
                      <w:szCs w:val="21"/>
                      <w:highlight w:val="none"/>
                      <w:lang w:val="en-US" w:eastAsia="zh-CN"/>
                    </w:rPr>
                  </w:pPr>
                </w:p>
              </w:tc>
              <w:tc>
                <w:tcPr>
                  <w:tcW w:w="769" w:type="dxa"/>
                  <w:tcBorders>
                    <w:tl2br w:val="nil"/>
                    <w:tr2bl w:val="nil"/>
                  </w:tcBorders>
                  <w:noWrap w:val="0"/>
                  <w:vAlign w:val="center"/>
                </w:tcPr>
                <w:p w14:paraId="774687D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无组织</w:t>
                  </w:r>
                </w:p>
              </w:tc>
              <w:tc>
                <w:tcPr>
                  <w:tcW w:w="8205" w:type="dxa"/>
                  <w:tcBorders>
                    <w:tl2br w:val="nil"/>
                    <w:tr2bl w:val="nil"/>
                  </w:tcBorders>
                  <w:noWrap w:val="0"/>
                  <w:vAlign w:val="center"/>
                </w:tcPr>
                <w:p w14:paraId="403FCC8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ascii="Times New Roman" w:hAnsi="Times New Roman" w:eastAsia="宋体" w:cs="Times New Roman"/>
                      <w:color w:val="auto"/>
                      <w:kern w:val="1"/>
                      <w:sz w:val="21"/>
                      <w:szCs w:val="21"/>
                      <w:highlight w:val="none"/>
                      <w:lang w:val="en-US" w:eastAsia="zh-CN" w:bidi="ar-SA"/>
                    </w:rPr>
                    <w:t>本项目预处理车间针对无组织排放粉尘，配套设置喷淋抑尘系统</w:t>
                  </w:r>
                  <w:r>
                    <w:rPr>
                      <w:rFonts w:hint="eastAsia" w:cs="Times New Roman"/>
                      <w:color w:val="auto"/>
                      <w:kern w:val="1"/>
                      <w:sz w:val="21"/>
                      <w:szCs w:val="21"/>
                      <w:highlight w:val="none"/>
                      <w:lang w:val="en-US" w:eastAsia="zh-CN" w:bidi="ar-SA"/>
                    </w:rPr>
                    <w:t>和雾炮</w:t>
                  </w:r>
                  <w:r>
                    <w:rPr>
                      <w:rFonts w:hint="eastAsia" w:ascii="Times New Roman" w:hAnsi="Times New Roman" w:eastAsia="宋体" w:cs="Times New Roman"/>
                      <w:color w:val="auto"/>
                      <w:kern w:val="1"/>
                      <w:sz w:val="21"/>
                      <w:szCs w:val="21"/>
                      <w:highlight w:val="none"/>
                      <w:lang w:val="en-US" w:eastAsia="zh-CN" w:bidi="ar-SA"/>
                    </w:rPr>
                    <w:t>，通过雾化喷淋方式，对车间内产生的无组织废气及粉尘进行雾化、吸附、沉降，有效抑制粉尘无组织扩散。</w:t>
                  </w:r>
                </w:p>
              </w:tc>
              <w:tc>
                <w:tcPr>
                  <w:tcW w:w="1146" w:type="dxa"/>
                  <w:tcBorders>
                    <w:tl2br w:val="nil"/>
                    <w:tr2bl w:val="nil"/>
                  </w:tcBorders>
                  <w:noWrap w:val="0"/>
                  <w:vAlign w:val="center"/>
                </w:tcPr>
                <w:p w14:paraId="09D63F0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auto"/>
                      <w:kern w:val="1"/>
                      <w:sz w:val="21"/>
                      <w:szCs w:val="21"/>
                      <w:highlight w:val="none"/>
                      <w:lang w:val="en-US" w:eastAsia="zh-CN" w:bidi="ar-SA"/>
                    </w:rPr>
                  </w:pPr>
                </w:p>
              </w:tc>
            </w:tr>
            <w:tr w14:paraId="4EA5D6E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37" w:hRule="atLeast"/>
                <w:jc w:val="center"/>
              </w:trPr>
              <w:tc>
                <w:tcPr>
                  <w:tcW w:w="1059" w:type="dxa"/>
                  <w:vMerge w:val="continue"/>
                  <w:tcBorders>
                    <w:tl2br w:val="nil"/>
                    <w:tr2bl w:val="nil"/>
                  </w:tcBorders>
                  <w:noWrap w:val="0"/>
                  <w:vAlign w:val="center"/>
                </w:tcPr>
                <w:p w14:paraId="55245F9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6691FCC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8974" w:type="dxa"/>
                  <w:gridSpan w:val="2"/>
                  <w:tcBorders>
                    <w:tl2br w:val="nil"/>
                    <w:tr2bl w:val="nil"/>
                  </w:tcBorders>
                  <w:noWrap w:val="0"/>
                  <w:vAlign w:val="center"/>
                </w:tcPr>
                <w:p w14:paraId="7EEA903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1"/>
                      <w:sz w:val="21"/>
                      <w:szCs w:val="21"/>
                      <w:highlight w:val="none"/>
                      <w:lang w:val="en-US" w:eastAsia="zh-CN" w:bidi="ar-SA"/>
                    </w:rPr>
                    <w:t>本项目废水主要为</w:t>
                  </w:r>
                  <w:r>
                    <w:rPr>
                      <w:rFonts w:hint="eastAsia" w:ascii="Times New Roman" w:hAnsi="Times New Roman" w:eastAsia="宋体" w:cs="Times New Roman"/>
                      <w:color w:val="auto"/>
                      <w:sz w:val="21"/>
                      <w:szCs w:val="21"/>
                      <w:highlight w:val="none"/>
                      <w:lang w:val="en-US" w:eastAsia="zh-CN"/>
                    </w:rPr>
                    <w:t>生活污水</w:t>
                  </w:r>
                  <w:r>
                    <w:rPr>
                      <w:rFonts w:hint="eastAsia" w:cs="Times New Roman"/>
                      <w:color w:val="auto"/>
                      <w:sz w:val="21"/>
                      <w:szCs w:val="21"/>
                      <w:highlight w:val="none"/>
                      <w:lang w:val="en-US" w:eastAsia="zh-CN"/>
                    </w:rPr>
                    <w:t>和洗车废水</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kern w:val="1"/>
                      <w:sz w:val="21"/>
                      <w:szCs w:val="21"/>
                      <w:highlight w:val="none"/>
                      <w:lang w:val="en-US" w:eastAsia="zh-CN" w:bidi="ar-SA"/>
                    </w:rPr>
                    <w:t>生活污水</w:t>
                  </w:r>
                  <w:r>
                    <w:rPr>
                      <w:rFonts w:hint="eastAsia" w:cs="Times New Roman"/>
                      <w:color w:val="auto"/>
                      <w:kern w:val="1"/>
                      <w:sz w:val="21"/>
                      <w:szCs w:val="21"/>
                      <w:highlight w:val="none"/>
                      <w:lang w:val="en-US" w:eastAsia="zh-CN" w:bidi="ar-SA"/>
                    </w:rPr>
                    <w:t>水质简单，泼洒地面抑尘，不外排；洗车废水循环使用，不外排。</w:t>
                  </w:r>
                </w:p>
              </w:tc>
              <w:tc>
                <w:tcPr>
                  <w:tcW w:w="1146" w:type="dxa"/>
                  <w:tcBorders>
                    <w:tl2br w:val="nil"/>
                    <w:tr2bl w:val="nil"/>
                  </w:tcBorders>
                  <w:noWrap w:val="0"/>
                  <w:vAlign w:val="center"/>
                </w:tcPr>
                <w:p w14:paraId="4F86EFF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新增</w:t>
                  </w:r>
                </w:p>
              </w:tc>
            </w:tr>
            <w:tr w14:paraId="544B4DE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2" w:hRule="atLeast"/>
                <w:jc w:val="center"/>
              </w:trPr>
              <w:tc>
                <w:tcPr>
                  <w:tcW w:w="1059" w:type="dxa"/>
                  <w:vMerge w:val="continue"/>
                  <w:tcBorders>
                    <w:tl2br w:val="nil"/>
                    <w:tr2bl w:val="nil"/>
                  </w:tcBorders>
                  <w:noWrap w:val="0"/>
                  <w:vAlign w:val="center"/>
                </w:tcPr>
                <w:p w14:paraId="4348426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162CA6C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8974" w:type="dxa"/>
                  <w:gridSpan w:val="2"/>
                  <w:tcBorders>
                    <w:tl2br w:val="nil"/>
                    <w:tr2bl w:val="nil"/>
                  </w:tcBorders>
                  <w:noWrap w:val="0"/>
                  <w:vAlign w:val="center"/>
                </w:tcPr>
                <w:p w14:paraId="3B896BE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生产设备均置于封闭的生产车间内，基础加装减振垫等</w:t>
                  </w:r>
                </w:p>
              </w:tc>
              <w:tc>
                <w:tcPr>
                  <w:tcW w:w="1146" w:type="dxa"/>
                  <w:tcBorders>
                    <w:tl2br w:val="nil"/>
                    <w:tr2bl w:val="nil"/>
                  </w:tcBorders>
                  <w:noWrap w:val="0"/>
                  <w:vAlign w:val="center"/>
                </w:tcPr>
                <w:p w14:paraId="606CA7E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14:paraId="11E4697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059" w:type="dxa"/>
                  <w:vMerge w:val="continue"/>
                  <w:tcBorders>
                    <w:tl2br w:val="nil"/>
                    <w:tr2bl w:val="nil"/>
                  </w:tcBorders>
                  <w:noWrap w:val="0"/>
                  <w:vAlign w:val="center"/>
                </w:tcPr>
                <w:p w14:paraId="388F0EC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p>
              </w:tc>
              <w:tc>
                <w:tcPr>
                  <w:tcW w:w="1688" w:type="dxa"/>
                  <w:tcBorders>
                    <w:tl2br w:val="nil"/>
                    <w:tr2bl w:val="nil"/>
                  </w:tcBorders>
                  <w:noWrap w:val="0"/>
                  <w:vAlign w:val="center"/>
                </w:tcPr>
                <w:p w14:paraId="3E464D8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w:t>
                  </w:r>
                </w:p>
              </w:tc>
              <w:tc>
                <w:tcPr>
                  <w:tcW w:w="8974" w:type="dxa"/>
                  <w:gridSpan w:val="2"/>
                  <w:tcBorders>
                    <w:tl2br w:val="nil"/>
                    <w:tr2bl w:val="nil"/>
                  </w:tcBorders>
                  <w:noWrap w:val="0"/>
                  <w:vAlign w:val="center"/>
                </w:tcPr>
                <w:p w14:paraId="4852E2E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一般固废：</w:t>
                  </w:r>
                  <w:r>
                    <w:rPr>
                      <w:rFonts w:hint="eastAsia" w:ascii="Times New Roman" w:hAnsi="Times New Roman" w:eastAsia="宋体" w:cs="Times New Roman"/>
                      <w:b w:val="0"/>
                      <w:bCs/>
                      <w:color w:val="auto"/>
                      <w:sz w:val="21"/>
                      <w:szCs w:val="21"/>
                      <w:highlight w:val="none"/>
                      <w:lang w:val="en-US" w:eastAsia="zh-CN"/>
                    </w:rPr>
                    <w:t>布袋除尘器产生的废布袋，</w:t>
                  </w:r>
                  <w:r>
                    <w:rPr>
                      <w:rFonts w:hint="default" w:ascii="Times New Roman" w:hAnsi="Times New Roman" w:eastAsia="宋体" w:cs="Times New Roman"/>
                      <w:b w:val="0"/>
                      <w:bCs/>
                      <w:color w:val="auto"/>
                      <w:sz w:val="21"/>
                      <w:szCs w:val="21"/>
                      <w:highlight w:val="none"/>
                      <w:lang w:val="en-US" w:eastAsia="zh-CN"/>
                    </w:rPr>
                    <w:t>更换后，直接外售废品回收站</w:t>
                  </w:r>
                  <w:r>
                    <w:rPr>
                      <w:rFonts w:hint="eastAsia" w:ascii="Times New Roman" w:hAnsi="Times New Roman" w:eastAsia="宋体"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除尘灰</w:t>
                  </w:r>
                  <w:r>
                    <w:rPr>
                      <w:rFonts w:hint="eastAsia" w:cs="Times New Roman"/>
                      <w:b w:val="0"/>
                      <w:bCs/>
                      <w:color w:val="auto"/>
                      <w:sz w:val="21"/>
                      <w:szCs w:val="21"/>
                      <w:highlight w:val="none"/>
                      <w:lang w:val="en-US" w:eastAsia="zh-CN"/>
                    </w:rPr>
                    <w:t>集中</w:t>
                  </w:r>
                  <w:r>
                    <w:rPr>
                      <w:rFonts w:hint="default" w:ascii="Times New Roman" w:hAnsi="Times New Roman" w:eastAsia="宋体" w:cs="Times New Roman"/>
                      <w:b w:val="0"/>
                      <w:bCs/>
                      <w:color w:val="auto"/>
                      <w:sz w:val="21"/>
                      <w:szCs w:val="21"/>
                      <w:highlight w:val="none"/>
                      <w:lang w:val="en-US" w:eastAsia="zh-CN"/>
                    </w:rPr>
                    <w:t>收集</w:t>
                  </w:r>
                  <w:r>
                    <w:rPr>
                      <w:rFonts w:hint="eastAsia" w:cs="Times New Roman"/>
                      <w:b w:val="0"/>
                      <w:bCs/>
                      <w:color w:val="auto"/>
                      <w:sz w:val="21"/>
                      <w:szCs w:val="21"/>
                      <w:highlight w:val="none"/>
                      <w:lang w:val="en-US" w:eastAsia="zh-CN"/>
                    </w:rPr>
                    <w:t>，</w:t>
                  </w:r>
                  <w:r>
                    <w:rPr>
                      <w:rFonts w:hint="eastAsia" w:cs="Times New Roman"/>
                      <w:b w:val="0"/>
                      <w:bCs/>
                      <w:color w:val="auto"/>
                      <w:sz w:val="21"/>
                      <w:szCs w:val="21"/>
                      <w:highlight w:val="none"/>
                      <w:lang w:eastAsia="zh-CN"/>
                    </w:rPr>
                    <w:t>暂存于一般固废暂存间，定期外售水泥厂</w:t>
                  </w:r>
                  <w:r>
                    <w:rPr>
                      <w:rFonts w:hint="eastAsia" w:ascii="Times New Roman" w:hAnsi="Times New Roman" w:eastAsia="宋体" w:cs="Times New Roman"/>
                      <w:b w:val="0"/>
                      <w:bCs/>
                      <w:color w:val="auto"/>
                      <w:sz w:val="21"/>
                      <w:szCs w:val="21"/>
                      <w:highlight w:val="none"/>
                      <w:lang w:eastAsia="zh-CN"/>
                    </w:rPr>
                    <w:t>；</w:t>
                  </w:r>
                  <w:r>
                    <w:rPr>
                      <w:rFonts w:hint="eastAsia" w:ascii="Times New Roman" w:hAnsi="Times New Roman" w:eastAsia="宋体" w:cs="Times New Roman"/>
                      <w:b w:val="0"/>
                      <w:bCs/>
                      <w:color w:val="auto"/>
                      <w:sz w:val="21"/>
                      <w:szCs w:val="21"/>
                      <w:highlight w:val="none"/>
                      <w:lang w:val="en-US" w:eastAsia="zh-CN"/>
                    </w:rPr>
                    <w:t>沉淀池污泥定期清理，清理后直接</w:t>
                  </w:r>
                  <w:r>
                    <w:rPr>
                      <w:rFonts w:hint="default" w:ascii="Times New Roman" w:hAnsi="Times New Roman" w:eastAsia="宋体" w:cs="Times New Roman"/>
                      <w:b w:val="0"/>
                      <w:bCs/>
                      <w:color w:val="auto"/>
                      <w:sz w:val="21"/>
                      <w:szCs w:val="21"/>
                      <w:highlight w:val="none"/>
                      <w:lang w:val="en-US" w:eastAsia="zh-CN"/>
                    </w:rPr>
                    <w:t>作外售</w:t>
                  </w:r>
                  <w:r>
                    <w:rPr>
                      <w:rFonts w:hint="eastAsia" w:ascii="Times New Roman" w:hAnsi="Times New Roman" w:eastAsia="宋体" w:cs="Times New Roman"/>
                      <w:b w:val="0"/>
                      <w:bCs/>
                      <w:color w:val="auto"/>
                      <w:sz w:val="21"/>
                      <w:szCs w:val="21"/>
                      <w:highlight w:val="none"/>
                      <w:lang w:val="en-US" w:eastAsia="zh-CN"/>
                    </w:rPr>
                    <w:t>水泥厂；土渣暂存于预处理车间土渣储存区，定期外售水泥厂；</w:t>
                  </w:r>
                </w:p>
                <w:p w14:paraId="0A88CD3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危险废物：</w:t>
                  </w:r>
                  <w:r>
                    <w:rPr>
                      <w:rFonts w:hint="default" w:ascii="Times New Roman" w:hAnsi="Times New Roman" w:eastAsia="宋体" w:cs="Times New Roman"/>
                      <w:color w:val="auto"/>
                      <w:sz w:val="21"/>
                      <w:szCs w:val="21"/>
                      <w:highlight w:val="none"/>
                      <w:lang w:val="en-US" w:eastAsia="zh-CN"/>
                    </w:rPr>
                    <w:t>废润滑油、</w:t>
                  </w:r>
                  <w:r>
                    <w:rPr>
                      <w:rFonts w:hint="eastAsia" w:cs="Times New Roman"/>
                      <w:color w:val="auto"/>
                      <w:sz w:val="21"/>
                      <w:szCs w:val="21"/>
                      <w:highlight w:val="none"/>
                      <w:lang w:val="en-US" w:eastAsia="zh-CN"/>
                    </w:rPr>
                    <w:t>废润滑油桶</w:t>
                  </w:r>
                  <w:r>
                    <w:rPr>
                      <w:rFonts w:hint="default" w:ascii="Times New Roman" w:hAnsi="Times New Roman" w:eastAsia="宋体" w:cs="Times New Roman"/>
                      <w:color w:val="auto"/>
                      <w:sz w:val="21"/>
                      <w:szCs w:val="21"/>
                      <w:highlight w:val="none"/>
                      <w:lang w:val="en-US" w:eastAsia="zh-CN"/>
                    </w:rPr>
                    <w:t>分类收集，暂存于危险废物暂存间，定期委托</w:t>
                  </w:r>
                  <w:r>
                    <w:rPr>
                      <w:rFonts w:hint="eastAsia" w:cs="Times New Roman"/>
                      <w:color w:val="auto"/>
                      <w:sz w:val="21"/>
                      <w:szCs w:val="21"/>
                      <w:highlight w:val="none"/>
                      <w:lang w:val="en-US" w:eastAsia="zh-CN"/>
                    </w:rPr>
                    <w:t>有资质的危险废物处置单位</w:t>
                  </w:r>
                  <w:r>
                    <w:rPr>
                      <w:rFonts w:hint="default" w:ascii="Times New Roman" w:hAnsi="Times New Roman" w:eastAsia="宋体" w:cs="Times New Roman"/>
                      <w:color w:val="auto"/>
                      <w:sz w:val="21"/>
                      <w:szCs w:val="21"/>
                      <w:highlight w:val="none"/>
                      <w:lang w:val="en-US" w:eastAsia="zh-CN"/>
                    </w:rPr>
                    <w:t>进行处置</w:t>
                  </w:r>
                  <w:r>
                    <w:rPr>
                      <w:rFonts w:hint="eastAsia" w:ascii="Times New Roman" w:hAnsi="Times New Roman" w:eastAsia="宋体" w:cs="Times New Roman"/>
                      <w:b w:val="0"/>
                      <w:bCs w:val="0"/>
                      <w:color w:val="auto"/>
                      <w:sz w:val="21"/>
                      <w:szCs w:val="21"/>
                      <w:highlight w:val="none"/>
                      <w:lang w:val="en-US" w:eastAsia="zh-CN"/>
                    </w:rPr>
                    <w:t>；</w:t>
                  </w:r>
                </w:p>
                <w:p w14:paraId="3B893F8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color w:val="auto"/>
                      <w:sz w:val="21"/>
                      <w:szCs w:val="21"/>
                      <w:highlight w:val="yellow"/>
                    </w:rPr>
                  </w:pPr>
                  <w:r>
                    <w:rPr>
                      <w:rFonts w:hint="default" w:ascii="Times New Roman" w:hAnsi="Times New Roman" w:eastAsia="宋体" w:cs="Times New Roman"/>
                      <w:color w:val="auto"/>
                      <w:sz w:val="21"/>
                      <w:szCs w:val="21"/>
                      <w:highlight w:val="none"/>
                      <w:lang w:val="en-US" w:eastAsia="zh-CN"/>
                    </w:rPr>
                    <w:t>本项目职工生活会产生一定量的生活垃圾，集中收集，送当地环卫部门指定地点统一处理</w:t>
                  </w:r>
                  <w:r>
                    <w:rPr>
                      <w:rFonts w:hint="eastAsia" w:cs="Times New Roman"/>
                      <w:color w:val="auto"/>
                      <w:sz w:val="21"/>
                      <w:szCs w:val="21"/>
                      <w:highlight w:val="none"/>
                      <w:lang w:val="en-US" w:eastAsia="zh-CN"/>
                    </w:rPr>
                    <w:t>。</w:t>
                  </w:r>
                </w:p>
              </w:tc>
              <w:tc>
                <w:tcPr>
                  <w:tcW w:w="1146" w:type="dxa"/>
                  <w:tcBorders>
                    <w:tl2br w:val="nil"/>
                    <w:tr2bl w:val="nil"/>
                  </w:tcBorders>
                  <w:noWrap w:val="0"/>
                  <w:vAlign w:val="center"/>
                </w:tcPr>
                <w:p w14:paraId="7533523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bl>
          <w:p w14:paraId="3C08AD37">
            <w:pPr>
              <w:keepNext w:val="0"/>
              <w:keepLines w:val="0"/>
              <w:pageBreakBefore w:val="0"/>
              <w:widowControl w:val="0"/>
              <w:numPr>
                <w:ilvl w:val="0"/>
                <w:numId w:val="0"/>
              </w:numPr>
              <w:shd w:val="clear"/>
              <w:tabs>
                <w:tab w:val="left" w:pos="0"/>
              </w:tabs>
              <w:kinsoku/>
              <w:wordWrap/>
              <w:overflowPunct/>
              <w:topLinePunct w:val="0"/>
              <w:autoSpaceDE/>
              <w:autoSpaceDN/>
              <w:bidi w:val="0"/>
              <w:adjustRightInd/>
              <w:snapToGrid/>
              <w:ind w:leftChars="0"/>
              <w:jc w:val="both"/>
              <w:textAlignment w:val="auto"/>
              <w:rPr>
                <w:rFonts w:hint="default" w:ascii="Times New Roman" w:hAnsi="Times New Roman" w:eastAsia="宋体" w:cs="Times New Roman"/>
                <w:b/>
                <w:bCs/>
                <w:color w:val="auto"/>
                <w:spacing w:val="0"/>
                <w:sz w:val="21"/>
                <w:szCs w:val="21"/>
                <w:highlight w:val="none"/>
                <w:lang w:val="en-US" w:eastAsia="zh-CN"/>
              </w:rPr>
            </w:pPr>
          </w:p>
          <w:p w14:paraId="715FBEA9">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63507E5D">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17AAE0B9">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568E75D6">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2DC46D43">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52A1B17E">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2C58ED65">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p w14:paraId="1FEC5238">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vertAlign w:val="baseline"/>
              </w:rPr>
            </w:pPr>
          </w:p>
        </w:tc>
      </w:tr>
    </w:tbl>
    <w:p w14:paraId="15CBAF8E">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sz w:val="30"/>
          <w:szCs w:val="30"/>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16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3"/>
        <w:gridCol w:w="8342"/>
      </w:tblGrid>
      <w:tr w14:paraId="4506135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381" w:hRule="atLeast"/>
          <w:jc w:val="center"/>
        </w:trPr>
        <w:tc>
          <w:tcPr>
            <w:tcW w:w="823" w:type="dxa"/>
            <w:tcBorders>
              <w:tl2br w:val="nil"/>
              <w:tr2bl w:val="nil"/>
            </w:tcBorders>
            <w:noWrap w:val="0"/>
            <w:vAlign w:val="center"/>
          </w:tcPr>
          <w:p w14:paraId="669140B6">
            <w:pPr>
              <w:pStyle w:val="43"/>
              <w:shd w:val="clear"/>
              <w:bidi w:val="0"/>
              <w:rPr>
                <w:rFonts w:hint="default" w:ascii="Times New Roman" w:hAnsi="Times New Roman" w:cs="Times New Roman"/>
                <w:color w:val="auto"/>
                <w:sz w:val="24"/>
                <w:szCs w:val="24"/>
                <w:highlight w:val="none"/>
              </w:rPr>
            </w:pPr>
          </w:p>
        </w:tc>
        <w:tc>
          <w:tcPr>
            <w:tcW w:w="8342" w:type="dxa"/>
            <w:tcBorders>
              <w:tl2br w:val="nil"/>
              <w:tr2bl w:val="nil"/>
            </w:tcBorders>
            <w:noWrap w:val="0"/>
            <w:vAlign w:val="top"/>
          </w:tcPr>
          <w:p w14:paraId="4F89495F">
            <w:pPr>
              <w:numPr>
                <w:ilvl w:val="0"/>
                <w:numId w:val="8"/>
              </w:numPr>
              <w:shd w:val="clear"/>
              <w:bidi w:val="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建构筑物</w:t>
            </w:r>
          </w:p>
          <w:p w14:paraId="6BEF094B">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本项目新增建构筑物情况如下：</w:t>
            </w:r>
          </w:p>
          <w:p w14:paraId="0F2FA000">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建构筑物</w:t>
            </w:r>
          </w:p>
          <w:tbl>
            <w:tblPr>
              <w:tblStyle w:val="32"/>
              <w:tblW w:w="7631"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568"/>
              <w:gridCol w:w="1108"/>
              <w:gridCol w:w="900"/>
              <w:gridCol w:w="904"/>
              <w:gridCol w:w="960"/>
              <w:gridCol w:w="3191"/>
            </w:tblGrid>
            <w:tr w14:paraId="15C8ED8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06" w:hRule="atLeast"/>
                <w:jc w:val="center"/>
              </w:trPr>
              <w:tc>
                <w:tcPr>
                  <w:tcW w:w="568" w:type="dxa"/>
                  <w:tcBorders>
                    <w:tl2br w:val="nil"/>
                    <w:tr2bl w:val="nil"/>
                  </w:tcBorders>
                  <w:noWrap w:val="0"/>
                  <w:vAlign w:val="center"/>
                </w:tcPr>
                <w:p w14:paraId="0DCAD5CA">
                  <w:pPr>
                    <w:pStyle w:val="115"/>
                    <w:shd w:val="clear"/>
                    <w:rPr>
                      <w:rFonts w:hint="eastAsia" w:eastAsia="宋体"/>
                      <w:color w:val="auto"/>
                      <w:highlight w:val="none"/>
                      <w:lang w:eastAsia="zh-CN"/>
                    </w:rPr>
                  </w:pPr>
                  <w:bookmarkStart w:id="2" w:name="OLE_LINK1"/>
                  <w:r>
                    <w:rPr>
                      <w:rFonts w:hint="eastAsia"/>
                      <w:color w:val="auto"/>
                      <w:highlight w:val="none"/>
                      <w:lang w:eastAsia="zh-CN"/>
                    </w:rPr>
                    <w:t>序号</w:t>
                  </w:r>
                </w:p>
              </w:tc>
              <w:tc>
                <w:tcPr>
                  <w:tcW w:w="1108" w:type="dxa"/>
                  <w:tcBorders>
                    <w:tl2br w:val="nil"/>
                    <w:tr2bl w:val="nil"/>
                  </w:tcBorders>
                  <w:noWrap w:val="0"/>
                  <w:vAlign w:val="center"/>
                </w:tcPr>
                <w:p w14:paraId="3655FA0B">
                  <w:pPr>
                    <w:pStyle w:val="115"/>
                    <w:shd w:val="clear"/>
                    <w:rPr>
                      <w:rFonts w:hint="eastAsia" w:eastAsia="宋体"/>
                      <w:color w:val="auto"/>
                      <w:highlight w:val="none"/>
                      <w:lang w:eastAsia="zh-CN"/>
                    </w:rPr>
                  </w:pPr>
                  <w:r>
                    <w:rPr>
                      <w:rFonts w:hint="eastAsia"/>
                      <w:color w:val="auto"/>
                      <w:highlight w:val="none"/>
                      <w:lang w:eastAsia="zh-CN"/>
                    </w:rPr>
                    <w:t>名称</w:t>
                  </w:r>
                </w:p>
              </w:tc>
              <w:tc>
                <w:tcPr>
                  <w:tcW w:w="900" w:type="dxa"/>
                  <w:tcBorders>
                    <w:tl2br w:val="nil"/>
                    <w:tr2bl w:val="nil"/>
                  </w:tcBorders>
                  <w:shd w:val="clear" w:color="auto" w:fill="auto"/>
                  <w:noWrap w:val="0"/>
                  <w:vAlign w:val="center"/>
                </w:tcPr>
                <w:p w14:paraId="5DE968BA">
                  <w:pPr>
                    <w:pStyle w:val="115"/>
                    <w:shd w:val="clear"/>
                    <w:rPr>
                      <w:rFonts w:hint="default" w:eastAsia="宋体"/>
                      <w:color w:val="auto"/>
                      <w:highlight w:val="none"/>
                      <w:lang w:val="en-US" w:eastAsia="zh-CN"/>
                    </w:rPr>
                  </w:pPr>
                  <w:r>
                    <w:rPr>
                      <w:rFonts w:hint="eastAsia"/>
                      <w:color w:val="auto"/>
                      <w:highlight w:val="none"/>
                      <w:lang w:val="en-US" w:eastAsia="zh-CN"/>
                    </w:rPr>
                    <w:t>面积</w:t>
                  </w:r>
                </w:p>
              </w:tc>
              <w:tc>
                <w:tcPr>
                  <w:tcW w:w="904" w:type="dxa"/>
                  <w:tcBorders>
                    <w:tl2br w:val="nil"/>
                    <w:tr2bl w:val="nil"/>
                  </w:tcBorders>
                  <w:shd w:val="clear" w:color="auto" w:fill="auto"/>
                  <w:noWrap w:val="0"/>
                  <w:vAlign w:val="center"/>
                </w:tcPr>
                <w:p w14:paraId="065CAA7F">
                  <w:pPr>
                    <w:pStyle w:val="115"/>
                    <w:shd w:val="clear"/>
                    <w:rPr>
                      <w:rFonts w:hint="default" w:eastAsia="宋体"/>
                      <w:color w:val="auto"/>
                      <w:highlight w:val="none"/>
                      <w:lang w:val="en-US" w:eastAsia="zh-CN"/>
                    </w:rPr>
                  </w:pPr>
                  <w:r>
                    <w:rPr>
                      <w:rFonts w:hint="eastAsia"/>
                      <w:color w:val="auto"/>
                      <w:highlight w:val="none"/>
                      <w:lang w:val="en-US" w:eastAsia="zh-CN"/>
                    </w:rPr>
                    <w:t>高度</w:t>
                  </w:r>
                </w:p>
              </w:tc>
              <w:tc>
                <w:tcPr>
                  <w:tcW w:w="960" w:type="dxa"/>
                  <w:tcBorders>
                    <w:tl2br w:val="nil"/>
                    <w:tr2bl w:val="nil"/>
                  </w:tcBorders>
                  <w:shd w:val="clear" w:color="auto" w:fill="auto"/>
                  <w:noWrap w:val="0"/>
                  <w:vAlign w:val="center"/>
                </w:tcPr>
                <w:p w14:paraId="6FA4371D">
                  <w:pPr>
                    <w:pStyle w:val="115"/>
                    <w:shd w:val="clear"/>
                    <w:rPr>
                      <w:rFonts w:hint="eastAsia" w:eastAsia="宋体"/>
                      <w:color w:val="auto"/>
                      <w:highlight w:val="none"/>
                      <w:lang w:val="en-US" w:eastAsia="zh-CN"/>
                    </w:rPr>
                  </w:pPr>
                  <w:r>
                    <w:rPr>
                      <w:rFonts w:hint="eastAsia" w:eastAsia="宋体"/>
                      <w:color w:val="auto"/>
                      <w:highlight w:val="none"/>
                      <w:lang w:val="en-US" w:eastAsia="zh-CN"/>
                    </w:rPr>
                    <w:t>层数</w:t>
                  </w:r>
                </w:p>
              </w:tc>
              <w:tc>
                <w:tcPr>
                  <w:tcW w:w="3191" w:type="dxa"/>
                  <w:tcBorders>
                    <w:tl2br w:val="nil"/>
                    <w:tr2bl w:val="nil"/>
                  </w:tcBorders>
                  <w:shd w:val="clear" w:color="auto" w:fill="auto"/>
                  <w:noWrap w:val="0"/>
                  <w:vAlign w:val="center"/>
                </w:tcPr>
                <w:p w14:paraId="00B5D024">
                  <w:pPr>
                    <w:pStyle w:val="115"/>
                    <w:shd w:val="clear"/>
                    <w:rPr>
                      <w:rFonts w:hint="eastAsia"/>
                      <w:color w:val="auto"/>
                      <w:highlight w:val="none"/>
                      <w:lang w:val="en-US" w:eastAsia="zh-CN"/>
                    </w:rPr>
                  </w:pPr>
                  <w:r>
                    <w:rPr>
                      <w:rFonts w:hint="eastAsia"/>
                      <w:color w:val="auto"/>
                      <w:highlight w:val="none"/>
                      <w:lang w:val="en-US" w:eastAsia="zh-CN"/>
                    </w:rPr>
                    <w:t>备注</w:t>
                  </w:r>
                </w:p>
              </w:tc>
            </w:tr>
            <w:tr w14:paraId="4D875AF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680" w:hRule="atLeast"/>
                <w:jc w:val="center"/>
              </w:trPr>
              <w:tc>
                <w:tcPr>
                  <w:tcW w:w="568" w:type="dxa"/>
                  <w:tcBorders>
                    <w:tl2br w:val="nil"/>
                    <w:tr2bl w:val="nil"/>
                  </w:tcBorders>
                  <w:noWrap w:val="0"/>
                  <w:vAlign w:val="center"/>
                </w:tcPr>
                <w:p w14:paraId="072F95C6">
                  <w:pPr>
                    <w:pStyle w:val="115"/>
                    <w:shd w:val="clear"/>
                    <w:rPr>
                      <w:color w:val="auto"/>
                      <w:highlight w:val="none"/>
                    </w:rPr>
                  </w:pPr>
                  <w:r>
                    <w:rPr>
                      <w:color w:val="auto"/>
                      <w:highlight w:val="none"/>
                    </w:rPr>
                    <w:t>1</w:t>
                  </w:r>
                </w:p>
              </w:tc>
              <w:tc>
                <w:tcPr>
                  <w:tcW w:w="1108" w:type="dxa"/>
                  <w:tcBorders>
                    <w:tl2br w:val="nil"/>
                    <w:tr2bl w:val="nil"/>
                  </w:tcBorders>
                  <w:noWrap w:val="0"/>
                  <w:vAlign w:val="center"/>
                </w:tcPr>
                <w:p w14:paraId="52A53565">
                  <w:pPr>
                    <w:pStyle w:val="115"/>
                    <w:shd w:val="clear"/>
                    <w:rPr>
                      <w:rFonts w:hint="eastAsia" w:eastAsia="宋体"/>
                      <w:color w:val="auto"/>
                      <w:highlight w:val="none"/>
                      <w:lang w:eastAsia="zh-CN"/>
                    </w:rPr>
                  </w:pPr>
                  <w:r>
                    <w:rPr>
                      <w:rFonts w:hint="eastAsia"/>
                      <w:color w:val="auto"/>
                      <w:highlight w:val="none"/>
                      <w:lang w:val="en-US" w:eastAsia="zh-CN"/>
                    </w:rPr>
                    <w:t>预处理车间</w:t>
                  </w:r>
                </w:p>
              </w:tc>
              <w:tc>
                <w:tcPr>
                  <w:tcW w:w="900" w:type="dxa"/>
                  <w:tcBorders>
                    <w:tl2br w:val="nil"/>
                    <w:tr2bl w:val="nil"/>
                  </w:tcBorders>
                  <w:shd w:val="clear" w:color="auto" w:fill="auto"/>
                  <w:noWrap w:val="0"/>
                  <w:vAlign w:val="center"/>
                </w:tcPr>
                <w:p w14:paraId="57CFE00B">
                  <w:pPr>
                    <w:pStyle w:val="115"/>
                    <w:shd w:val="clear"/>
                    <w:rPr>
                      <w:rFonts w:hint="default"/>
                      <w:color w:val="auto"/>
                      <w:highlight w:val="none"/>
                      <w:lang w:val="en-US" w:eastAsia="zh-CN"/>
                    </w:rPr>
                  </w:pPr>
                  <w:r>
                    <w:rPr>
                      <w:rFonts w:hint="eastAsia"/>
                      <w:color w:val="auto"/>
                      <w:highlight w:val="none"/>
                      <w:lang w:val="en-US" w:eastAsia="zh-CN"/>
                    </w:rPr>
                    <w:t>5000m</w:t>
                  </w:r>
                  <w:r>
                    <w:rPr>
                      <w:rFonts w:hint="eastAsia"/>
                      <w:color w:val="auto"/>
                      <w:highlight w:val="none"/>
                      <w:vertAlign w:val="superscript"/>
                      <w:lang w:val="en-US" w:eastAsia="zh-CN"/>
                    </w:rPr>
                    <w:t>2</w:t>
                  </w:r>
                </w:p>
              </w:tc>
              <w:tc>
                <w:tcPr>
                  <w:tcW w:w="904" w:type="dxa"/>
                  <w:tcBorders>
                    <w:tl2br w:val="nil"/>
                    <w:tr2bl w:val="nil"/>
                  </w:tcBorders>
                  <w:shd w:val="clear" w:color="auto" w:fill="auto"/>
                  <w:noWrap w:val="0"/>
                  <w:vAlign w:val="center"/>
                </w:tcPr>
                <w:p w14:paraId="3EC64508">
                  <w:pPr>
                    <w:pStyle w:val="115"/>
                    <w:shd w:val="clear"/>
                    <w:rPr>
                      <w:rFonts w:hint="default"/>
                      <w:color w:val="auto"/>
                      <w:lang w:val="en-US" w:eastAsia="zh-CN"/>
                    </w:rPr>
                  </w:pPr>
                  <w:r>
                    <w:rPr>
                      <w:rFonts w:hint="eastAsia"/>
                      <w:color w:val="auto"/>
                      <w:highlight w:val="none"/>
                      <w:lang w:val="en-US" w:eastAsia="zh-CN"/>
                    </w:rPr>
                    <w:t>8m</w:t>
                  </w:r>
                </w:p>
              </w:tc>
              <w:tc>
                <w:tcPr>
                  <w:tcW w:w="960" w:type="dxa"/>
                  <w:tcBorders>
                    <w:tl2br w:val="nil"/>
                    <w:tr2bl w:val="nil"/>
                  </w:tcBorders>
                  <w:shd w:val="clear" w:color="auto" w:fill="auto"/>
                  <w:noWrap w:val="0"/>
                  <w:vAlign w:val="center"/>
                </w:tcPr>
                <w:p w14:paraId="048C12BB">
                  <w:pPr>
                    <w:pStyle w:val="115"/>
                    <w:shd w:val="clear"/>
                    <w:rPr>
                      <w:rFonts w:hint="default" w:eastAsia="宋体"/>
                      <w:color w:val="auto"/>
                      <w:highlight w:val="none"/>
                      <w:lang w:val="en-US" w:eastAsia="zh-CN"/>
                    </w:rPr>
                  </w:pPr>
                  <w:r>
                    <w:rPr>
                      <w:rFonts w:hint="eastAsia"/>
                      <w:color w:val="auto"/>
                      <w:highlight w:val="none"/>
                      <w:lang w:val="en-US" w:eastAsia="zh-CN"/>
                    </w:rPr>
                    <w:t>1</w:t>
                  </w:r>
                </w:p>
              </w:tc>
              <w:tc>
                <w:tcPr>
                  <w:tcW w:w="3191" w:type="dxa"/>
                  <w:tcBorders>
                    <w:tl2br w:val="nil"/>
                    <w:tr2bl w:val="nil"/>
                  </w:tcBorders>
                  <w:shd w:val="clear" w:color="auto" w:fill="auto"/>
                  <w:noWrap w:val="0"/>
                  <w:vAlign w:val="center"/>
                </w:tcPr>
                <w:p w14:paraId="5048890D">
                  <w:pPr>
                    <w:pStyle w:val="115"/>
                    <w:shd w:val="clear"/>
                    <w:rPr>
                      <w:rFonts w:hint="default"/>
                      <w:color w:val="auto"/>
                      <w:highlight w:val="none"/>
                      <w:lang w:val="en-US" w:eastAsia="zh-CN"/>
                    </w:rPr>
                  </w:pPr>
                  <w:r>
                    <w:rPr>
                      <w:rFonts w:hint="eastAsia"/>
                      <w:color w:val="auto"/>
                      <w:highlight w:val="none"/>
                      <w:lang w:val="en-US" w:eastAsia="zh-CN"/>
                    </w:rPr>
                    <w:t>长×宽：</w:t>
                  </w:r>
                  <w:r>
                    <w:rPr>
                      <w:rFonts w:hint="eastAsia" w:cs="Times New Roman"/>
                      <w:color w:val="auto"/>
                      <w:sz w:val="21"/>
                      <w:szCs w:val="21"/>
                      <w:highlight w:val="none"/>
                      <w:lang w:val="en-US" w:eastAsia="zh-CN"/>
                    </w:rPr>
                    <w:t>100m×50m</w:t>
                  </w:r>
                </w:p>
                <w:p w14:paraId="3F6BF234">
                  <w:pPr>
                    <w:pStyle w:val="115"/>
                    <w:shd w:val="clear"/>
                    <w:rPr>
                      <w:rFonts w:hint="default" w:eastAsia="宋体"/>
                      <w:color w:val="auto"/>
                      <w:highlight w:val="none"/>
                      <w:lang w:val="en-US" w:eastAsia="zh-CN"/>
                    </w:rPr>
                  </w:pPr>
                  <w:r>
                    <w:rPr>
                      <w:rFonts w:hint="eastAsia"/>
                      <w:color w:val="auto"/>
                      <w:highlight w:val="none"/>
                      <w:lang w:val="en-US" w:eastAsia="zh-CN"/>
                    </w:rPr>
                    <w:t>围护结构：基础墙+单层彩钢板</w:t>
                  </w:r>
                </w:p>
              </w:tc>
            </w:tr>
            <w:bookmarkEnd w:id="2"/>
          </w:tbl>
          <w:p w14:paraId="4501433F">
            <w:pPr>
              <w:numPr>
                <w:ilvl w:val="0"/>
                <w:numId w:val="8"/>
              </w:numPr>
              <w:shd w:val="clea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工作制度及劳动定员：本项目</w:t>
            </w:r>
            <w:r>
              <w:rPr>
                <w:rFonts w:hint="eastAsia" w:cs="Times New Roman"/>
                <w:color w:val="auto"/>
                <w:sz w:val="24"/>
                <w:szCs w:val="24"/>
                <w:highlight w:val="none"/>
                <w:lang w:val="en-US" w:eastAsia="zh-CN"/>
              </w:rPr>
              <w:t>技改完成后，新增劳动定员9人，</w:t>
            </w:r>
            <w:r>
              <w:rPr>
                <w:rFonts w:hint="default" w:ascii="Times New Roman" w:hAnsi="Times New Roman" w:eastAsia="宋体" w:cs="Times New Roman"/>
                <w:color w:val="auto"/>
                <w:sz w:val="24"/>
                <w:szCs w:val="24"/>
                <w:highlight w:val="none"/>
                <w:lang w:val="en-US" w:eastAsia="zh-CN"/>
              </w:rPr>
              <w:t>年工作300天，每天</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班，每班8小时</w:t>
            </w:r>
            <w:r>
              <w:rPr>
                <w:rFonts w:hint="eastAsia" w:ascii="Times New Roman" w:hAnsi="Times New Roman" w:eastAsia="宋体" w:cs="Times New Roman"/>
                <w:color w:val="auto"/>
                <w:sz w:val="24"/>
                <w:szCs w:val="24"/>
                <w:highlight w:val="none"/>
                <w:lang w:val="en-US" w:eastAsia="zh-CN"/>
              </w:rPr>
              <w:t>。</w:t>
            </w:r>
          </w:p>
          <w:p w14:paraId="324ABB79">
            <w:pPr>
              <w:numPr>
                <w:ilvl w:val="0"/>
                <w:numId w:val="8"/>
              </w:numPr>
              <w:shd w:val="clear"/>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主要产品及产能</w:t>
            </w:r>
            <w:r>
              <w:rPr>
                <w:rFonts w:hint="default" w:ascii="Times New Roman" w:hAnsi="Times New Roman" w:cs="Times New Roman"/>
                <w:color w:val="auto"/>
                <w:sz w:val="24"/>
                <w:szCs w:val="24"/>
                <w:highlight w:val="none"/>
              </w:rPr>
              <w:t>：</w:t>
            </w:r>
            <w:r>
              <w:rPr>
                <w:rFonts w:ascii="宋体" w:hAnsi="宋体" w:eastAsia="宋体" w:cs="宋体"/>
                <w:color w:val="auto"/>
                <w:sz w:val="24"/>
                <w:szCs w:val="24"/>
              </w:rPr>
              <w:t>本项目建成后，</w:t>
            </w:r>
            <w:r>
              <w:rPr>
                <w:rStyle w:val="35"/>
                <w:rFonts w:ascii="宋体" w:hAnsi="宋体" w:eastAsia="宋体" w:cs="宋体"/>
                <w:b/>
                <w:bCs/>
                <w:color w:val="auto"/>
                <w:sz w:val="24"/>
                <w:szCs w:val="24"/>
              </w:rPr>
              <w:t>不新增产品产能</w:t>
            </w:r>
            <w:r>
              <w:rPr>
                <w:rFonts w:ascii="宋体" w:hAnsi="宋体" w:eastAsia="宋体" w:cs="宋体"/>
                <w:color w:val="auto"/>
                <w:sz w:val="24"/>
                <w:szCs w:val="24"/>
              </w:rPr>
              <w:t>，生产规模、产品种类及产能指标均维持现有工程水平，不发生变化</w:t>
            </w:r>
            <w:r>
              <w:rPr>
                <w:rFonts w:hint="eastAsia" w:cs="Times New Roman"/>
                <w:color w:val="auto"/>
                <w:sz w:val="24"/>
                <w:szCs w:val="24"/>
                <w:highlight w:val="none"/>
                <w:lang w:val="en-US" w:eastAsia="zh-CN"/>
              </w:rPr>
              <w:t>。</w:t>
            </w:r>
          </w:p>
          <w:p w14:paraId="5B513F0E">
            <w:pPr>
              <w:numPr>
                <w:ilvl w:val="0"/>
                <w:numId w:val="8"/>
              </w:numPr>
              <w:shd w:val="clear"/>
              <w:bidi w:val="0"/>
              <w:ind w:left="0" w:leftChars="0" w:firstLine="480" w:firstLineChars="200"/>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本项目技改完成后，</w:t>
            </w:r>
            <w:r>
              <w:rPr>
                <w:rFonts w:hint="default" w:ascii="Times New Roman" w:hAnsi="Times New Roman" w:cs="Times New Roman"/>
                <w:color w:val="auto"/>
                <w:sz w:val="24"/>
                <w:szCs w:val="24"/>
                <w:highlight w:val="none"/>
              </w:rPr>
              <w:t>主要原辅材料及能源消耗见下表。</w:t>
            </w:r>
          </w:p>
          <w:p w14:paraId="6977BF6C">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本项目技改完成后主要原辅材料及能源消耗</w:t>
            </w:r>
          </w:p>
          <w:tbl>
            <w:tblPr>
              <w:tblStyle w:val="32"/>
              <w:tblW w:w="758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01"/>
              <w:gridCol w:w="1206"/>
              <w:gridCol w:w="1049"/>
              <w:gridCol w:w="869"/>
              <w:gridCol w:w="1195"/>
              <w:gridCol w:w="851"/>
              <w:gridCol w:w="1817"/>
            </w:tblGrid>
            <w:tr w14:paraId="48E0089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8" w:hRule="atLeast"/>
                <w:jc w:val="center"/>
              </w:trPr>
              <w:tc>
                <w:tcPr>
                  <w:tcW w:w="601" w:type="dxa"/>
                  <w:vMerge w:val="restart"/>
                  <w:tcBorders>
                    <w:tl2br w:val="nil"/>
                    <w:tr2bl w:val="nil"/>
                  </w:tcBorders>
                  <w:noWrap w:val="0"/>
                  <w:vAlign w:val="center"/>
                </w:tcPr>
                <w:p w14:paraId="71814AA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序号</w:t>
                  </w:r>
                </w:p>
              </w:tc>
              <w:tc>
                <w:tcPr>
                  <w:tcW w:w="1206" w:type="dxa"/>
                  <w:vMerge w:val="restart"/>
                  <w:tcBorders>
                    <w:tl2br w:val="nil"/>
                    <w:tr2bl w:val="nil"/>
                  </w:tcBorders>
                  <w:noWrap w:val="0"/>
                  <w:vAlign w:val="center"/>
                </w:tcPr>
                <w:p w14:paraId="41A39F61">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名称</w:t>
                  </w:r>
                </w:p>
              </w:tc>
              <w:tc>
                <w:tcPr>
                  <w:tcW w:w="1049" w:type="dxa"/>
                  <w:vMerge w:val="restart"/>
                  <w:tcBorders>
                    <w:tl2br w:val="nil"/>
                    <w:tr2bl w:val="nil"/>
                  </w:tcBorders>
                  <w:noWrap w:val="0"/>
                  <w:vAlign w:val="center"/>
                </w:tcPr>
                <w:p w14:paraId="71E8A74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单位</w:t>
                  </w:r>
                </w:p>
              </w:tc>
              <w:tc>
                <w:tcPr>
                  <w:tcW w:w="2064" w:type="dxa"/>
                  <w:gridSpan w:val="2"/>
                  <w:tcBorders>
                    <w:tl2br w:val="nil"/>
                    <w:tr2bl w:val="nil"/>
                  </w:tcBorders>
                  <w:noWrap w:val="0"/>
                  <w:vAlign w:val="center"/>
                </w:tcPr>
                <w:p w14:paraId="7198E34C">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消耗量</w:t>
                  </w:r>
                </w:p>
              </w:tc>
              <w:tc>
                <w:tcPr>
                  <w:tcW w:w="851" w:type="dxa"/>
                  <w:vMerge w:val="restart"/>
                  <w:tcBorders>
                    <w:tl2br w:val="nil"/>
                    <w:tr2bl w:val="nil"/>
                  </w:tcBorders>
                  <w:noWrap w:val="0"/>
                  <w:vAlign w:val="center"/>
                </w:tcPr>
                <w:p w14:paraId="2D9CFFD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变化量</w:t>
                  </w:r>
                </w:p>
              </w:tc>
              <w:tc>
                <w:tcPr>
                  <w:tcW w:w="1817" w:type="dxa"/>
                  <w:vMerge w:val="restart"/>
                  <w:tcBorders>
                    <w:tl2br w:val="nil"/>
                    <w:tr2bl w:val="nil"/>
                  </w:tcBorders>
                  <w:noWrap w:val="0"/>
                  <w:vAlign w:val="center"/>
                </w:tcPr>
                <w:p w14:paraId="67B21271">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备注</w:t>
                  </w:r>
                </w:p>
              </w:tc>
            </w:tr>
            <w:tr w14:paraId="7B14913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8" w:hRule="atLeast"/>
                <w:jc w:val="center"/>
              </w:trPr>
              <w:tc>
                <w:tcPr>
                  <w:tcW w:w="601" w:type="dxa"/>
                  <w:vMerge w:val="continue"/>
                  <w:tcBorders>
                    <w:tl2br w:val="nil"/>
                    <w:tr2bl w:val="nil"/>
                  </w:tcBorders>
                  <w:noWrap w:val="0"/>
                  <w:vAlign w:val="center"/>
                </w:tcPr>
                <w:p w14:paraId="44B6966B">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1206" w:type="dxa"/>
                  <w:vMerge w:val="continue"/>
                  <w:tcBorders>
                    <w:tl2br w:val="nil"/>
                    <w:tr2bl w:val="nil"/>
                  </w:tcBorders>
                  <w:noWrap w:val="0"/>
                  <w:vAlign w:val="center"/>
                </w:tcPr>
                <w:p w14:paraId="4CEF1C3A">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1049" w:type="dxa"/>
                  <w:vMerge w:val="continue"/>
                  <w:tcBorders>
                    <w:tl2br w:val="nil"/>
                    <w:tr2bl w:val="nil"/>
                  </w:tcBorders>
                  <w:noWrap w:val="0"/>
                  <w:vAlign w:val="center"/>
                </w:tcPr>
                <w:p w14:paraId="269C817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869" w:type="dxa"/>
                  <w:tcBorders>
                    <w:tl2br w:val="nil"/>
                    <w:tr2bl w:val="nil"/>
                  </w:tcBorders>
                  <w:noWrap w:val="0"/>
                  <w:vAlign w:val="center"/>
                </w:tcPr>
                <w:p w14:paraId="313016DC">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现有工程</w:t>
                  </w:r>
                </w:p>
              </w:tc>
              <w:tc>
                <w:tcPr>
                  <w:tcW w:w="1195" w:type="dxa"/>
                  <w:tcBorders>
                    <w:tl2br w:val="nil"/>
                    <w:tr2bl w:val="nil"/>
                  </w:tcBorders>
                  <w:noWrap w:val="0"/>
                  <w:vAlign w:val="center"/>
                </w:tcPr>
                <w:p w14:paraId="5954F86A">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技改完成后全厂</w:t>
                  </w:r>
                </w:p>
              </w:tc>
              <w:tc>
                <w:tcPr>
                  <w:tcW w:w="851" w:type="dxa"/>
                  <w:vMerge w:val="continue"/>
                  <w:tcBorders>
                    <w:tl2br w:val="nil"/>
                    <w:tr2bl w:val="nil"/>
                  </w:tcBorders>
                  <w:noWrap w:val="0"/>
                  <w:vAlign w:val="center"/>
                </w:tcPr>
                <w:p w14:paraId="66CC96E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eastAsia="zh-CN"/>
                    </w:rPr>
                  </w:pPr>
                </w:p>
              </w:tc>
              <w:tc>
                <w:tcPr>
                  <w:tcW w:w="1817" w:type="dxa"/>
                  <w:vMerge w:val="continue"/>
                  <w:tcBorders>
                    <w:tl2br w:val="nil"/>
                    <w:tr2bl w:val="nil"/>
                  </w:tcBorders>
                  <w:noWrap w:val="0"/>
                  <w:vAlign w:val="center"/>
                </w:tcPr>
                <w:p w14:paraId="1189BEB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r>
            <w:tr w14:paraId="3DA748D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6" w:hRule="atLeast"/>
                <w:jc w:val="center"/>
              </w:trPr>
              <w:tc>
                <w:tcPr>
                  <w:tcW w:w="601" w:type="dxa"/>
                  <w:tcBorders>
                    <w:tl2br w:val="nil"/>
                    <w:tr2bl w:val="nil"/>
                  </w:tcBorders>
                  <w:noWrap w:val="0"/>
                  <w:vAlign w:val="center"/>
                </w:tcPr>
                <w:p w14:paraId="37292767">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1206" w:type="dxa"/>
                  <w:tcBorders>
                    <w:tl2br w:val="nil"/>
                    <w:tr2bl w:val="nil"/>
                  </w:tcBorders>
                  <w:noWrap w:val="0"/>
                  <w:vAlign w:val="center"/>
                </w:tcPr>
                <w:p w14:paraId="4C4E1E3E">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硅砂岩</w:t>
                  </w:r>
                </w:p>
                <w:p w14:paraId="21C0D14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（合格）</w:t>
                  </w:r>
                </w:p>
              </w:tc>
              <w:tc>
                <w:tcPr>
                  <w:tcW w:w="1049" w:type="dxa"/>
                  <w:tcBorders>
                    <w:tl2br w:val="nil"/>
                    <w:tr2bl w:val="nil"/>
                  </w:tcBorders>
                  <w:noWrap w:val="0"/>
                  <w:vAlign w:val="center"/>
                </w:tcPr>
                <w:p w14:paraId="3AD4712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eastAsia="zh-CN"/>
                    </w:rPr>
                    <w:t>万</w:t>
                  </w:r>
                  <w:r>
                    <w:rPr>
                      <w:rFonts w:hint="eastAsia" w:cs="Times New Roman"/>
                      <w:b w:val="0"/>
                      <w:bCs w:val="0"/>
                      <w:color w:val="auto"/>
                      <w:sz w:val="21"/>
                      <w:szCs w:val="21"/>
                      <w:highlight w:val="none"/>
                      <w:lang w:val="en-US" w:eastAsia="zh-CN"/>
                    </w:rPr>
                    <w:t>t/a</w:t>
                  </w:r>
                </w:p>
              </w:tc>
              <w:tc>
                <w:tcPr>
                  <w:tcW w:w="869" w:type="dxa"/>
                  <w:tcBorders>
                    <w:tl2br w:val="nil"/>
                    <w:tr2bl w:val="nil"/>
                  </w:tcBorders>
                  <w:noWrap w:val="0"/>
                  <w:vAlign w:val="center"/>
                </w:tcPr>
                <w:p w14:paraId="2F06A92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w:t>
                  </w:r>
                </w:p>
              </w:tc>
              <w:tc>
                <w:tcPr>
                  <w:tcW w:w="1195" w:type="dxa"/>
                  <w:tcBorders>
                    <w:tl2br w:val="nil"/>
                    <w:tr2bl w:val="nil"/>
                  </w:tcBorders>
                  <w:noWrap w:val="0"/>
                  <w:vAlign w:val="center"/>
                </w:tcPr>
                <w:p w14:paraId="010D4A14">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w:t>
                  </w:r>
                </w:p>
              </w:tc>
              <w:tc>
                <w:tcPr>
                  <w:tcW w:w="851" w:type="dxa"/>
                  <w:tcBorders>
                    <w:tl2br w:val="nil"/>
                    <w:tr2bl w:val="nil"/>
                  </w:tcBorders>
                  <w:noWrap w:val="0"/>
                  <w:vAlign w:val="center"/>
                </w:tcPr>
                <w:p w14:paraId="6D25CEB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w:t>
                  </w:r>
                </w:p>
              </w:tc>
              <w:tc>
                <w:tcPr>
                  <w:tcW w:w="1817" w:type="dxa"/>
                  <w:tcBorders>
                    <w:tl2br w:val="nil"/>
                    <w:tr2bl w:val="nil"/>
                  </w:tcBorders>
                  <w:noWrap w:val="0"/>
                  <w:vAlign w:val="center"/>
                </w:tcPr>
                <w:p w14:paraId="0AB52C5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汽车散装，粒径3-35cm，暂存于原料库</w:t>
                  </w:r>
                </w:p>
              </w:tc>
            </w:tr>
            <w:tr w14:paraId="54CCC91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6" w:hRule="atLeast"/>
                <w:jc w:val="center"/>
              </w:trPr>
              <w:tc>
                <w:tcPr>
                  <w:tcW w:w="601" w:type="dxa"/>
                  <w:tcBorders>
                    <w:tl2br w:val="nil"/>
                    <w:tr2bl w:val="nil"/>
                  </w:tcBorders>
                  <w:noWrap w:val="0"/>
                  <w:vAlign w:val="center"/>
                </w:tcPr>
                <w:p w14:paraId="2FB4EA58">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1206" w:type="dxa"/>
                  <w:tcBorders>
                    <w:tl2br w:val="nil"/>
                    <w:tr2bl w:val="nil"/>
                  </w:tcBorders>
                  <w:noWrap w:val="0"/>
                  <w:vAlign w:val="center"/>
                </w:tcPr>
                <w:p w14:paraId="0BCD046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硅砂岩</w:t>
                  </w:r>
                </w:p>
                <w:p w14:paraId="03223211">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（不合格）</w:t>
                  </w:r>
                </w:p>
              </w:tc>
              <w:tc>
                <w:tcPr>
                  <w:tcW w:w="1049" w:type="dxa"/>
                  <w:tcBorders>
                    <w:tl2br w:val="nil"/>
                    <w:tr2bl w:val="nil"/>
                  </w:tcBorders>
                  <w:noWrap w:val="0"/>
                  <w:vAlign w:val="center"/>
                </w:tcPr>
                <w:p w14:paraId="1873134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万</w:t>
                  </w:r>
                  <w:r>
                    <w:rPr>
                      <w:rFonts w:hint="eastAsia" w:cs="Times New Roman"/>
                      <w:b w:val="0"/>
                      <w:bCs w:val="0"/>
                      <w:color w:val="auto"/>
                      <w:sz w:val="21"/>
                      <w:szCs w:val="21"/>
                      <w:highlight w:val="none"/>
                      <w:lang w:val="en-US" w:eastAsia="zh-CN"/>
                    </w:rPr>
                    <w:t>t/a</w:t>
                  </w:r>
                </w:p>
              </w:tc>
              <w:tc>
                <w:tcPr>
                  <w:tcW w:w="869" w:type="dxa"/>
                  <w:tcBorders>
                    <w:tl2br w:val="nil"/>
                    <w:tr2bl w:val="nil"/>
                  </w:tcBorders>
                  <w:noWrap w:val="0"/>
                  <w:vAlign w:val="center"/>
                </w:tcPr>
                <w:p w14:paraId="49C28D18">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w:t>
                  </w:r>
                </w:p>
              </w:tc>
              <w:tc>
                <w:tcPr>
                  <w:tcW w:w="1195" w:type="dxa"/>
                  <w:tcBorders>
                    <w:tl2br w:val="nil"/>
                    <w:tr2bl w:val="nil"/>
                  </w:tcBorders>
                  <w:noWrap w:val="0"/>
                  <w:vAlign w:val="center"/>
                </w:tcPr>
                <w:p w14:paraId="358932F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w:t>
                  </w:r>
                </w:p>
              </w:tc>
              <w:tc>
                <w:tcPr>
                  <w:tcW w:w="851" w:type="dxa"/>
                  <w:tcBorders>
                    <w:tl2br w:val="nil"/>
                    <w:tr2bl w:val="nil"/>
                  </w:tcBorders>
                  <w:noWrap w:val="0"/>
                  <w:vAlign w:val="center"/>
                </w:tcPr>
                <w:p w14:paraId="401D858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w:t>
                  </w:r>
                </w:p>
              </w:tc>
              <w:tc>
                <w:tcPr>
                  <w:tcW w:w="1817" w:type="dxa"/>
                  <w:tcBorders>
                    <w:tl2br w:val="nil"/>
                    <w:tr2bl w:val="nil"/>
                  </w:tcBorders>
                  <w:noWrap w:val="0"/>
                  <w:vAlign w:val="center"/>
                </w:tcPr>
                <w:p w14:paraId="5CA139C6">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汽车散装，粒径≤35cm，暂存于预处理车间，夹杂大量</w:t>
                  </w:r>
                  <w:r>
                    <w:rPr>
                      <w:rFonts w:ascii="宋体" w:hAnsi="宋体" w:eastAsia="宋体" w:cs="宋体"/>
                      <w:color w:val="auto"/>
                      <w:sz w:val="21"/>
                      <w:szCs w:val="21"/>
                    </w:rPr>
                    <w:t>土渣</w:t>
                  </w:r>
                </w:p>
              </w:tc>
            </w:tr>
            <w:tr w14:paraId="74031D8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75" w:hRule="atLeast"/>
                <w:jc w:val="center"/>
              </w:trPr>
              <w:tc>
                <w:tcPr>
                  <w:tcW w:w="601" w:type="dxa"/>
                  <w:tcBorders>
                    <w:tl2br w:val="nil"/>
                    <w:tr2bl w:val="nil"/>
                  </w:tcBorders>
                  <w:noWrap w:val="0"/>
                  <w:vAlign w:val="center"/>
                </w:tcPr>
                <w:p w14:paraId="4A275C2E">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p>
              </w:tc>
              <w:tc>
                <w:tcPr>
                  <w:tcW w:w="1206" w:type="dxa"/>
                  <w:tcBorders>
                    <w:tl2br w:val="nil"/>
                    <w:tr2bl w:val="nil"/>
                  </w:tcBorders>
                  <w:noWrap w:val="0"/>
                  <w:vAlign w:val="center"/>
                </w:tcPr>
                <w:p w14:paraId="6CBB4BE8">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润滑油</w:t>
                  </w:r>
                </w:p>
              </w:tc>
              <w:tc>
                <w:tcPr>
                  <w:tcW w:w="1049" w:type="dxa"/>
                  <w:tcBorders>
                    <w:tl2br w:val="nil"/>
                    <w:tr2bl w:val="nil"/>
                  </w:tcBorders>
                  <w:noWrap w:val="0"/>
                  <w:vAlign w:val="center"/>
                </w:tcPr>
                <w:p w14:paraId="0F5A9330">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t/a</w:t>
                  </w:r>
                </w:p>
              </w:tc>
              <w:tc>
                <w:tcPr>
                  <w:tcW w:w="869" w:type="dxa"/>
                  <w:tcBorders>
                    <w:tl2br w:val="nil"/>
                    <w:tr2bl w:val="nil"/>
                  </w:tcBorders>
                  <w:noWrap w:val="0"/>
                  <w:vAlign w:val="center"/>
                </w:tcPr>
                <w:p w14:paraId="3792E692">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0.</w:t>
                  </w:r>
                  <w:r>
                    <w:rPr>
                      <w:rFonts w:hint="eastAsia" w:cs="Times New Roman"/>
                      <w:b w:val="0"/>
                      <w:bCs w:val="0"/>
                      <w:color w:val="auto"/>
                      <w:kern w:val="0"/>
                      <w:sz w:val="21"/>
                      <w:szCs w:val="21"/>
                      <w:highlight w:val="none"/>
                      <w:lang w:val="en-US" w:eastAsia="zh-CN"/>
                    </w:rPr>
                    <w:t>3</w:t>
                  </w:r>
                </w:p>
              </w:tc>
              <w:tc>
                <w:tcPr>
                  <w:tcW w:w="1195" w:type="dxa"/>
                  <w:tcBorders>
                    <w:tl2br w:val="nil"/>
                    <w:tr2bl w:val="nil"/>
                  </w:tcBorders>
                  <w:noWrap w:val="0"/>
                  <w:vAlign w:val="center"/>
                </w:tcPr>
                <w:p w14:paraId="777B5F76">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0.35</w:t>
                  </w:r>
                </w:p>
              </w:tc>
              <w:tc>
                <w:tcPr>
                  <w:tcW w:w="851" w:type="dxa"/>
                  <w:tcBorders>
                    <w:tl2br w:val="nil"/>
                    <w:tr2bl w:val="nil"/>
                  </w:tcBorders>
                  <w:noWrap w:val="0"/>
                  <w:vAlign w:val="center"/>
                </w:tcPr>
                <w:p w14:paraId="6D163F2E">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+0.05</w:t>
                  </w:r>
                </w:p>
              </w:tc>
              <w:tc>
                <w:tcPr>
                  <w:tcW w:w="1817" w:type="dxa"/>
                  <w:tcBorders>
                    <w:tl2br w:val="nil"/>
                    <w:tr2bl w:val="nil"/>
                  </w:tcBorders>
                  <w:noWrap w:val="0"/>
                  <w:vAlign w:val="center"/>
                </w:tcPr>
                <w:p w14:paraId="5E182264">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eastAsia="zh-CN"/>
                    </w:rPr>
                    <w:t>桶装，</w:t>
                  </w:r>
                  <w:r>
                    <w:rPr>
                      <w:rFonts w:hint="eastAsia" w:cs="Times New Roman"/>
                      <w:b w:val="0"/>
                      <w:bCs w:val="0"/>
                      <w:color w:val="auto"/>
                      <w:kern w:val="0"/>
                      <w:sz w:val="21"/>
                      <w:szCs w:val="21"/>
                      <w:highlight w:val="none"/>
                      <w:lang w:val="en-US" w:eastAsia="zh-CN"/>
                    </w:rPr>
                    <w:t>200L/桶，随用随购，不在厂区内储存</w:t>
                  </w:r>
                </w:p>
              </w:tc>
            </w:tr>
            <w:tr w14:paraId="2A88CB0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75" w:hRule="atLeast"/>
                <w:jc w:val="center"/>
              </w:trPr>
              <w:tc>
                <w:tcPr>
                  <w:tcW w:w="601" w:type="dxa"/>
                  <w:tcBorders>
                    <w:tl2br w:val="nil"/>
                    <w:tr2bl w:val="nil"/>
                  </w:tcBorders>
                  <w:noWrap w:val="0"/>
                  <w:vAlign w:val="center"/>
                </w:tcPr>
                <w:p w14:paraId="1BEA06C6">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p>
              </w:tc>
              <w:tc>
                <w:tcPr>
                  <w:tcW w:w="1206" w:type="dxa"/>
                  <w:tcBorders>
                    <w:tl2br w:val="nil"/>
                    <w:tr2bl w:val="nil"/>
                  </w:tcBorders>
                  <w:noWrap w:val="0"/>
                  <w:vAlign w:val="center"/>
                </w:tcPr>
                <w:p w14:paraId="409A273C">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布袋</w:t>
                  </w:r>
                </w:p>
              </w:tc>
              <w:tc>
                <w:tcPr>
                  <w:tcW w:w="1049" w:type="dxa"/>
                  <w:tcBorders>
                    <w:tl2br w:val="nil"/>
                    <w:tr2bl w:val="nil"/>
                  </w:tcBorders>
                  <w:noWrap w:val="0"/>
                  <w:vAlign w:val="center"/>
                </w:tcPr>
                <w:p w14:paraId="362115D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t/a</w:t>
                  </w:r>
                </w:p>
              </w:tc>
              <w:tc>
                <w:tcPr>
                  <w:tcW w:w="869" w:type="dxa"/>
                  <w:tcBorders>
                    <w:tl2br w:val="nil"/>
                    <w:tr2bl w:val="nil"/>
                  </w:tcBorders>
                  <w:noWrap w:val="0"/>
                  <w:vAlign w:val="center"/>
                </w:tcPr>
                <w:p w14:paraId="1D1381AC">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0.1</w:t>
                  </w:r>
                </w:p>
              </w:tc>
              <w:tc>
                <w:tcPr>
                  <w:tcW w:w="1195" w:type="dxa"/>
                  <w:tcBorders>
                    <w:tl2br w:val="nil"/>
                    <w:tr2bl w:val="nil"/>
                  </w:tcBorders>
                  <w:noWrap w:val="0"/>
                  <w:vAlign w:val="center"/>
                </w:tcPr>
                <w:p w14:paraId="03FCAEFB">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0.2</w:t>
                  </w:r>
                </w:p>
              </w:tc>
              <w:tc>
                <w:tcPr>
                  <w:tcW w:w="851" w:type="dxa"/>
                  <w:tcBorders>
                    <w:tl2br w:val="nil"/>
                    <w:tr2bl w:val="nil"/>
                  </w:tcBorders>
                  <w:noWrap w:val="0"/>
                  <w:vAlign w:val="center"/>
                </w:tcPr>
                <w:p w14:paraId="71E0E350">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c>
                <w:tcPr>
                  <w:tcW w:w="1817" w:type="dxa"/>
                  <w:tcBorders>
                    <w:tl2br w:val="nil"/>
                    <w:tr2bl w:val="nil"/>
                  </w:tcBorders>
                  <w:noWrap w:val="0"/>
                  <w:vAlign w:val="center"/>
                </w:tcPr>
                <w:p w14:paraId="317590D9">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kern w:val="0"/>
                      <w:sz w:val="21"/>
                      <w:szCs w:val="21"/>
                      <w:highlight w:val="none"/>
                      <w:lang w:eastAsia="zh-CN"/>
                    </w:rPr>
                  </w:pPr>
                  <w:r>
                    <w:rPr>
                      <w:rFonts w:hint="eastAsia" w:cs="Times New Roman"/>
                      <w:b w:val="0"/>
                      <w:bCs w:val="0"/>
                      <w:color w:val="auto"/>
                      <w:kern w:val="0"/>
                      <w:sz w:val="21"/>
                      <w:szCs w:val="21"/>
                      <w:highlight w:val="none"/>
                      <w:lang w:eastAsia="zh-CN"/>
                    </w:rPr>
                    <w:t>除尘器布袋</w:t>
                  </w:r>
                </w:p>
              </w:tc>
            </w:tr>
            <w:tr w14:paraId="40F31A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6" w:hRule="atLeast"/>
                <w:jc w:val="center"/>
              </w:trPr>
              <w:tc>
                <w:tcPr>
                  <w:tcW w:w="601" w:type="dxa"/>
                  <w:tcBorders>
                    <w:tl2br w:val="nil"/>
                    <w:tr2bl w:val="nil"/>
                  </w:tcBorders>
                  <w:noWrap w:val="0"/>
                  <w:vAlign w:val="center"/>
                </w:tcPr>
                <w:p w14:paraId="6A42E523">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p>
              </w:tc>
              <w:tc>
                <w:tcPr>
                  <w:tcW w:w="1206" w:type="dxa"/>
                  <w:tcBorders>
                    <w:tl2br w:val="nil"/>
                    <w:tr2bl w:val="nil"/>
                  </w:tcBorders>
                  <w:noWrap w:val="0"/>
                  <w:vAlign w:val="center"/>
                </w:tcPr>
                <w:p w14:paraId="66FBD8B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电</w:t>
                  </w:r>
                </w:p>
              </w:tc>
              <w:tc>
                <w:tcPr>
                  <w:tcW w:w="1049" w:type="dxa"/>
                  <w:tcBorders>
                    <w:tl2br w:val="nil"/>
                    <w:tr2bl w:val="nil"/>
                  </w:tcBorders>
                  <w:noWrap w:val="0"/>
                  <w:vAlign w:val="center"/>
                </w:tcPr>
                <w:p w14:paraId="438FE57D">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万kWh/a</w:t>
                  </w:r>
                </w:p>
              </w:tc>
              <w:tc>
                <w:tcPr>
                  <w:tcW w:w="869" w:type="dxa"/>
                  <w:tcBorders>
                    <w:tl2br w:val="nil"/>
                    <w:tr2bl w:val="nil"/>
                  </w:tcBorders>
                  <w:noWrap w:val="0"/>
                  <w:vAlign w:val="center"/>
                </w:tcPr>
                <w:p w14:paraId="3EBFD62D">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481.68</w:t>
                  </w:r>
                </w:p>
              </w:tc>
              <w:tc>
                <w:tcPr>
                  <w:tcW w:w="1195" w:type="dxa"/>
                  <w:tcBorders>
                    <w:tl2br w:val="nil"/>
                    <w:tr2bl w:val="nil"/>
                  </w:tcBorders>
                  <w:noWrap w:val="0"/>
                  <w:vAlign w:val="center"/>
                </w:tcPr>
                <w:p w14:paraId="00CAAB4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606.68</w:t>
                  </w:r>
                </w:p>
              </w:tc>
              <w:tc>
                <w:tcPr>
                  <w:tcW w:w="851" w:type="dxa"/>
                  <w:tcBorders>
                    <w:tl2br w:val="nil"/>
                    <w:tr2bl w:val="nil"/>
                  </w:tcBorders>
                  <w:noWrap w:val="0"/>
                  <w:vAlign w:val="center"/>
                </w:tcPr>
                <w:p w14:paraId="1768044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+125</w:t>
                  </w:r>
                </w:p>
              </w:tc>
              <w:tc>
                <w:tcPr>
                  <w:tcW w:w="1817" w:type="dxa"/>
                  <w:tcBorders>
                    <w:tl2br w:val="nil"/>
                    <w:tr2bl w:val="nil"/>
                  </w:tcBorders>
                  <w:noWrap w:val="0"/>
                  <w:vAlign w:val="center"/>
                </w:tcPr>
                <w:p w14:paraId="66B889F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本地电网</w:t>
                  </w:r>
                </w:p>
              </w:tc>
            </w:tr>
            <w:tr w14:paraId="2F9C40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6" w:hRule="atLeast"/>
                <w:jc w:val="center"/>
              </w:trPr>
              <w:tc>
                <w:tcPr>
                  <w:tcW w:w="601" w:type="dxa"/>
                  <w:tcBorders>
                    <w:tl2br w:val="nil"/>
                    <w:tr2bl w:val="nil"/>
                  </w:tcBorders>
                  <w:noWrap w:val="0"/>
                  <w:vAlign w:val="center"/>
                </w:tcPr>
                <w:p w14:paraId="0B37FC4C">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p>
              </w:tc>
              <w:tc>
                <w:tcPr>
                  <w:tcW w:w="1206" w:type="dxa"/>
                  <w:tcBorders>
                    <w:tl2br w:val="nil"/>
                    <w:tr2bl w:val="nil"/>
                  </w:tcBorders>
                  <w:noWrap w:val="0"/>
                  <w:vAlign w:val="center"/>
                </w:tcPr>
                <w:p w14:paraId="0F101F06">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水</w:t>
                  </w:r>
                </w:p>
              </w:tc>
              <w:tc>
                <w:tcPr>
                  <w:tcW w:w="1049" w:type="dxa"/>
                  <w:tcBorders>
                    <w:tl2br w:val="nil"/>
                    <w:tr2bl w:val="nil"/>
                  </w:tcBorders>
                  <w:noWrap w:val="0"/>
                  <w:vAlign w:val="center"/>
                </w:tcPr>
                <w:p w14:paraId="0F548410">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m</w:t>
                  </w:r>
                  <w:r>
                    <w:rPr>
                      <w:rFonts w:hint="eastAsia" w:cs="Times New Roman"/>
                      <w:b w:val="0"/>
                      <w:bCs w:val="0"/>
                      <w:color w:val="auto"/>
                      <w:sz w:val="21"/>
                      <w:szCs w:val="21"/>
                      <w:highlight w:val="none"/>
                      <w:vertAlign w:val="superscript"/>
                      <w:lang w:val="en-US" w:eastAsia="zh-CN"/>
                    </w:rPr>
                    <w:t>3</w:t>
                  </w:r>
                  <w:r>
                    <w:rPr>
                      <w:rFonts w:hint="eastAsia" w:cs="Times New Roman"/>
                      <w:b w:val="0"/>
                      <w:bCs w:val="0"/>
                      <w:color w:val="auto"/>
                      <w:sz w:val="21"/>
                      <w:szCs w:val="21"/>
                      <w:highlight w:val="none"/>
                      <w:lang w:val="en-US" w:eastAsia="zh-CN"/>
                    </w:rPr>
                    <w:t>/a</w:t>
                  </w:r>
                </w:p>
              </w:tc>
              <w:tc>
                <w:tcPr>
                  <w:tcW w:w="869" w:type="dxa"/>
                  <w:tcBorders>
                    <w:tl2br w:val="nil"/>
                    <w:tr2bl w:val="nil"/>
                  </w:tcBorders>
                  <w:noWrap w:val="0"/>
                  <w:vAlign w:val="center"/>
                </w:tcPr>
                <w:p w14:paraId="171B59D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7110</w:t>
                  </w:r>
                </w:p>
              </w:tc>
              <w:tc>
                <w:tcPr>
                  <w:tcW w:w="1195" w:type="dxa"/>
                  <w:tcBorders>
                    <w:tl2br w:val="nil"/>
                    <w:tr2bl w:val="nil"/>
                  </w:tcBorders>
                  <w:noWrap w:val="0"/>
                  <w:vAlign w:val="center"/>
                </w:tcPr>
                <w:p w14:paraId="61DB428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8047.8</w:t>
                  </w:r>
                </w:p>
              </w:tc>
              <w:tc>
                <w:tcPr>
                  <w:tcW w:w="851" w:type="dxa"/>
                  <w:tcBorders>
                    <w:tl2br w:val="nil"/>
                    <w:tr2bl w:val="nil"/>
                  </w:tcBorders>
                  <w:noWrap w:val="0"/>
                  <w:vAlign w:val="center"/>
                </w:tcPr>
                <w:p w14:paraId="11BEB1E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+937.8</w:t>
                  </w:r>
                </w:p>
              </w:tc>
              <w:tc>
                <w:tcPr>
                  <w:tcW w:w="1817" w:type="dxa"/>
                  <w:tcBorders>
                    <w:tl2br w:val="nil"/>
                    <w:tr2bl w:val="nil"/>
                  </w:tcBorders>
                  <w:noWrap w:val="0"/>
                  <w:vAlign w:val="center"/>
                </w:tcPr>
                <w:p w14:paraId="73ACEBAA">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自备水井</w:t>
                  </w:r>
                </w:p>
              </w:tc>
            </w:tr>
            <w:tr w14:paraId="398A044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6" w:hRule="atLeast"/>
                <w:jc w:val="center"/>
              </w:trPr>
              <w:tc>
                <w:tcPr>
                  <w:tcW w:w="7588" w:type="dxa"/>
                  <w:gridSpan w:val="7"/>
                  <w:tcBorders>
                    <w:tl2br w:val="nil"/>
                    <w:tr2bl w:val="nil"/>
                  </w:tcBorders>
                  <w:noWrap w:val="0"/>
                  <w:vAlign w:val="center"/>
                </w:tcPr>
                <w:p w14:paraId="7D9DF673">
                  <w:pPr>
                    <w:keepNext w:val="0"/>
                    <w:keepLines w:val="0"/>
                    <w:pageBreakBefore w:val="0"/>
                    <w:shd w:val="clear"/>
                    <w:kinsoku/>
                    <w:wordWrap/>
                    <w:overflowPunct/>
                    <w:topLinePunct w:val="0"/>
                    <w:bidi w:val="0"/>
                    <w:adjustRightInd/>
                    <w:snapToGrid/>
                    <w:spacing w:line="0" w:lineRule="atLeast"/>
                    <w:ind w:firstLine="0" w:firstLineChars="0"/>
                    <w:jc w:val="both"/>
                    <w:textAlignment w:val="auto"/>
                    <w:rPr>
                      <w:rFonts w:hint="eastAsia" w:cs="Times New Roman"/>
                      <w:b w:val="0"/>
                      <w:bCs w:val="0"/>
                      <w:color w:val="auto"/>
                      <w:sz w:val="21"/>
                      <w:szCs w:val="21"/>
                      <w:highlight w:val="none"/>
                      <w:lang w:val="en-US" w:eastAsia="zh-CN"/>
                    </w:rPr>
                  </w:pPr>
                  <w:r>
                    <w:rPr>
                      <w:rFonts w:hint="eastAsia" w:cs="Times New Roman"/>
                      <w:i w:val="0"/>
                      <w:iCs w:val="0"/>
                      <w:caps w:val="0"/>
                      <w:color w:val="auto"/>
                      <w:spacing w:val="0"/>
                      <w:sz w:val="21"/>
                      <w:szCs w:val="21"/>
                      <w:lang w:eastAsia="zh-CN"/>
                    </w:rPr>
                    <w:t>备注：</w:t>
                  </w:r>
                  <w:r>
                    <w:rPr>
                      <w:rFonts w:hint="default" w:ascii="Times New Roman" w:hAnsi="Times New Roman" w:eastAsia="宋体" w:cs="Times New Roman"/>
                      <w:i w:val="0"/>
                      <w:iCs w:val="0"/>
                      <w:caps w:val="0"/>
                      <w:color w:val="auto"/>
                      <w:spacing w:val="0"/>
                      <w:sz w:val="21"/>
                      <w:szCs w:val="21"/>
                    </w:rPr>
                    <w:t>企业现有取水手续齐全，已取得合法有效的取水许可证（编号：B130284G2021-18116），许可年取水量为2.34万m</w:t>
                  </w:r>
                  <w:r>
                    <w:rPr>
                      <w:rFonts w:hint="eastAsia" w:cs="Times New Roman"/>
                      <w:i w:val="0"/>
                      <w:iCs w:val="0"/>
                      <w:caps w:val="0"/>
                      <w:color w:val="auto"/>
                      <w:spacing w:val="0"/>
                      <w:sz w:val="21"/>
                      <w:szCs w:val="21"/>
                      <w:vertAlign w:val="superscript"/>
                      <w:lang w:val="en-US" w:eastAsia="zh-CN"/>
                    </w:rPr>
                    <w:t>3</w:t>
                  </w:r>
                  <w:r>
                    <w:rPr>
                      <w:rFonts w:hint="default" w:ascii="Times New Roman" w:hAnsi="Times New Roman" w:eastAsia="宋体" w:cs="Times New Roman"/>
                      <w:i w:val="0"/>
                      <w:iCs w:val="0"/>
                      <w:caps w:val="0"/>
                      <w:color w:val="auto"/>
                      <w:spacing w:val="0"/>
                      <w:sz w:val="21"/>
                      <w:szCs w:val="21"/>
                    </w:rPr>
                    <w:t>/a。本次技改完成后，全厂用水总量仍小于许可取水量，无需新增取水指标，符合取水许可及水资源管理相关规定。</w:t>
                  </w:r>
                </w:p>
              </w:tc>
            </w:tr>
          </w:tbl>
          <w:p w14:paraId="309CA009">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auto"/>
                <w:sz w:val="24"/>
                <w:szCs w:val="24"/>
                <w:highlight w:val="none"/>
                <w:lang w:val="en-US" w:eastAsia="zh-CN"/>
              </w:rPr>
            </w:pPr>
          </w:p>
          <w:p w14:paraId="3431750C">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auto"/>
                <w:sz w:val="24"/>
                <w:szCs w:val="24"/>
                <w:highlight w:val="none"/>
                <w:lang w:val="en-US" w:eastAsia="zh-CN"/>
              </w:rPr>
            </w:pPr>
          </w:p>
          <w:p w14:paraId="27B41E41">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auto"/>
                <w:sz w:val="24"/>
                <w:szCs w:val="24"/>
                <w:highlight w:val="none"/>
                <w:lang w:val="en-US" w:eastAsia="zh-CN"/>
              </w:rPr>
            </w:pPr>
          </w:p>
          <w:p w14:paraId="3E0BC7FE">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auto"/>
                <w:sz w:val="24"/>
                <w:szCs w:val="24"/>
                <w:highlight w:val="none"/>
                <w:lang w:val="en-US" w:eastAsia="zh-CN"/>
              </w:rPr>
            </w:pPr>
          </w:p>
          <w:p w14:paraId="46CAD011">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物料储存区物料周转能力如下：</w:t>
            </w:r>
          </w:p>
          <w:p w14:paraId="24EB0026">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w:t>
            </w:r>
            <w:r>
              <w:rPr>
                <w:rFonts w:hint="eastAsia" w:cs="Times New Roman"/>
                <w:b/>
                <w:bCs/>
                <w:color w:val="auto"/>
                <w:spacing w:val="0"/>
                <w:sz w:val="21"/>
                <w:szCs w:val="21"/>
                <w:highlight w:val="none"/>
                <w:lang w:val="en-US" w:eastAsia="zh-CN"/>
              </w:rPr>
              <w:t>物料储存区物料周转能力</w:t>
            </w:r>
          </w:p>
          <w:tbl>
            <w:tblPr>
              <w:tblStyle w:val="33"/>
              <w:tblW w:w="749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01"/>
              <w:gridCol w:w="2432"/>
              <w:gridCol w:w="1241"/>
              <w:gridCol w:w="804"/>
              <w:gridCol w:w="1079"/>
              <w:gridCol w:w="1340"/>
            </w:tblGrid>
            <w:tr w14:paraId="7D0A6E9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63DB4A3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序号</w:t>
                  </w:r>
                </w:p>
              </w:tc>
              <w:tc>
                <w:tcPr>
                  <w:tcW w:w="2432" w:type="dxa"/>
                  <w:tcBorders>
                    <w:tl2br w:val="nil"/>
                    <w:tr2bl w:val="nil"/>
                  </w:tcBorders>
                  <w:vAlign w:val="center"/>
                </w:tcPr>
                <w:p w14:paraId="03EADBF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设备名称</w:t>
                  </w:r>
                </w:p>
              </w:tc>
              <w:tc>
                <w:tcPr>
                  <w:tcW w:w="1241" w:type="dxa"/>
                  <w:tcBorders>
                    <w:tl2br w:val="nil"/>
                    <w:tr2bl w:val="nil"/>
                  </w:tcBorders>
                  <w:shd w:val="clear" w:color="auto" w:fill="auto"/>
                  <w:vAlign w:val="center"/>
                </w:tcPr>
                <w:p w14:paraId="61BA069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vertAlign w:val="baseline"/>
                      <w:lang w:val="en-US" w:eastAsia="zh-CN"/>
                    </w:rPr>
                    <w:t>占地面积（m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w:t>
                  </w:r>
                </w:p>
              </w:tc>
              <w:tc>
                <w:tcPr>
                  <w:tcW w:w="804" w:type="dxa"/>
                  <w:tcBorders>
                    <w:tl2br w:val="nil"/>
                    <w:tr2bl w:val="nil"/>
                  </w:tcBorders>
                  <w:shd w:val="clear" w:color="auto" w:fill="auto"/>
                  <w:vAlign w:val="center"/>
                </w:tcPr>
                <w:p w14:paraId="792D98D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堆高（m）</w:t>
                  </w:r>
                </w:p>
              </w:tc>
              <w:tc>
                <w:tcPr>
                  <w:tcW w:w="1079" w:type="dxa"/>
                  <w:tcBorders>
                    <w:tl2br w:val="nil"/>
                    <w:tr2bl w:val="nil"/>
                  </w:tcBorders>
                  <w:shd w:val="clear" w:color="auto" w:fill="auto"/>
                  <w:vAlign w:val="center"/>
                </w:tcPr>
                <w:p w14:paraId="6BFF680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最大储存量（</w:t>
                  </w:r>
                  <w:r>
                    <w:rPr>
                      <w:rFonts w:hint="eastAsia" w:ascii="Times New Roman" w:hAnsi="Times New Roman" w:eastAsia="宋体" w:cs="Times New Roman"/>
                      <w:color w:val="auto"/>
                      <w:sz w:val="21"/>
                      <w:szCs w:val="21"/>
                      <w:highlight w:val="none"/>
                      <w:vertAlign w:val="baseline"/>
                      <w:lang w:val="en-US" w:eastAsia="zh-CN"/>
                    </w:rPr>
                    <w:t>t</w:t>
                  </w:r>
                  <w:r>
                    <w:rPr>
                      <w:rFonts w:hint="eastAsia" w:ascii="Times New Roman" w:hAnsi="Times New Roman" w:eastAsia="宋体" w:cs="Times New Roman"/>
                      <w:color w:val="auto"/>
                      <w:sz w:val="21"/>
                      <w:szCs w:val="21"/>
                      <w:highlight w:val="none"/>
                      <w:vertAlign w:val="baseline"/>
                      <w:lang w:eastAsia="zh-CN"/>
                    </w:rPr>
                    <w:t>）</w:t>
                  </w:r>
                </w:p>
              </w:tc>
              <w:tc>
                <w:tcPr>
                  <w:tcW w:w="1340" w:type="dxa"/>
                  <w:tcBorders>
                    <w:tl2br w:val="nil"/>
                    <w:tr2bl w:val="nil"/>
                  </w:tcBorders>
                  <w:shd w:val="clear" w:color="auto" w:fill="auto"/>
                  <w:vAlign w:val="center"/>
                </w:tcPr>
                <w:p w14:paraId="6F31358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年最低周转次数</w:t>
                  </w:r>
                </w:p>
              </w:tc>
            </w:tr>
            <w:tr w14:paraId="448B6AC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43E06C7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p>
              </w:tc>
              <w:tc>
                <w:tcPr>
                  <w:tcW w:w="2432" w:type="dxa"/>
                  <w:tcBorders>
                    <w:tl2br w:val="nil"/>
                    <w:tr2bl w:val="nil"/>
                  </w:tcBorders>
                  <w:vAlign w:val="center"/>
                </w:tcPr>
                <w:p w14:paraId="5614B05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cs="Times New Roman"/>
                      <w:color w:val="auto"/>
                      <w:sz w:val="21"/>
                      <w:szCs w:val="21"/>
                      <w:highlight w:val="none"/>
                      <w:lang w:val="en-US" w:eastAsia="zh-CN"/>
                    </w:rPr>
                    <w:t>不合格原料矿石储存区</w:t>
                  </w:r>
                </w:p>
              </w:tc>
              <w:tc>
                <w:tcPr>
                  <w:tcW w:w="1241" w:type="dxa"/>
                  <w:tcBorders>
                    <w:tl2br w:val="nil"/>
                    <w:tr2bl w:val="nil"/>
                  </w:tcBorders>
                  <w:shd w:val="clear" w:color="auto" w:fill="auto"/>
                  <w:vAlign w:val="center"/>
                </w:tcPr>
                <w:p w14:paraId="6295F34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color w:val="auto"/>
                      <w:sz w:val="21"/>
                      <w:szCs w:val="21"/>
                      <w:highlight w:val="none"/>
                      <w:vertAlign w:val="baseline"/>
                      <w:lang w:val="en-US" w:eastAsia="zh-CN"/>
                    </w:rPr>
                    <w:t>1000</w:t>
                  </w:r>
                </w:p>
              </w:tc>
              <w:tc>
                <w:tcPr>
                  <w:tcW w:w="804" w:type="dxa"/>
                  <w:tcBorders>
                    <w:tl2br w:val="nil"/>
                    <w:tr2bl w:val="nil"/>
                  </w:tcBorders>
                  <w:shd w:val="clear" w:color="auto" w:fill="auto"/>
                  <w:vAlign w:val="center"/>
                </w:tcPr>
                <w:p w14:paraId="4653E5B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p>
              </w:tc>
              <w:tc>
                <w:tcPr>
                  <w:tcW w:w="1079" w:type="dxa"/>
                  <w:tcBorders>
                    <w:tl2br w:val="nil"/>
                    <w:tr2bl w:val="nil"/>
                  </w:tcBorders>
                  <w:shd w:val="clear" w:color="auto" w:fill="auto"/>
                  <w:vAlign w:val="center"/>
                </w:tcPr>
                <w:p w14:paraId="5D803F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1500</w:t>
                  </w:r>
                </w:p>
              </w:tc>
              <w:tc>
                <w:tcPr>
                  <w:tcW w:w="1340" w:type="dxa"/>
                  <w:tcBorders>
                    <w:tl2br w:val="nil"/>
                    <w:tr2bl w:val="nil"/>
                  </w:tcBorders>
                  <w:shd w:val="clear" w:color="auto" w:fill="auto"/>
                  <w:vAlign w:val="center"/>
                </w:tcPr>
                <w:p w14:paraId="60D93AF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60</w:t>
                  </w:r>
                  <w:r>
                    <w:rPr>
                      <w:rFonts w:hint="eastAsia" w:ascii="Times New Roman" w:hAnsi="Times New Roman" w:eastAsia="宋体" w:cs="Times New Roman"/>
                      <w:color w:val="auto"/>
                      <w:sz w:val="21"/>
                      <w:szCs w:val="21"/>
                      <w:highlight w:val="none"/>
                      <w:vertAlign w:val="baseline"/>
                      <w:lang w:val="en-US" w:eastAsia="zh-CN"/>
                    </w:rPr>
                    <w:t>次/a</w:t>
                  </w:r>
                </w:p>
              </w:tc>
            </w:tr>
            <w:tr w14:paraId="74AEC3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0EB9AA1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w:t>
                  </w:r>
                </w:p>
              </w:tc>
              <w:tc>
                <w:tcPr>
                  <w:tcW w:w="2432" w:type="dxa"/>
                  <w:tcBorders>
                    <w:tl2br w:val="nil"/>
                    <w:tr2bl w:val="nil"/>
                  </w:tcBorders>
                  <w:vAlign w:val="center"/>
                </w:tcPr>
                <w:p w14:paraId="7768EE5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auto"/>
                      <w:sz w:val="21"/>
                      <w:szCs w:val="21"/>
                      <w:highlight w:val="none"/>
                      <w:vertAlign w:val="baseline"/>
                      <w:lang w:eastAsia="zh-CN"/>
                    </w:rPr>
                  </w:pPr>
                  <w:r>
                    <w:rPr>
                      <w:rFonts w:hint="eastAsia" w:cs="Times New Roman"/>
                      <w:color w:val="auto"/>
                      <w:sz w:val="21"/>
                      <w:szCs w:val="21"/>
                      <w:highlight w:val="none"/>
                      <w:lang w:val="en-US" w:eastAsia="zh-CN"/>
                    </w:rPr>
                    <w:t>合格原料矿石储存区</w:t>
                  </w:r>
                </w:p>
              </w:tc>
              <w:tc>
                <w:tcPr>
                  <w:tcW w:w="1241" w:type="dxa"/>
                  <w:tcBorders>
                    <w:tl2br w:val="nil"/>
                    <w:tr2bl w:val="nil"/>
                  </w:tcBorders>
                  <w:shd w:val="clear" w:color="auto" w:fill="auto"/>
                  <w:vAlign w:val="center"/>
                </w:tcPr>
                <w:p w14:paraId="6C299A2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color w:val="auto"/>
                      <w:sz w:val="21"/>
                      <w:szCs w:val="21"/>
                      <w:highlight w:val="none"/>
                      <w:vertAlign w:val="baseline"/>
                      <w:lang w:val="en-US" w:eastAsia="zh-CN"/>
                    </w:rPr>
                    <w:t>500</w:t>
                  </w:r>
                </w:p>
              </w:tc>
              <w:tc>
                <w:tcPr>
                  <w:tcW w:w="804" w:type="dxa"/>
                  <w:tcBorders>
                    <w:tl2br w:val="nil"/>
                    <w:tr2bl w:val="nil"/>
                  </w:tcBorders>
                  <w:shd w:val="clear" w:color="auto" w:fill="auto"/>
                  <w:vAlign w:val="center"/>
                </w:tcPr>
                <w:p w14:paraId="6A8C2F4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p>
              </w:tc>
              <w:tc>
                <w:tcPr>
                  <w:tcW w:w="1079" w:type="dxa"/>
                  <w:tcBorders>
                    <w:tl2br w:val="nil"/>
                    <w:tr2bl w:val="nil"/>
                  </w:tcBorders>
                  <w:shd w:val="clear" w:color="auto" w:fill="auto"/>
                  <w:vAlign w:val="center"/>
                </w:tcPr>
                <w:p w14:paraId="47CF98C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750</w:t>
                  </w:r>
                </w:p>
              </w:tc>
              <w:tc>
                <w:tcPr>
                  <w:tcW w:w="1340" w:type="dxa"/>
                  <w:tcBorders>
                    <w:tl2br w:val="nil"/>
                    <w:tr2bl w:val="nil"/>
                  </w:tcBorders>
                  <w:shd w:val="clear" w:color="auto" w:fill="auto"/>
                  <w:vAlign w:val="center"/>
                </w:tcPr>
                <w:p w14:paraId="3E89D18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8</w:t>
                  </w:r>
                  <w:r>
                    <w:rPr>
                      <w:rFonts w:hint="eastAsia" w:ascii="Times New Roman" w:hAnsi="Times New Roman" w:eastAsia="宋体" w:cs="Times New Roman"/>
                      <w:color w:val="auto"/>
                      <w:sz w:val="21"/>
                      <w:szCs w:val="21"/>
                      <w:highlight w:val="none"/>
                      <w:vertAlign w:val="baseline"/>
                      <w:lang w:val="en-US" w:eastAsia="zh-CN"/>
                    </w:rPr>
                    <w:t>0次/a</w:t>
                  </w:r>
                </w:p>
              </w:tc>
            </w:tr>
            <w:tr w14:paraId="2B398E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53669A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p>
              </w:tc>
              <w:tc>
                <w:tcPr>
                  <w:tcW w:w="2432" w:type="dxa"/>
                  <w:tcBorders>
                    <w:tl2br w:val="nil"/>
                    <w:tr2bl w:val="nil"/>
                  </w:tcBorders>
                  <w:vAlign w:val="center"/>
                </w:tcPr>
                <w:p w14:paraId="75CDCAA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auto"/>
                      <w:sz w:val="21"/>
                      <w:szCs w:val="21"/>
                      <w:highlight w:val="none"/>
                      <w:vertAlign w:val="baseline"/>
                      <w:lang w:eastAsia="zh-CN"/>
                    </w:rPr>
                  </w:pPr>
                  <w:r>
                    <w:rPr>
                      <w:rFonts w:hint="eastAsia" w:cs="Times New Roman"/>
                      <w:color w:val="auto"/>
                      <w:sz w:val="21"/>
                      <w:szCs w:val="21"/>
                      <w:highlight w:val="none"/>
                      <w:lang w:val="en-US" w:eastAsia="zh-CN"/>
                    </w:rPr>
                    <w:t>土渣储存区</w:t>
                  </w:r>
                </w:p>
              </w:tc>
              <w:tc>
                <w:tcPr>
                  <w:tcW w:w="1241" w:type="dxa"/>
                  <w:tcBorders>
                    <w:tl2br w:val="nil"/>
                    <w:tr2bl w:val="nil"/>
                  </w:tcBorders>
                  <w:shd w:val="clear" w:color="auto" w:fill="auto"/>
                  <w:vAlign w:val="center"/>
                </w:tcPr>
                <w:p w14:paraId="2702D77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color w:val="auto"/>
                      <w:sz w:val="21"/>
                      <w:szCs w:val="21"/>
                      <w:highlight w:val="none"/>
                      <w:vertAlign w:val="baseline"/>
                      <w:lang w:val="en-US" w:eastAsia="zh-CN"/>
                    </w:rPr>
                    <w:t>1000</w:t>
                  </w:r>
                </w:p>
              </w:tc>
              <w:tc>
                <w:tcPr>
                  <w:tcW w:w="804" w:type="dxa"/>
                  <w:tcBorders>
                    <w:tl2br w:val="nil"/>
                    <w:tr2bl w:val="nil"/>
                  </w:tcBorders>
                  <w:shd w:val="clear" w:color="auto" w:fill="auto"/>
                  <w:vAlign w:val="center"/>
                </w:tcPr>
                <w:p w14:paraId="5531DB1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p>
              </w:tc>
              <w:tc>
                <w:tcPr>
                  <w:tcW w:w="1079" w:type="dxa"/>
                  <w:tcBorders>
                    <w:tl2br w:val="nil"/>
                    <w:tr2bl w:val="nil"/>
                  </w:tcBorders>
                  <w:shd w:val="clear" w:color="auto" w:fill="auto"/>
                  <w:vAlign w:val="center"/>
                </w:tcPr>
                <w:p w14:paraId="26E73D0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2000</w:t>
                  </w:r>
                </w:p>
              </w:tc>
              <w:tc>
                <w:tcPr>
                  <w:tcW w:w="1340" w:type="dxa"/>
                  <w:tcBorders>
                    <w:tl2br w:val="nil"/>
                    <w:tr2bl w:val="nil"/>
                  </w:tcBorders>
                  <w:shd w:val="clear" w:color="auto" w:fill="auto"/>
                  <w:vAlign w:val="center"/>
                </w:tcPr>
                <w:p w14:paraId="504D57D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5次/a</w:t>
                  </w:r>
                </w:p>
              </w:tc>
            </w:tr>
            <w:tr w14:paraId="7E12267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7497" w:type="dxa"/>
                  <w:gridSpan w:val="6"/>
                  <w:tcBorders>
                    <w:tl2br w:val="nil"/>
                    <w:tr2bl w:val="nil"/>
                  </w:tcBorders>
                  <w:vAlign w:val="center"/>
                </w:tcPr>
                <w:p w14:paraId="11A3157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eastAsia="zh-CN"/>
                    </w:rPr>
                    <w:t>备注：不合格原料矿石和合格原料矿石密度按</w:t>
                  </w:r>
                  <w:r>
                    <w:rPr>
                      <w:rFonts w:hint="eastAsia" w:ascii="Times New Roman" w:hAnsi="Times New Roman" w:eastAsia="宋体" w:cs="Times New Roman"/>
                      <w:color w:val="auto"/>
                      <w:sz w:val="21"/>
                      <w:szCs w:val="21"/>
                      <w:highlight w:val="none"/>
                      <w:vertAlign w:val="baseline"/>
                      <w:lang w:val="en-US" w:eastAsia="zh-CN"/>
                    </w:rPr>
                    <w:t>1.5t/m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vertAlign w:val="baseline"/>
                      <w:lang w:val="en-US" w:eastAsia="zh-CN"/>
                    </w:rPr>
                    <w:t>，土渣密度按2t/m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vertAlign w:val="baseline"/>
                      <w:lang w:val="en-US" w:eastAsia="zh-CN"/>
                    </w:rPr>
                    <w:t>计</w:t>
                  </w:r>
                </w:p>
              </w:tc>
            </w:tr>
          </w:tbl>
          <w:p w14:paraId="5140456B">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由上表核算结果可知，本项目预处理车间物料贮存规模、堆放容积及年最低周转次数均满足项目生产周转及连续生产要求，仓储配套能力可行。</w:t>
            </w:r>
          </w:p>
          <w:p w14:paraId="70FA8D87">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物料平衡如下：</w:t>
            </w:r>
          </w:p>
          <w:p w14:paraId="33C5075C">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本项目物料平衡</w:t>
            </w:r>
          </w:p>
          <w:tbl>
            <w:tblPr>
              <w:tblStyle w:val="32"/>
              <w:tblW w:w="7579"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1847"/>
              <w:gridCol w:w="1425"/>
              <w:gridCol w:w="1065"/>
              <w:gridCol w:w="1590"/>
              <w:gridCol w:w="1652"/>
            </w:tblGrid>
            <w:tr w14:paraId="127C48A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39" w:hRule="atLeast"/>
                <w:jc w:val="center"/>
              </w:trPr>
              <w:tc>
                <w:tcPr>
                  <w:tcW w:w="3272" w:type="dxa"/>
                  <w:gridSpan w:val="2"/>
                  <w:tcBorders>
                    <w:tl2br w:val="nil"/>
                    <w:tr2bl w:val="nil"/>
                  </w:tcBorders>
                  <w:noWrap w:val="0"/>
                  <w:vAlign w:val="center"/>
                </w:tcPr>
                <w:p w14:paraId="4D2CDEE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投入</w:t>
                  </w:r>
                </w:p>
              </w:tc>
              <w:tc>
                <w:tcPr>
                  <w:tcW w:w="4307" w:type="dxa"/>
                  <w:gridSpan w:val="3"/>
                  <w:tcBorders>
                    <w:tl2br w:val="nil"/>
                    <w:tr2bl w:val="nil"/>
                  </w:tcBorders>
                  <w:noWrap w:val="0"/>
                  <w:vAlign w:val="center"/>
                </w:tcPr>
                <w:p w14:paraId="1D2393F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产出</w:t>
                  </w:r>
                </w:p>
              </w:tc>
            </w:tr>
            <w:tr w14:paraId="558FBDB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31DC3D9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名称</w:t>
                  </w:r>
                </w:p>
              </w:tc>
              <w:tc>
                <w:tcPr>
                  <w:tcW w:w="1425" w:type="dxa"/>
                  <w:tcBorders>
                    <w:tl2br w:val="nil"/>
                    <w:tr2bl w:val="nil"/>
                  </w:tcBorders>
                  <w:noWrap w:val="0"/>
                  <w:vAlign w:val="center"/>
                </w:tcPr>
                <w:p w14:paraId="79F1D53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产生量（</w:t>
                  </w:r>
                  <w:r>
                    <w:rPr>
                      <w:color w:val="auto"/>
                      <w:kern w:val="0"/>
                      <w:sz w:val="21"/>
                      <w:highlight w:val="none"/>
                      <w:lang w:bidi="ar"/>
                    </w:rPr>
                    <w:t>t/a</w:t>
                  </w:r>
                  <w:r>
                    <w:rPr>
                      <w:rFonts w:hint="eastAsia" w:ascii="宋体" w:hAnsi="宋体" w:cs="宋体"/>
                      <w:color w:val="auto"/>
                      <w:kern w:val="0"/>
                      <w:sz w:val="21"/>
                      <w:highlight w:val="none"/>
                      <w:lang w:bidi="ar"/>
                    </w:rPr>
                    <w:t>）</w:t>
                  </w:r>
                </w:p>
              </w:tc>
              <w:tc>
                <w:tcPr>
                  <w:tcW w:w="2655" w:type="dxa"/>
                  <w:gridSpan w:val="2"/>
                  <w:tcBorders>
                    <w:tl2br w:val="nil"/>
                    <w:tr2bl w:val="nil"/>
                  </w:tcBorders>
                  <w:noWrap w:val="0"/>
                  <w:vAlign w:val="center"/>
                </w:tcPr>
                <w:p w14:paraId="6DB985D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名称</w:t>
                  </w:r>
                </w:p>
              </w:tc>
              <w:tc>
                <w:tcPr>
                  <w:tcW w:w="1652" w:type="dxa"/>
                  <w:tcBorders>
                    <w:tl2br w:val="nil"/>
                    <w:tr2bl w:val="nil"/>
                  </w:tcBorders>
                  <w:noWrap w:val="0"/>
                  <w:vAlign w:val="center"/>
                </w:tcPr>
                <w:p w14:paraId="18B4ED4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产生量（</w:t>
                  </w:r>
                  <w:r>
                    <w:rPr>
                      <w:color w:val="auto"/>
                      <w:kern w:val="0"/>
                      <w:sz w:val="21"/>
                      <w:highlight w:val="none"/>
                      <w:lang w:bidi="ar"/>
                    </w:rPr>
                    <w:t>t/a</w:t>
                  </w:r>
                  <w:r>
                    <w:rPr>
                      <w:rFonts w:hint="eastAsia" w:ascii="宋体" w:hAnsi="宋体" w:cs="宋体"/>
                      <w:color w:val="auto"/>
                      <w:kern w:val="0"/>
                      <w:sz w:val="21"/>
                      <w:highlight w:val="none"/>
                      <w:lang w:bidi="ar"/>
                    </w:rPr>
                    <w:t>）</w:t>
                  </w:r>
                </w:p>
              </w:tc>
            </w:tr>
            <w:tr w14:paraId="18E2D5D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4E104B4D">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宋体" w:hAnsi="宋体" w:cs="宋体"/>
                      <w:color w:val="auto"/>
                      <w:sz w:val="21"/>
                      <w:highlight w:val="none"/>
                    </w:rPr>
                  </w:pPr>
                  <w:r>
                    <w:rPr>
                      <w:rFonts w:hint="eastAsia" w:cs="Times New Roman"/>
                      <w:b w:val="0"/>
                      <w:bCs w:val="0"/>
                      <w:color w:val="auto"/>
                      <w:sz w:val="21"/>
                      <w:szCs w:val="21"/>
                      <w:highlight w:val="none"/>
                      <w:lang w:val="en-US" w:eastAsia="zh-CN"/>
                    </w:rPr>
                    <w:t>硅砂岩（不合格）</w:t>
                  </w:r>
                </w:p>
              </w:tc>
              <w:tc>
                <w:tcPr>
                  <w:tcW w:w="1425" w:type="dxa"/>
                  <w:tcBorders>
                    <w:tl2br w:val="nil"/>
                    <w:tr2bl w:val="nil"/>
                  </w:tcBorders>
                  <w:noWrap w:val="0"/>
                  <w:vAlign w:val="center"/>
                </w:tcPr>
                <w:p w14:paraId="69C21FF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eastAsia="宋体"/>
                      <w:color w:val="auto"/>
                      <w:sz w:val="21"/>
                      <w:highlight w:val="none"/>
                      <w:lang w:val="en-US" w:eastAsia="zh-CN"/>
                    </w:rPr>
                  </w:pPr>
                  <w:r>
                    <w:rPr>
                      <w:rFonts w:hint="eastAsia"/>
                      <w:color w:val="auto"/>
                      <w:kern w:val="0"/>
                      <w:sz w:val="21"/>
                      <w:highlight w:val="none"/>
                      <w:lang w:val="en-US" w:eastAsia="zh-CN" w:bidi="ar"/>
                    </w:rPr>
                    <w:t>90000</w:t>
                  </w:r>
                </w:p>
              </w:tc>
              <w:tc>
                <w:tcPr>
                  <w:tcW w:w="2655" w:type="dxa"/>
                  <w:gridSpan w:val="2"/>
                  <w:tcBorders>
                    <w:tl2br w:val="nil"/>
                    <w:tr2bl w:val="nil"/>
                  </w:tcBorders>
                  <w:noWrap w:val="0"/>
                  <w:vAlign w:val="center"/>
                </w:tcPr>
                <w:p w14:paraId="1B8C5F9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ascii="宋体" w:hAnsi="宋体" w:cs="宋体"/>
                      <w:color w:val="auto"/>
                      <w:sz w:val="21"/>
                      <w:highlight w:val="none"/>
                    </w:rPr>
                  </w:pPr>
                  <w:r>
                    <w:rPr>
                      <w:rFonts w:hint="eastAsia" w:cs="Times New Roman"/>
                      <w:b w:val="0"/>
                      <w:bCs w:val="0"/>
                      <w:color w:val="auto"/>
                      <w:sz w:val="21"/>
                      <w:szCs w:val="21"/>
                      <w:highlight w:val="none"/>
                      <w:lang w:val="en-US" w:eastAsia="zh-CN"/>
                    </w:rPr>
                    <w:t>硅砂岩（合格）</w:t>
                  </w:r>
                </w:p>
              </w:tc>
              <w:tc>
                <w:tcPr>
                  <w:tcW w:w="1652" w:type="dxa"/>
                  <w:tcBorders>
                    <w:tl2br w:val="nil"/>
                    <w:tr2bl w:val="nil"/>
                  </w:tcBorders>
                  <w:noWrap w:val="0"/>
                  <w:vAlign w:val="center"/>
                </w:tcPr>
                <w:p w14:paraId="5846222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color w:val="auto"/>
                      <w:kern w:val="0"/>
                      <w:sz w:val="21"/>
                      <w:highlight w:val="none"/>
                      <w:lang w:val="en-US" w:eastAsia="zh-CN" w:bidi="ar"/>
                    </w:rPr>
                  </w:pPr>
                  <w:r>
                    <w:rPr>
                      <w:rFonts w:hint="default"/>
                      <w:color w:val="auto"/>
                      <w:kern w:val="0"/>
                      <w:sz w:val="21"/>
                      <w:highlight w:val="none"/>
                      <w:lang w:val="en-US" w:eastAsia="zh-CN" w:bidi="ar"/>
                    </w:rPr>
                    <w:t>60000</w:t>
                  </w:r>
                </w:p>
              </w:tc>
            </w:tr>
            <w:tr w14:paraId="142FAE3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03BA839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w:t>
                  </w:r>
                </w:p>
              </w:tc>
              <w:tc>
                <w:tcPr>
                  <w:tcW w:w="1425" w:type="dxa"/>
                  <w:tcBorders>
                    <w:tl2br w:val="nil"/>
                    <w:tr2bl w:val="nil"/>
                  </w:tcBorders>
                  <w:noWrap w:val="0"/>
                  <w:vAlign w:val="center"/>
                </w:tcPr>
                <w:p w14:paraId="48FB426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w:t>
                  </w:r>
                </w:p>
              </w:tc>
              <w:tc>
                <w:tcPr>
                  <w:tcW w:w="1065" w:type="dxa"/>
                  <w:vMerge w:val="restart"/>
                  <w:tcBorders>
                    <w:tl2br w:val="nil"/>
                    <w:tr2bl w:val="nil"/>
                  </w:tcBorders>
                  <w:noWrap w:val="0"/>
                  <w:vAlign w:val="center"/>
                </w:tcPr>
                <w:p w14:paraId="056FA30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颗粒物</w:t>
                  </w:r>
                </w:p>
              </w:tc>
              <w:tc>
                <w:tcPr>
                  <w:tcW w:w="1590" w:type="dxa"/>
                  <w:tcBorders>
                    <w:tl2br w:val="nil"/>
                    <w:tr2bl w:val="nil"/>
                  </w:tcBorders>
                  <w:noWrap w:val="0"/>
                  <w:vAlign w:val="center"/>
                </w:tcPr>
                <w:p w14:paraId="320D368E">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有组织排放</w:t>
                  </w:r>
                </w:p>
              </w:tc>
              <w:tc>
                <w:tcPr>
                  <w:tcW w:w="1652" w:type="dxa"/>
                  <w:tcBorders>
                    <w:tl2br w:val="nil"/>
                    <w:tr2bl w:val="nil"/>
                  </w:tcBorders>
                  <w:noWrap w:val="0"/>
                  <w:vAlign w:val="center"/>
                </w:tcPr>
                <w:p w14:paraId="3379335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auto"/>
                      <w:kern w:val="0"/>
                      <w:sz w:val="21"/>
                      <w:highlight w:val="none"/>
                      <w:lang w:val="en-US" w:eastAsia="zh-CN" w:bidi="ar"/>
                    </w:rPr>
                  </w:pPr>
                  <w:r>
                    <w:rPr>
                      <w:rFonts w:hint="default"/>
                      <w:color w:val="auto"/>
                      <w:kern w:val="0"/>
                      <w:sz w:val="21"/>
                      <w:highlight w:val="none"/>
                      <w:lang w:val="en-US" w:eastAsia="zh-CN" w:bidi="ar"/>
                    </w:rPr>
                    <w:t>0.539</w:t>
                  </w:r>
                </w:p>
              </w:tc>
            </w:tr>
            <w:tr w14:paraId="1B58C21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4AD9EC7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sz w:val="21"/>
                      <w:highlight w:val="none"/>
                      <w:lang w:val="en-US" w:eastAsia="zh-CN"/>
                    </w:rPr>
                    <w:t>/</w:t>
                  </w:r>
                </w:p>
              </w:tc>
              <w:tc>
                <w:tcPr>
                  <w:tcW w:w="1425" w:type="dxa"/>
                  <w:tcBorders>
                    <w:tl2br w:val="nil"/>
                    <w:tr2bl w:val="nil"/>
                  </w:tcBorders>
                  <w:noWrap w:val="0"/>
                  <w:vAlign w:val="center"/>
                </w:tcPr>
                <w:p w14:paraId="16C9055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w:t>
                  </w:r>
                </w:p>
              </w:tc>
              <w:tc>
                <w:tcPr>
                  <w:tcW w:w="1065" w:type="dxa"/>
                  <w:vMerge w:val="continue"/>
                  <w:tcBorders>
                    <w:tl2br w:val="nil"/>
                    <w:tr2bl w:val="nil"/>
                  </w:tcBorders>
                  <w:noWrap w:val="0"/>
                  <w:vAlign w:val="center"/>
                </w:tcPr>
                <w:p w14:paraId="066C8565">
                  <w:pPr>
                    <w:keepNext w:val="0"/>
                    <w:keepLines w:val="0"/>
                    <w:pageBreakBefore w:val="0"/>
                    <w:shd w:val="clear"/>
                    <w:kinsoku/>
                    <w:wordWrap/>
                    <w:overflowPunct/>
                    <w:topLinePunct w:val="0"/>
                    <w:autoSpaceDE/>
                    <w:autoSpaceDN/>
                    <w:bidi w:val="0"/>
                    <w:adjustRightInd/>
                    <w:snapToGrid/>
                    <w:spacing w:line="0" w:lineRule="atLeast"/>
                    <w:ind w:firstLine="0" w:firstLineChars="0"/>
                    <w:jc w:val="center"/>
                    <w:rPr>
                      <w:rFonts w:hint="eastAsia" w:ascii="宋体" w:hAnsi="宋体" w:cs="宋体"/>
                      <w:color w:val="auto"/>
                      <w:sz w:val="21"/>
                      <w:highlight w:val="none"/>
                    </w:rPr>
                  </w:pPr>
                </w:p>
              </w:tc>
              <w:tc>
                <w:tcPr>
                  <w:tcW w:w="1590" w:type="dxa"/>
                  <w:tcBorders>
                    <w:tl2br w:val="nil"/>
                    <w:tr2bl w:val="nil"/>
                  </w:tcBorders>
                  <w:noWrap w:val="0"/>
                  <w:vAlign w:val="center"/>
                </w:tcPr>
                <w:p w14:paraId="29A254B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kern w:val="0"/>
                      <w:sz w:val="21"/>
                      <w:highlight w:val="none"/>
                      <w:lang w:bidi="ar"/>
                    </w:rPr>
                    <w:t>无组织排放</w:t>
                  </w:r>
                </w:p>
              </w:tc>
              <w:tc>
                <w:tcPr>
                  <w:tcW w:w="1652" w:type="dxa"/>
                  <w:tcBorders>
                    <w:tl2br w:val="nil"/>
                    <w:tr2bl w:val="nil"/>
                  </w:tcBorders>
                  <w:noWrap w:val="0"/>
                  <w:vAlign w:val="center"/>
                </w:tcPr>
                <w:p w14:paraId="60BAB1F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auto"/>
                      <w:kern w:val="0"/>
                      <w:sz w:val="21"/>
                      <w:highlight w:val="none"/>
                      <w:lang w:val="en-US" w:eastAsia="zh-CN" w:bidi="ar"/>
                    </w:rPr>
                  </w:pPr>
                  <w:r>
                    <w:rPr>
                      <w:rFonts w:hint="default"/>
                      <w:color w:val="auto"/>
                      <w:kern w:val="0"/>
                      <w:sz w:val="21"/>
                      <w:highlight w:val="none"/>
                      <w:lang w:val="en-US" w:eastAsia="zh-CN" w:bidi="ar"/>
                    </w:rPr>
                    <w:t>0.629</w:t>
                  </w:r>
                </w:p>
              </w:tc>
            </w:tr>
            <w:tr w14:paraId="7FDA90DE">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75B5735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sz w:val="21"/>
                      <w:highlight w:val="none"/>
                      <w:lang w:val="en-US" w:eastAsia="zh-CN"/>
                    </w:rPr>
                    <w:t>/</w:t>
                  </w:r>
                </w:p>
              </w:tc>
              <w:tc>
                <w:tcPr>
                  <w:tcW w:w="1425" w:type="dxa"/>
                  <w:tcBorders>
                    <w:tl2br w:val="nil"/>
                    <w:tr2bl w:val="nil"/>
                  </w:tcBorders>
                  <w:noWrap w:val="0"/>
                  <w:vAlign w:val="center"/>
                </w:tcPr>
                <w:p w14:paraId="7EAEE1BD">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w:t>
                  </w:r>
                </w:p>
              </w:tc>
              <w:tc>
                <w:tcPr>
                  <w:tcW w:w="1065" w:type="dxa"/>
                  <w:vMerge w:val="continue"/>
                  <w:tcBorders>
                    <w:tl2br w:val="nil"/>
                    <w:tr2bl w:val="nil"/>
                  </w:tcBorders>
                  <w:noWrap w:val="0"/>
                  <w:vAlign w:val="center"/>
                </w:tcPr>
                <w:p w14:paraId="3E944D35">
                  <w:pPr>
                    <w:keepNext w:val="0"/>
                    <w:keepLines w:val="0"/>
                    <w:pageBreakBefore w:val="0"/>
                    <w:shd w:val="clear"/>
                    <w:kinsoku/>
                    <w:wordWrap/>
                    <w:overflowPunct/>
                    <w:topLinePunct w:val="0"/>
                    <w:autoSpaceDE/>
                    <w:autoSpaceDN/>
                    <w:bidi w:val="0"/>
                    <w:adjustRightInd/>
                    <w:snapToGrid/>
                    <w:spacing w:line="0" w:lineRule="atLeast"/>
                    <w:ind w:firstLine="0" w:firstLineChars="0"/>
                    <w:jc w:val="center"/>
                    <w:rPr>
                      <w:rFonts w:hint="eastAsia" w:ascii="宋体" w:hAnsi="宋体" w:cs="宋体"/>
                      <w:color w:val="auto"/>
                      <w:sz w:val="21"/>
                      <w:highlight w:val="none"/>
                    </w:rPr>
                  </w:pPr>
                </w:p>
              </w:tc>
              <w:tc>
                <w:tcPr>
                  <w:tcW w:w="1590" w:type="dxa"/>
                  <w:tcBorders>
                    <w:tl2br w:val="nil"/>
                    <w:tr2bl w:val="nil"/>
                  </w:tcBorders>
                  <w:noWrap w:val="0"/>
                  <w:vAlign w:val="center"/>
                </w:tcPr>
                <w:p w14:paraId="38CBCDF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kern w:val="0"/>
                      <w:sz w:val="21"/>
                      <w:highlight w:val="none"/>
                      <w:lang w:eastAsia="zh-CN" w:bidi="ar"/>
                    </w:rPr>
                  </w:pPr>
                  <w:r>
                    <w:rPr>
                      <w:rFonts w:hint="eastAsia" w:ascii="宋体" w:hAnsi="宋体" w:cs="宋体"/>
                      <w:color w:val="auto"/>
                      <w:kern w:val="0"/>
                      <w:sz w:val="21"/>
                      <w:highlight w:val="none"/>
                      <w:lang w:eastAsia="zh-CN" w:bidi="ar"/>
                    </w:rPr>
                    <w:t>除尘灰</w:t>
                  </w:r>
                </w:p>
              </w:tc>
              <w:tc>
                <w:tcPr>
                  <w:tcW w:w="1652" w:type="dxa"/>
                  <w:tcBorders>
                    <w:tl2br w:val="nil"/>
                    <w:tr2bl w:val="nil"/>
                  </w:tcBorders>
                  <w:noWrap w:val="0"/>
                  <w:vAlign w:val="center"/>
                </w:tcPr>
                <w:p w14:paraId="3C6B6D2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auto"/>
                      <w:kern w:val="0"/>
                      <w:sz w:val="21"/>
                      <w:highlight w:val="none"/>
                      <w:lang w:val="en-US" w:eastAsia="zh-CN" w:bidi="ar"/>
                    </w:rPr>
                  </w:pPr>
                  <w:r>
                    <w:rPr>
                      <w:rFonts w:hint="default"/>
                      <w:color w:val="auto"/>
                      <w:kern w:val="0"/>
                      <w:sz w:val="21"/>
                      <w:highlight w:val="none"/>
                      <w:lang w:val="en-US" w:eastAsia="zh-CN" w:bidi="ar"/>
                    </w:rPr>
                    <w:t>107.791</w:t>
                  </w:r>
                </w:p>
              </w:tc>
            </w:tr>
            <w:tr w14:paraId="16E95E3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0A1421B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sz w:val="21"/>
                      <w:highlight w:val="none"/>
                      <w:lang w:val="en-US" w:eastAsia="zh-CN"/>
                    </w:rPr>
                    <w:t>/</w:t>
                  </w:r>
                </w:p>
              </w:tc>
              <w:tc>
                <w:tcPr>
                  <w:tcW w:w="1425" w:type="dxa"/>
                  <w:tcBorders>
                    <w:tl2br w:val="nil"/>
                    <w:tr2bl w:val="nil"/>
                  </w:tcBorders>
                  <w:noWrap w:val="0"/>
                  <w:vAlign w:val="center"/>
                </w:tcPr>
                <w:p w14:paraId="416BBD9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w:t>
                  </w:r>
                </w:p>
              </w:tc>
              <w:tc>
                <w:tcPr>
                  <w:tcW w:w="2655" w:type="dxa"/>
                  <w:gridSpan w:val="2"/>
                  <w:tcBorders>
                    <w:tl2br w:val="nil"/>
                    <w:tr2bl w:val="nil"/>
                  </w:tcBorders>
                  <w:noWrap w:val="0"/>
                  <w:vAlign w:val="center"/>
                </w:tcPr>
                <w:p w14:paraId="52C0102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auto"/>
                      <w:sz w:val="21"/>
                      <w:highlight w:val="none"/>
                      <w:lang w:eastAsia="zh-CN"/>
                    </w:rPr>
                  </w:pPr>
                  <w:r>
                    <w:rPr>
                      <w:rFonts w:hint="eastAsia" w:ascii="宋体" w:hAnsi="宋体" w:cs="宋体"/>
                      <w:color w:val="auto"/>
                      <w:kern w:val="0"/>
                      <w:sz w:val="21"/>
                      <w:highlight w:val="none"/>
                      <w:lang w:eastAsia="zh-CN" w:bidi="ar"/>
                    </w:rPr>
                    <w:t>土渣</w:t>
                  </w:r>
                </w:p>
              </w:tc>
              <w:tc>
                <w:tcPr>
                  <w:tcW w:w="1652" w:type="dxa"/>
                  <w:tcBorders>
                    <w:tl2br w:val="nil"/>
                    <w:tr2bl w:val="nil"/>
                  </w:tcBorders>
                  <w:noWrap w:val="0"/>
                  <w:vAlign w:val="center"/>
                </w:tcPr>
                <w:p w14:paraId="097A124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auto"/>
                      <w:kern w:val="0"/>
                      <w:sz w:val="21"/>
                      <w:highlight w:val="none"/>
                      <w:lang w:val="en-US" w:eastAsia="zh-CN" w:bidi="ar"/>
                    </w:rPr>
                  </w:pPr>
                  <w:r>
                    <w:rPr>
                      <w:rFonts w:hint="default"/>
                      <w:color w:val="auto"/>
                      <w:kern w:val="0"/>
                      <w:sz w:val="21"/>
                      <w:highlight w:val="none"/>
                      <w:lang w:val="en-US" w:eastAsia="zh-CN" w:bidi="ar"/>
                    </w:rPr>
                    <w:t>29891.041</w:t>
                  </w:r>
                </w:p>
              </w:tc>
            </w:tr>
            <w:tr w14:paraId="0699769E">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49" w:hRule="atLeast"/>
                <w:jc w:val="center"/>
              </w:trPr>
              <w:tc>
                <w:tcPr>
                  <w:tcW w:w="1847" w:type="dxa"/>
                  <w:tcBorders>
                    <w:tl2br w:val="nil"/>
                    <w:tr2bl w:val="nil"/>
                  </w:tcBorders>
                  <w:noWrap w:val="0"/>
                  <w:vAlign w:val="center"/>
                </w:tcPr>
                <w:p w14:paraId="0167834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auto"/>
                      <w:sz w:val="21"/>
                      <w:highlight w:val="none"/>
                    </w:rPr>
                  </w:pPr>
                  <w:r>
                    <w:rPr>
                      <w:rFonts w:hint="eastAsia" w:ascii="宋体" w:hAnsi="宋体" w:cs="宋体"/>
                      <w:color w:val="auto"/>
                      <w:sz w:val="21"/>
                      <w:highlight w:val="none"/>
                      <w:lang w:val="en-US" w:eastAsia="zh-CN"/>
                    </w:rPr>
                    <w:t>/</w:t>
                  </w:r>
                </w:p>
              </w:tc>
              <w:tc>
                <w:tcPr>
                  <w:tcW w:w="1425" w:type="dxa"/>
                  <w:tcBorders>
                    <w:tl2br w:val="nil"/>
                    <w:tr2bl w:val="nil"/>
                  </w:tcBorders>
                  <w:noWrap w:val="0"/>
                  <w:vAlign w:val="center"/>
                </w:tcPr>
                <w:p w14:paraId="3CA97E6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eastAsia="宋体"/>
                      <w:color w:val="auto"/>
                      <w:sz w:val="21"/>
                      <w:highlight w:val="none"/>
                      <w:lang w:val="en-US" w:eastAsia="zh-CN"/>
                    </w:rPr>
                  </w:pPr>
                  <w:r>
                    <w:rPr>
                      <w:rFonts w:hint="eastAsia"/>
                      <w:color w:val="auto"/>
                      <w:kern w:val="0"/>
                      <w:sz w:val="21"/>
                      <w:highlight w:val="none"/>
                      <w:lang w:val="en-US" w:eastAsia="zh-CN" w:bidi="ar"/>
                    </w:rPr>
                    <w:t>90000</w:t>
                  </w:r>
                </w:p>
              </w:tc>
              <w:tc>
                <w:tcPr>
                  <w:tcW w:w="2655" w:type="dxa"/>
                  <w:gridSpan w:val="2"/>
                  <w:tcBorders>
                    <w:tl2br w:val="nil"/>
                    <w:tr2bl w:val="nil"/>
                  </w:tcBorders>
                  <w:noWrap w:val="0"/>
                  <w:vAlign w:val="center"/>
                </w:tcPr>
                <w:p w14:paraId="4BFAA5D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color w:val="auto"/>
                      <w:sz w:val="21"/>
                      <w:highlight w:val="none"/>
                    </w:rPr>
                  </w:pPr>
                  <w:r>
                    <w:rPr>
                      <w:rFonts w:hint="eastAsia" w:ascii="宋体" w:hAnsi="宋体" w:cs="宋体"/>
                      <w:color w:val="auto"/>
                      <w:kern w:val="0"/>
                      <w:sz w:val="21"/>
                      <w:highlight w:val="none"/>
                      <w:lang w:bidi="ar"/>
                    </w:rPr>
                    <w:t>总计</w:t>
                  </w:r>
                </w:p>
              </w:tc>
              <w:tc>
                <w:tcPr>
                  <w:tcW w:w="1652" w:type="dxa"/>
                  <w:tcBorders>
                    <w:tl2br w:val="nil"/>
                    <w:tr2bl w:val="nil"/>
                  </w:tcBorders>
                  <w:noWrap w:val="0"/>
                  <w:vAlign w:val="center"/>
                </w:tcPr>
                <w:p w14:paraId="3A81DCA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auto"/>
                      <w:kern w:val="0"/>
                      <w:sz w:val="21"/>
                      <w:highlight w:val="none"/>
                      <w:lang w:val="en-US" w:eastAsia="zh-CN" w:bidi="ar"/>
                    </w:rPr>
                  </w:pPr>
                  <w:r>
                    <w:rPr>
                      <w:rFonts w:hint="eastAsia"/>
                      <w:color w:val="auto"/>
                      <w:kern w:val="0"/>
                      <w:sz w:val="21"/>
                      <w:highlight w:val="none"/>
                      <w:lang w:val="en-US" w:eastAsia="zh-CN" w:bidi="ar"/>
                    </w:rPr>
                    <w:t>9</w:t>
                  </w:r>
                  <w:r>
                    <w:rPr>
                      <w:rFonts w:hint="default"/>
                      <w:color w:val="auto"/>
                      <w:kern w:val="0"/>
                      <w:sz w:val="21"/>
                      <w:highlight w:val="none"/>
                      <w:lang w:val="en-US" w:eastAsia="zh-CN" w:bidi="ar"/>
                    </w:rPr>
                    <w:t>0000</w:t>
                  </w:r>
                </w:p>
              </w:tc>
            </w:tr>
          </w:tbl>
          <w:p w14:paraId="2DBAD32F">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备注：本项目建成后，仅为现有工程配套提供6万吨合格原料矿石。现有工程仍维持原有生产规模，继续依托12万吨合格原料矿石生产10万吨产品，物料平衡、生产工艺及排污情况均保持不变。因此，本次评价不再赘述现有工程物料平衡内容。</w:t>
            </w:r>
          </w:p>
          <w:p w14:paraId="4F5B372D">
            <w:pPr>
              <w:pStyle w:val="3"/>
              <w:shd w:val="clear"/>
              <w:rPr>
                <w:rFonts w:hint="default"/>
                <w:color w:val="auto"/>
                <w:lang w:val="en-US" w:eastAsia="zh-CN"/>
              </w:rPr>
            </w:pPr>
          </w:p>
          <w:p w14:paraId="282C9134">
            <w:pPr>
              <w:shd w:val="clear"/>
              <w:ind w:left="0" w:leftChars="0" w:firstLine="0" w:firstLineChars="0"/>
              <w:rPr>
                <w:rFonts w:hint="default"/>
                <w:color w:val="auto"/>
                <w:lang w:val="en-US" w:eastAsia="zh-CN"/>
              </w:rPr>
            </w:pPr>
          </w:p>
          <w:p w14:paraId="2380342D">
            <w:pPr>
              <w:shd w:val="clear"/>
              <w:rPr>
                <w:rFonts w:hint="default"/>
                <w:color w:val="auto"/>
                <w:lang w:val="en-US" w:eastAsia="zh-CN"/>
              </w:rPr>
            </w:pPr>
          </w:p>
          <w:p w14:paraId="3FA4F498">
            <w:pPr>
              <w:shd w:val="clear"/>
              <w:rPr>
                <w:rFonts w:hint="default"/>
                <w:color w:val="auto"/>
                <w:lang w:val="en-US" w:eastAsia="zh-CN"/>
              </w:rPr>
            </w:pPr>
          </w:p>
          <w:p w14:paraId="251A591F">
            <w:pPr>
              <w:pStyle w:val="15"/>
              <w:shd w:val="clear"/>
              <w:rPr>
                <w:rFonts w:hint="default"/>
                <w:color w:val="auto"/>
                <w:lang w:val="en-US" w:eastAsia="zh-CN"/>
              </w:rPr>
            </w:pPr>
          </w:p>
          <w:p w14:paraId="03C3C88F">
            <w:pPr>
              <w:pStyle w:val="15"/>
              <w:shd w:val="clear"/>
              <w:ind w:left="0" w:leftChars="0" w:firstLine="0" w:firstLineChars="0"/>
              <w:rPr>
                <w:rFonts w:hint="default"/>
                <w:color w:val="auto"/>
                <w:lang w:val="en-US" w:eastAsia="zh-CN"/>
              </w:rPr>
            </w:pPr>
          </w:p>
        </w:tc>
      </w:tr>
    </w:tbl>
    <w:p w14:paraId="24CC88E7">
      <w:pPr>
        <w:shd w:val="clear"/>
        <w:rPr>
          <w:color w:val="auto"/>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795"/>
        <w:gridCol w:w="13079"/>
      </w:tblGrid>
      <w:tr w14:paraId="2E7F1564">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8986" w:hRule="atLeast"/>
          <w:jc w:val="center"/>
        </w:trPr>
        <w:tc>
          <w:tcPr>
            <w:tcW w:w="795" w:type="dxa"/>
            <w:tcBorders>
              <w:tl2br w:val="nil"/>
              <w:tr2bl w:val="nil"/>
            </w:tcBorders>
          </w:tcPr>
          <w:p w14:paraId="12E35BE4">
            <w:pPr>
              <w:pStyle w:val="15"/>
              <w:shd w:val="clear"/>
              <w:rPr>
                <w:color w:val="auto"/>
                <w:vertAlign w:val="baseline"/>
              </w:rPr>
            </w:pPr>
          </w:p>
        </w:tc>
        <w:tc>
          <w:tcPr>
            <w:tcW w:w="13079" w:type="dxa"/>
            <w:tcBorders>
              <w:tl2br w:val="nil"/>
              <w:tr2bl w:val="nil"/>
            </w:tcBorders>
          </w:tcPr>
          <w:p w14:paraId="1A14C106">
            <w:pPr>
              <w:numPr>
                <w:ilvl w:val="0"/>
                <w:numId w:val="8"/>
              </w:numPr>
              <w:shd w:val="clear"/>
              <w:bidi w:val="0"/>
              <w:ind w:left="0" w:leftChars="0"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本次技改完成后，全厂</w:t>
            </w:r>
            <w:r>
              <w:rPr>
                <w:rFonts w:hint="default" w:ascii="Times New Roman" w:hAnsi="Times New Roman" w:cs="Times New Roman"/>
                <w:color w:val="auto"/>
                <w:sz w:val="24"/>
                <w:szCs w:val="24"/>
                <w:highlight w:val="none"/>
              </w:rPr>
              <w:t>主要生产设备见下表。</w:t>
            </w:r>
          </w:p>
          <w:p w14:paraId="4B07996F">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本次技改完成后全厂设备清单</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45"/>
              <w:gridCol w:w="1605"/>
              <w:gridCol w:w="918"/>
              <w:gridCol w:w="2211"/>
              <w:gridCol w:w="2109"/>
              <w:gridCol w:w="1110"/>
              <w:gridCol w:w="1710"/>
              <w:gridCol w:w="669"/>
              <w:gridCol w:w="783"/>
            </w:tblGrid>
            <w:tr w14:paraId="3F15E62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29" w:hRule="atLeast"/>
                <w:jc w:val="center"/>
              </w:trPr>
              <w:tc>
                <w:tcPr>
                  <w:tcW w:w="845" w:type="dxa"/>
                  <w:vMerge w:val="restart"/>
                  <w:tcBorders>
                    <w:tl2br w:val="nil"/>
                    <w:tr2bl w:val="nil"/>
                  </w:tcBorders>
                  <w:vAlign w:val="center"/>
                </w:tcPr>
                <w:p w14:paraId="749744C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序号</w:t>
                  </w:r>
                </w:p>
              </w:tc>
              <w:tc>
                <w:tcPr>
                  <w:tcW w:w="1605" w:type="dxa"/>
                  <w:vMerge w:val="restart"/>
                  <w:tcBorders>
                    <w:tl2br w:val="nil"/>
                    <w:tr2bl w:val="nil"/>
                  </w:tcBorders>
                  <w:vAlign w:val="center"/>
                </w:tcPr>
                <w:p w14:paraId="5261CD3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主要生产单元</w:t>
                  </w:r>
                </w:p>
              </w:tc>
              <w:tc>
                <w:tcPr>
                  <w:tcW w:w="918" w:type="dxa"/>
                  <w:vMerge w:val="restart"/>
                  <w:tcBorders>
                    <w:tl2br w:val="nil"/>
                    <w:tr2bl w:val="nil"/>
                  </w:tcBorders>
                  <w:vAlign w:val="center"/>
                </w:tcPr>
                <w:p w14:paraId="7A93AC1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主要工艺</w:t>
                  </w:r>
                </w:p>
              </w:tc>
              <w:tc>
                <w:tcPr>
                  <w:tcW w:w="2211" w:type="dxa"/>
                  <w:vMerge w:val="restart"/>
                  <w:tcBorders>
                    <w:tl2br w:val="nil"/>
                    <w:tr2bl w:val="nil"/>
                  </w:tcBorders>
                  <w:vAlign w:val="center"/>
                </w:tcPr>
                <w:p w14:paraId="13DBE27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设备名称</w:t>
                  </w:r>
                </w:p>
              </w:tc>
              <w:tc>
                <w:tcPr>
                  <w:tcW w:w="2109" w:type="dxa"/>
                  <w:vMerge w:val="restart"/>
                  <w:tcBorders>
                    <w:tl2br w:val="nil"/>
                    <w:tr2bl w:val="nil"/>
                  </w:tcBorders>
                  <w:vAlign w:val="center"/>
                </w:tcPr>
                <w:p w14:paraId="7553009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规格型号</w:t>
                  </w:r>
                </w:p>
              </w:tc>
              <w:tc>
                <w:tcPr>
                  <w:tcW w:w="2820" w:type="dxa"/>
                  <w:gridSpan w:val="2"/>
                  <w:tcBorders>
                    <w:tl2br w:val="nil"/>
                    <w:tr2bl w:val="nil"/>
                  </w:tcBorders>
                  <w:vAlign w:val="center"/>
                </w:tcPr>
                <w:p w14:paraId="001C985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数量</w:t>
                  </w:r>
                </w:p>
              </w:tc>
              <w:tc>
                <w:tcPr>
                  <w:tcW w:w="669" w:type="dxa"/>
                  <w:vMerge w:val="restart"/>
                  <w:tcBorders>
                    <w:tl2br w:val="nil"/>
                    <w:tr2bl w:val="nil"/>
                  </w:tcBorders>
                  <w:vAlign w:val="center"/>
                </w:tcPr>
                <w:p w14:paraId="38AACE6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变化量</w:t>
                  </w:r>
                </w:p>
              </w:tc>
              <w:tc>
                <w:tcPr>
                  <w:tcW w:w="783" w:type="dxa"/>
                  <w:vMerge w:val="restart"/>
                  <w:tcBorders>
                    <w:tl2br w:val="nil"/>
                    <w:tr2bl w:val="nil"/>
                  </w:tcBorders>
                  <w:vAlign w:val="center"/>
                </w:tcPr>
                <w:p w14:paraId="15CF128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备注</w:t>
                  </w:r>
                </w:p>
              </w:tc>
            </w:tr>
            <w:tr w14:paraId="4088C8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45" w:hRule="atLeast"/>
                <w:jc w:val="center"/>
              </w:trPr>
              <w:tc>
                <w:tcPr>
                  <w:tcW w:w="845" w:type="dxa"/>
                  <w:vMerge w:val="continue"/>
                  <w:tcBorders>
                    <w:tl2br w:val="nil"/>
                    <w:tr2bl w:val="nil"/>
                  </w:tcBorders>
                  <w:vAlign w:val="center"/>
                </w:tcPr>
                <w:p w14:paraId="794DA5C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0AE334A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6E47671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vMerge w:val="continue"/>
                  <w:tcBorders>
                    <w:tl2br w:val="nil"/>
                    <w:tr2bl w:val="nil"/>
                  </w:tcBorders>
                  <w:vAlign w:val="center"/>
                </w:tcPr>
                <w:p w14:paraId="3EA6E3E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109" w:type="dxa"/>
                  <w:vMerge w:val="continue"/>
                  <w:tcBorders>
                    <w:tl2br w:val="nil"/>
                    <w:tr2bl w:val="nil"/>
                  </w:tcBorders>
                  <w:vAlign w:val="center"/>
                </w:tcPr>
                <w:p w14:paraId="6CCD961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110" w:type="dxa"/>
                  <w:tcBorders>
                    <w:tl2br w:val="nil"/>
                    <w:tr2bl w:val="nil"/>
                  </w:tcBorders>
                  <w:vAlign w:val="center"/>
                </w:tcPr>
                <w:p w14:paraId="40D20CC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现有工程</w:t>
                  </w:r>
                </w:p>
              </w:tc>
              <w:tc>
                <w:tcPr>
                  <w:tcW w:w="1710" w:type="dxa"/>
                  <w:tcBorders>
                    <w:tl2br w:val="nil"/>
                    <w:tr2bl w:val="nil"/>
                  </w:tcBorders>
                  <w:vAlign w:val="center"/>
                </w:tcPr>
                <w:p w14:paraId="760E08C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技改完成后全厂</w:t>
                  </w:r>
                </w:p>
              </w:tc>
              <w:tc>
                <w:tcPr>
                  <w:tcW w:w="669" w:type="dxa"/>
                  <w:vMerge w:val="continue"/>
                  <w:tcBorders>
                    <w:tl2br w:val="nil"/>
                    <w:tr2bl w:val="nil"/>
                  </w:tcBorders>
                  <w:vAlign w:val="center"/>
                </w:tcPr>
                <w:p w14:paraId="084CA26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783" w:type="dxa"/>
                  <w:vMerge w:val="continue"/>
                  <w:tcBorders>
                    <w:tl2br w:val="nil"/>
                    <w:tr2bl w:val="nil"/>
                  </w:tcBorders>
                  <w:vAlign w:val="center"/>
                </w:tcPr>
                <w:p w14:paraId="501BBA8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r>
            <w:tr w14:paraId="60CA7D9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29" w:hRule="atLeast"/>
                <w:jc w:val="center"/>
              </w:trPr>
              <w:tc>
                <w:tcPr>
                  <w:tcW w:w="845" w:type="dxa"/>
                  <w:tcBorders>
                    <w:tl2br w:val="nil"/>
                    <w:tr2bl w:val="nil"/>
                  </w:tcBorders>
                  <w:vAlign w:val="center"/>
                </w:tcPr>
                <w:p w14:paraId="0E6B1DB5">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restart"/>
                  <w:tcBorders>
                    <w:tl2br w:val="nil"/>
                    <w:tr2bl w:val="nil"/>
                  </w:tcBorders>
                  <w:vAlign w:val="center"/>
                </w:tcPr>
                <w:p w14:paraId="6AAC13A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预处理单元</w:t>
                  </w:r>
                </w:p>
              </w:tc>
              <w:tc>
                <w:tcPr>
                  <w:tcW w:w="918" w:type="dxa"/>
                  <w:vMerge w:val="restart"/>
                  <w:tcBorders>
                    <w:tl2br w:val="nil"/>
                    <w:tr2bl w:val="nil"/>
                  </w:tcBorders>
                  <w:vAlign w:val="center"/>
                </w:tcPr>
                <w:p w14:paraId="578A6BB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破碎</w:t>
                  </w:r>
                </w:p>
              </w:tc>
              <w:tc>
                <w:tcPr>
                  <w:tcW w:w="2211" w:type="dxa"/>
                  <w:tcBorders>
                    <w:tl2br w:val="nil"/>
                    <w:tr2bl w:val="nil"/>
                  </w:tcBorders>
                  <w:vAlign w:val="center"/>
                </w:tcPr>
                <w:p w14:paraId="60DBAFB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颚式破碎机</w:t>
                  </w:r>
                </w:p>
              </w:tc>
              <w:tc>
                <w:tcPr>
                  <w:tcW w:w="2109" w:type="dxa"/>
                  <w:tcBorders>
                    <w:tl2br w:val="nil"/>
                    <w:tr2bl w:val="nil"/>
                  </w:tcBorders>
                  <w:vAlign w:val="center"/>
                </w:tcPr>
                <w:p w14:paraId="044A4AA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500×750mm</w:t>
                  </w:r>
                </w:p>
              </w:tc>
              <w:tc>
                <w:tcPr>
                  <w:tcW w:w="1110" w:type="dxa"/>
                  <w:tcBorders>
                    <w:tl2br w:val="nil"/>
                    <w:tr2bl w:val="nil"/>
                  </w:tcBorders>
                  <w:vAlign w:val="center"/>
                </w:tcPr>
                <w:p w14:paraId="471AEAB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1710" w:type="dxa"/>
                  <w:tcBorders>
                    <w:tl2br w:val="nil"/>
                    <w:tr2bl w:val="nil"/>
                  </w:tcBorders>
                  <w:vAlign w:val="center"/>
                </w:tcPr>
                <w:p w14:paraId="5E03D6D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2ABA506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783" w:type="dxa"/>
                  <w:tcBorders>
                    <w:tl2br w:val="nil"/>
                    <w:tr2bl w:val="nil"/>
                  </w:tcBorders>
                  <w:vAlign w:val="center"/>
                </w:tcPr>
                <w:p w14:paraId="3E53F11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新增</w:t>
                  </w:r>
                </w:p>
              </w:tc>
            </w:tr>
            <w:tr w14:paraId="15C8D52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3" w:hRule="atLeast"/>
                <w:jc w:val="center"/>
              </w:trPr>
              <w:tc>
                <w:tcPr>
                  <w:tcW w:w="845" w:type="dxa"/>
                  <w:tcBorders>
                    <w:tl2br w:val="nil"/>
                    <w:tr2bl w:val="nil"/>
                  </w:tcBorders>
                  <w:vAlign w:val="center"/>
                </w:tcPr>
                <w:p w14:paraId="1C1254A3">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1BB3A0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60B7888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vAlign w:val="center"/>
                </w:tcPr>
                <w:p w14:paraId="7678744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圆锥破碎机</w:t>
                  </w:r>
                </w:p>
              </w:tc>
              <w:tc>
                <w:tcPr>
                  <w:tcW w:w="2109" w:type="dxa"/>
                  <w:tcBorders>
                    <w:tl2br w:val="nil"/>
                    <w:tr2bl w:val="nil"/>
                  </w:tcBorders>
                  <w:vAlign w:val="center"/>
                </w:tcPr>
                <w:p w14:paraId="5D9EEA6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1200mm</w:t>
                  </w:r>
                </w:p>
              </w:tc>
              <w:tc>
                <w:tcPr>
                  <w:tcW w:w="1110" w:type="dxa"/>
                  <w:tcBorders>
                    <w:tl2br w:val="nil"/>
                    <w:tr2bl w:val="nil"/>
                  </w:tcBorders>
                  <w:vAlign w:val="center"/>
                </w:tcPr>
                <w:p w14:paraId="29CB754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1710" w:type="dxa"/>
                  <w:tcBorders>
                    <w:tl2br w:val="nil"/>
                    <w:tr2bl w:val="nil"/>
                  </w:tcBorders>
                  <w:vAlign w:val="center"/>
                </w:tcPr>
                <w:p w14:paraId="71F9282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shd w:val="clear" w:color="auto" w:fill="auto"/>
                  <w:vAlign w:val="center"/>
                </w:tcPr>
                <w:p w14:paraId="5BFAB90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783" w:type="dxa"/>
                  <w:tcBorders>
                    <w:tl2br w:val="nil"/>
                    <w:tr2bl w:val="nil"/>
                  </w:tcBorders>
                  <w:shd w:val="clear" w:color="auto" w:fill="auto"/>
                  <w:vAlign w:val="center"/>
                </w:tcPr>
                <w:p w14:paraId="21AE040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新增</w:t>
                  </w:r>
                </w:p>
              </w:tc>
            </w:tr>
            <w:tr w14:paraId="02397D0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3" w:hRule="atLeast"/>
                <w:jc w:val="center"/>
              </w:trPr>
              <w:tc>
                <w:tcPr>
                  <w:tcW w:w="845" w:type="dxa"/>
                  <w:tcBorders>
                    <w:tl2br w:val="nil"/>
                    <w:tr2bl w:val="nil"/>
                  </w:tcBorders>
                  <w:vAlign w:val="center"/>
                </w:tcPr>
                <w:p w14:paraId="17A721EA">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139A28B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7F2C5A7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筛分</w:t>
                  </w:r>
                </w:p>
              </w:tc>
              <w:tc>
                <w:tcPr>
                  <w:tcW w:w="2211" w:type="dxa"/>
                  <w:tcBorders>
                    <w:tl2br w:val="nil"/>
                    <w:tr2bl w:val="nil"/>
                  </w:tcBorders>
                  <w:vAlign w:val="center"/>
                </w:tcPr>
                <w:p w14:paraId="7E1260F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往复式摇筛</w:t>
                  </w:r>
                </w:p>
              </w:tc>
              <w:tc>
                <w:tcPr>
                  <w:tcW w:w="2109" w:type="dxa"/>
                  <w:tcBorders>
                    <w:tl2br w:val="nil"/>
                    <w:tr2bl w:val="nil"/>
                  </w:tcBorders>
                  <w:vAlign w:val="center"/>
                </w:tcPr>
                <w:p w14:paraId="2DA6ADB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2×6m</w:t>
                  </w:r>
                </w:p>
              </w:tc>
              <w:tc>
                <w:tcPr>
                  <w:tcW w:w="1110" w:type="dxa"/>
                  <w:tcBorders>
                    <w:tl2br w:val="nil"/>
                    <w:tr2bl w:val="nil"/>
                  </w:tcBorders>
                  <w:shd w:val="clear" w:color="auto" w:fill="auto"/>
                  <w:vAlign w:val="center"/>
                </w:tcPr>
                <w:p w14:paraId="7619F01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0</w:t>
                  </w:r>
                </w:p>
              </w:tc>
              <w:tc>
                <w:tcPr>
                  <w:tcW w:w="1710" w:type="dxa"/>
                  <w:tcBorders>
                    <w:tl2br w:val="nil"/>
                    <w:tr2bl w:val="nil"/>
                  </w:tcBorders>
                  <w:shd w:val="clear" w:color="auto" w:fill="auto"/>
                  <w:vAlign w:val="center"/>
                </w:tcPr>
                <w:p w14:paraId="2A82D45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shd w:val="clear" w:color="auto" w:fill="auto"/>
                  <w:vAlign w:val="center"/>
                </w:tcPr>
                <w:p w14:paraId="6F2798B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783" w:type="dxa"/>
                  <w:tcBorders>
                    <w:tl2br w:val="nil"/>
                    <w:tr2bl w:val="nil"/>
                  </w:tcBorders>
                  <w:shd w:val="clear" w:color="auto" w:fill="auto"/>
                  <w:vAlign w:val="center"/>
                </w:tcPr>
                <w:p w14:paraId="288019B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新增</w:t>
                  </w:r>
                </w:p>
              </w:tc>
            </w:tr>
            <w:tr w14:paraId="372D776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3" w:hRule="atLeast"/>
                <w:jc w:val="center"/>
              </w:trPr>
              <w:tc>
                <w:tcPr>
                  <w:tcW w:w="845" w:type="dxa"/>
                  <w:tcBorders>
                    <w:tl2br w:val="nil"/>
                    <w:tr2bl w:val="nil"/>
                  </w:tcBorders>
                  <w:vAlign w:val="center"/>
                </w:tcPr>
                <w:p w14:paraId="5EF903EE">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45B6449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7CF8143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输送</w:t>
                  </w:r>
                </w:p>
              </w:tc>
              <w:tc>
                <w:tcPr>
                  <w:tcW w:w="2211" w:type="dxa"/>
                  <w:tcBorders>
                    <w:tl2br w:val="nil"/>
                    <w:tr2bl w:val="nil"/>
                  </w:tcBorders>
                  <w:vAlign w:val="center"/>
                </w:tcPr>
                <w:p w14:paraId="67A19C7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皮带输送机</w:t>
                  </w:r>
                </w:p>
              </w:tc>
              <w:tc>
                <w:tcPr>
                  <w:tcW w:w="2109" w:type="dxa"/>
                  <w:tcBorders>
                    <w:tl2br w:val="nil"/>
                    <w:tr2bl w:val="nil"/>
                  </w:tcBorders>
                  <w:vAlign w:val="center"/>
                </w:tcPr>
                <w:p w14:paraId="2887149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650mm</w:t>
                  </w:r>
                </w:p>
              </w:tc>
              <w:tc>
                <w:tcPr>
                  <w:tcW w:w="1110" w:type="dxa"/>
                  <w:tcBorders>
                    <w:tl2br w:val="nil"/>
                    <w:tr2bl w:val="nil"/>
                  </w:tcBorders>
                  <w:vAlign w:val="center"/>
                </w:tcPr>
                <w:p w14:paraId="651F333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1710" w:type="dxa"/>
                  <w:tcBorders>
                    <w:tl2br w:val="nil"/>
                    <w:tr2bl w:val="nil"/>
                  </w:tcBorders>
                  <w:vAlign w:val="center"/>
                </w:tcPr>
                <w:p w14:paraId="2128EEE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669" w:type="dxa"/>
                  <w:tcBorders>
                    <w:tl2br w:val="nil"/>
                    <w:tr2bl w:val="nil"/>
                  </w:tcBorders>
                  <w:vAlign w:val="center"/>
                </w:tcPr>
                <w:p w14:paraId="5ACCBFF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783" w:type="dxa"/>
                  <w:tcBorders>
                    <w:tl2br w:val="nil"/>
                    <w:tr2bl w:val="nil"/>
                  </w:tcBorders>
                  <w:vAlign w:val="center"/>
                </w:tcPr>
                <w:p w14:paraId="2425FF1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新增</w:t>
                  </w:r>
                </w:p>
              </w:tc>
            </w:tr>
            <w:tr w14:paraId="036373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33ACCDF1">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restart"/>
                  <w:tcBorders>
                    <w:tl2br w:val="nil"/>
                    <w:tr2bl w:val="nil"/>
                  </w:tcBorders>
                  <w:vAlign w:val="center"/>
                </w:tcPr>
                <w:p w14:paraId="2F4A0CA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生产单元</w:t>
                  </w:r>
                </w:p>
              </w:tc>
              <w:tc>
                <w:tcPr>
                  <w:tcW w:w="918" w:type="dxa"/>
                  <w:vMerge w:val="restart"/>
                  <w:tcBorders>
                    <w:tl2br w:val="nil"/>
                    <w:tr2bl w:val="nil"/>
                  </w:tcBorders>
                  <w:vAlign w:val="center"/>
                </w:tcPr>
                <w:p w14:paraId="43A3023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破碎</w:t>
                  </w:r>
                </w:p>
              </w:tc>
              <w:tc>
                <w:tcPr>
                  <w:tcW w:w="2211" w:type="dxa"/>
                  <w:tcBorders>
                    <w:tl2br w:val="nil"/>
                    <w:tr2bl w:val="nil"/>
                  </w:tcBorders>
                  <w:shd w:val="clear" w:color="auto" w:fill="auto"/>
                  <w:vAlign w:val="center"/>
                </w:tcPr>
                <w:p w14:paraId="3E28F1E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颚式破碎机</w:t>
                  </w:r>
                </w:p>
              </w:tc>
              <w:tc>
                <w:tcPr>
                  <w:tcW w:w="2109" w:type="dxa"/>
                  <w:tcBorders>
                    <w:tl2br w:val="nil"/>
                    <w:tr2bl w:val="nil"/>
                  </w:tcBorders>
                  <w:shd w:val="clear" w:color="auto" w:fill="auto"/>
                  <w:vAlign w:val="center"/>
                </w:tcPr>
                <w:p w14:paraId="1C7513D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PE500*750</w:t>
                  </w:r>
                </w:p>
              </w:tc>
              <w:tc>
                <w:tcPr>
                  <w:tcW w:w="1110" w:type="dxa"/>
                  <w:tcBorders>
                    <w:tl2br w:val="nil"/>
                    <w:tr2bl w:val="nil"/>
                  </w:tcBorders>
                  <w:vAlign w:val="center"/>
                </w:tcPr>
                <w:p w14:paraId="1D96978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vAlign w:val="center"/>
                </w:tcPr>
                <w:p w14:paraId="223637A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54A2828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04BE9A9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406720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522B9EB2">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1B97395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4CD3C26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shd w:val="clear" w:color="auto" w:fill="auto"/>
                  <w:vAlign w:val="center"/>
                </w:tcPr>
                <w:p w14:paraId="7DC1297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圆锥破碎机</w:t>
                  </w:r>
                </w:p>
              </w:tc>
              <w:tc>
                <w:tcPr>
                  <w:tcW w:w="2109" w:type="dxa"/>
                  <w:tcBorders>
                    <w:tl2br w:val="nil"/>
                    <w:tr2bl w:val="nil"/>
                  </w:tcBorders>
                  <w:shd w:val="clear" w:color="auto" w:fill="auto"/>
                  <w:vAlign w:val="center"/>
                </w:tcPr>
                <w:p w14:paraId="100D129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PY1200</w:t>
                  </w:r>
                </w:p>
              </w:tc>
              <w:tc>
                <w:tcPr>
                  <w:tcW w:w="1110" w:type="dxa"/>
                  <w:tcBorders>
                    <w:tl2br w:val="nil"/>
                    <w:tr2bl w:val="nil"/>
                  </w:tcBorders>
                  <w:vAlign w:val="center"/>
                </w:tcPr>
                <w:p w14:paraId="480735A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vAlign w:val="center"/>
                </w:tcPr>
                <w:p w14:paraId="64F49DD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384B065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0FB7E73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5D05B8D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1329C888">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43DA4E4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1290136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棒磨</w:t>
                  </w:r>
                </w:p>
              </w:tc>
              <w:tc>
                <w:tcPr>
                  <w:tcW w:w="2211" w:type="dxa"/>
                  <w:tcBorders>
                    <w:tl2br w:val="nil"/>
                    <w:tr2bl w:val="nil"/>
                  </w:tcBorders>
                  <w:vAlign w:val="center"/>
                </w:tcPr>
                <w:p w14:paraId="214D4E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棒磨机</w:t>
                  </w:r>
                </w:p>
              </w:tc>
              <w:tc>
                <w:tcPr>
                  <w:tcW w:w="2109" w:type="dxa"/>
                  <w:tcBorders>
                    <w:tl2br w:val="nil"/>
                    <w:tr2bl w:val="nil"/>
                  </w:tcBorders>
                  <w:vAlign w:val="center"/>
                </w:tcPr>
                <w:p w14:paraId="67D0468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BM2400*3000</w:t>
                  </w:r>
                </w:p>
              </w:tc>
              <w:tc>
                <w:tcPr>
                  <w:tcW w:w="1110" w:type="dxa"/>
                  <w:tcBorders>
                    <w:tl2br w:val="nil"/>
                    <w:tr2bl w:val="nil"/>
                  </w:tcBorders>
                  <w:shd w:val="clear" w:color="auto" w:fill="auto"/>
                  <w:vAlign w:val="center"/>
                </w:tcPr>
                <w:p w14:paraId="4CCDF86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7401F62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shd w:val="clear" w:color="auto" w:fill="auto"/>
                  <w:vAlign w:val="center"/>
                </w:tcPr>
                <w:p w14:paraId="5729E4F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shd w:val="clear" w:color="auto" w:fill="auto"/>
                  <w:vAlign w:val="center"/>
                </w:tcPr>
                <w:p w14:paraId="383E008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利旧</w:t>
                  </w:r>
                </w:p>
              </w:tc>
            </w:tr>
            <w:tr w14:paraId="7A7599F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10C3E434">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3BB3666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0CD2C76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筛分</w:t>
                  </w:r>
                </w:p>
              </w:tc>
              <w:tc>
                <w:tcPr>
                  <w:tcW w:w="2211" w:type="dxa"/>
                  <w:tcBorders>
                    <w:tl2br w:val="nil"/>
                    <w:tr2bl w:val="nil"/>
                  </w:tcBorders>
                  <w:vAlign w:val="center"/>
                </w:tcPr>
                <w:p w14:paraId="56D6110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滚笼筛</w:t>
                  </w:r>
                </w:p>
              </w:tc>
              <w:tc>
                <w:tcPr>
                  <w:tcW w:w="2109" w:type="dxa"/>
                  <w:tcBorders>
                    <w:tl2br w:val="nil"/>
                    <w:tr2bl w:val="nil"/>
                  </w:tcBorders>
                  <w:vAlign w:val="center"/>
                </w:tcPr>
                <w:p w14:paraId="7A615F1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w:t>
                  </w:r>
                </w:p>
              </w:tc>
              <w:tc>
                <w:tcPr>
                  <w:tcW w:w="1110" w:type="dxa"/>
                  <w:tcBorders>
                    <w:tl2br w:val="nil"/>
                    <w:tr2bl w:val="nil"/>
                  </w:tcBorders>
                  <w:vAlign w:val="center"/>
                </w:tcPr>
                <w:p w14:paraId="52902C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10</w:t>
                  </w:r>
                </w:p>
              </w:tc>
              <w:tc>
                <w:tcPr>
                  <w:tcW w:w="1710" w:type="dxa"/>
                  <w:tcBorders>
                    <w:tl2br w:val="nil"/>
                    <w:tr2bl w:val="nil"/>
                  </w:tcBorders>
                  <w:vAlign w:val="center"/>
                </w:tcPr>
                <w:p w14:paraId="4C2EB69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10</w:t>
                  </w:r>
                </w:p>
              </w:tc>
              <w:tc>
                <w:tcPr>
                  <w:tcW w:w="669" w:type="dxa"/>
                  <w:tcBorders>
                    <w:tl2br w:val="nil"/>
                    <w:tr2bl w:val="nil"/>
                  </w:tcBorders>
                  <w:shd w:val="clear" w:color="auto" w:fill="auto"/>
                  <w:vAlign w:val="center"/>
                </w:tcPr>
                <w:p w14:paraId="474121B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shd w:val="clear" w:color="auto" w:fill="auto"/>
                  <w:vAlign w:val="center"/>
                </w:tcPr>
                <w:p w14:paraId="1E34C79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利旧</w:t>
                  </w:r>
                </w:p>
              </w:tc>
            </w:tr>
            <w:tr w14:paraId="234807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5113703D">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644004B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restart"/>
                  <w:tcBorders>
                    <w:tl2br w:val="nil"/>
                    <w:tr2bl w:val="nil"/>
                  </w:tcBorders>
                  <w:vAlign w:val="center"/>
                </w:tcPr>
                <w:p w14:paraId="4BF9A72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分级</w:t>
                  </w:r>
                </w:p>
              </w:tc>
              <w:tc>
                <w:tcPr>
                  <w:tcW w:w="2211" w:type="dxa"/>
                  <w:tcBorders>
                    <w:tl2br w:val="nil"/>
                    <w:tr2bl w:val="nil"/>
                  </w:tcBorders>
                  <w:vAlign w:val="center"/>
                </w:tcPr>
                <w:p w14:paraId="0208E40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水利分级机</w:t>
                  </w:r>
                </w:p>
              </w:tc>
              <w:tc>
                <w:tcPr>
                  <w:tcW w:w="2109" w:type="dxa"/>
                  <w:tcBorders>
                    <w:tl2br w:val="nil"/>
                    <w:tr2bl w:val="nil"/>
                  </w:tcBorders>
                  <w:vAlign w:val="center"/>
                </w:tcPr>
                <w:p w14:paraId="56AFAA2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3m</w:t>
                  </w:r>
                </w:p>
              </w:tc>
              <w:tc>
                <w:tcPr>
                  <w:tcW w:w="1110" w:type="dxa"/>
                  <w:tcBorders>
                    <w:tl2br w:val="nil"/>
                    <w:tr2bl w:val="nil"/>
                  </w:tcBorders>
                  <w:vAlign w:val="center"/>
                </w:tcPr>
                <w:p w14:paraId="56F5132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1710" w:type="dxa"/>
                  <w:tcBorders>
                    <w:tl2br w:val="nil"/>
                    <w:tr2bl w:val="nil"/>
                  </w:tcBorders>
                  <w:vAlign w:val="center"/>
                </w:tcPr>
                <w:p w14:paraId="7BBBB0D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669" w:type="dxa"/>
                  <w:tcBorders>
                    <w:tl2br w:val="nil"/>
                    <w:tr2bl w:val="nil"/>
                  </w:tcBorders>
                  <w:vAlign w:val="center"/>
                </w:tcPr>
                <w:p w14:paraId="3DE0CFA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0EF16D8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7280A7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62D302C1">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2A32629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038E241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vAlign w:val="center"/>
                </w:tcPr>
                <w:p w14:paraId="0977ECD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中磁机</w:t>
                  </w:r>
                </w:p>
              </w:tc>
              <w:tc>
                <w:tcPr>
                  <w:tcW w:w="2109" w:type="dxa"/>
                  <w:tcBorders>
                    <w:tl2br w:val="nil"/>
                    <w:tr2bl w:val="nil"/>
                  </w:tcBorders>
                  <w:vAlign w:val="center"/>
                </w:tcPr>
                <w:p w14:paraId="43020CE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CTG-1015</w:t>
                  </w:r>
                </w:p>
              </w:tc>
              <w:tc>
                <w:tcPr>
                  <w:tcW w:w="1110" w:type="dxa"/>
                  <w:tcBorders>
                    <w:tl2br w:val="nil"/>
                    <w:tr2bl w:val="nil"/>
                  </w:tcBorders>
                  <w:vAlign w:val="center"/>
                </w:tcPr>
                <w:p w14:paraId="50E8735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1710" w:type="dxa"/>
                  <w:tcBorders>
                    <w:tl2br w:val="nil"/>
                    <w:tr2bl w:val="nil"/>
                  </w:tcBorders>
                  <w:vAlign w:val="center"/>
                </w:tcPr>
                <w:p w14:paraId="3529B8B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669" w:type="dxa"/>
                  <w:tcBorders>
                    <w:tl2br w:val="nil"/>
                    <w:tr2bl w:val="nil"/>
                  </w:tcBorders>
                  <w:vAlign w:val="center"/>
                </w:tcPr>
                <w:p w14:paraId="10ACAA0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41CAA93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0F0E4DD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7A03E262">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6461006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1C88D85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vAlign w:val="center"/>
                </w:tcPr>
                <w:p w14:paraId="1F73AA0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高效分级机</w:t>
                  </w:r>
                </w:p>
              </w:tc>
              <w:tc>
                <w:tcPr>
                  <w:tcW w:w="2109" w:type="dxa"/>
                  <w:tcBorders>
                    <w:tl2br w:val="nil"/>
                    <w:tr2bl w:val="nil"/>
                  </w:tcBorders>
                  <w:vAlign w:val="center"/>
                </w:tcPr>
                <w:p w14:paraId="29D2C84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2.5m</w:t>
                  </w:r>
                </w:p>
              </w:tc>
              <w:tc>
                <w:tcPr>
                  <w:tcW w:w="1110" w:type="dxa"/>
                  <w:tcBorders>
                    <w:tl2br w:val="nil"/>
                    <w:tr2bl w:val="nil"/>
                  </w:tcBorders>
                  <w:vAlign w:val="center"/>
                </w:tcPr>
                <w:p w14:paraId="1A30D72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1710" w:type="dxa"/>
                  <w:tcBorders>
                    <w:tl2br w:val="nil"/>
                    <w:tr2bl w:val="nil"/>
                  </w:tcBorders>
                  <w:vAlign w:val="center"/>
                </w:tcPr>
                <w:p w14:paraId="01E8B16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669" w:type="dxa"/>
                  <w:tcBorders>
                    <w:tl2br w:val="nil"/>
                    <w:tr2bl w:val="nil"/>
                  </w:tcBorders>
                  <w:vAlign w:val="center"/>
                </w:tcPr>
                <w:p w14:paraId="39827D4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3DA1F56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0F4341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0123F197">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76BCD5B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0A72EC2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vAlign w:val="center"/>
                </w:tcPr>
                <w:p w14:paraId="4CA5AF4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旋流器</w:t>
                  </w:r>
                </w:p>
              </w:tc>
              <w:tc>
                <w:tcPr>
                  <w:tcW w:w="2109" w:type="dxa"/>
                  <w:tcBorders>
                    <w:tl2br w:val="nil"/>
                    <w:tr2bl w:val="nil"/>
                  </w:tcBorders>
                  <w:vAlign w:val="center"/>
                </w:tcPr>
                <w:p w14:paraId="639914C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sz w:val="21"/>
                      <w:szCs w:val="21"/>
                      <w:highlight w:val="none"/>
                      <w:vertAlign w:val="baseline"/>
                      <w:lang w:val="en-US" w:eastAsia="zh-CN"/>
                    </w:rPr>
                  </w:pPr>
                  <w:r>
                    <w:rPr>
                      <w:rFonts w:hint="eastAsia" w:ascii="Times New Roman" w:hAnsi="Times New Roman" w:eastAsia="宋体" w:cs="Times New Roman"/>
                      <w:b w:val="0"/>
                      <w:bCs w:val="0"/>
                      <w:color w:val="auto"/>
                      <w:spacing w:val="0"/>
                      <w:sz w:val="21"/>
                      <w:szCs w:val="21"/>
                      <w:highlight w:val="none"/>
                      <w:vertAlign w:val="baseline"/>
                      <w:lang w:val="en-US" w:eastAsia="zh-CN"/>
                    </w:rPr>
                    <w:t>φ</w:t>
                  </w:r>
                  <w:r>
                    <w:rPr>
                      <w:rFonts w:hint="default" w:ascii="Times New Roman" w:hAnsi="Times New Roman" w:eastAsia="宋体" w:cs="Times New Roman"/>
                      <w:b w:val="0"/>
                      <w:bCs w:val="0"/>
                      <w:color w:val="auto"/>
                      <w:spacing w:val="0"/>
                      <w:sz w:val="21"/>
                      <w:szCs w:val="21"/>
                      <w:highlight w:val="none"/>
                      <w:vertAlign w:val="baseline"/>
                      <w:lang w:val="en-US" w:eastAsia="zh-CN"/>
                    </w:rPr>
                    <w:t>500</w:t>
                  </w:r>
                </w:p>
              </w:tc>
              <w:tc>
                <w:tcPr>
                  <w:tcW w:w="1110" w:type="dxa"/>
                  <w:tcBorders>
                    <w:tl2br w:val="nil"/>
                    <w:tr2bl w:val="nil"/>
                  </w:tcBorders>
                  <w:vAlign w:val="center"/>
                </w:tcPr>
                <w:p w14:paraId="1C81584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sz w:val="21"/>
                      <w:szCs w:val="21"/>
                      <w:highlight w:val="none"/>
                      <w:vertAlign w:val="baseline"/>
                      <w:lang w:val="en-US" w:eastAsia="zh-CN"/>
                    </w:rPr>
                  </w:pPr>
                  <w:r>
                    <w:rPr>
                      <w:rFonts w:hint="eastAsia" w:ascii="Times New Roman" w:hAnsi="Times New Roman" w:eastAsia="宋体" w:cs="Times New Roman"/>
                      <w:b w:val="0"/>
                      <w:bCs w:val="0"/>
                      <w:color w:val="auto"/>
                      <w:spacing w:val="0"/>
                      <w:sz w:val="21"/>
                      <w:szCs w:val="21"/>
                      <w:highlight w:val="none"/>
                      <w:vertAlign w:val="baseline"/>
                      <w:lang w:val="en-US" w:eastAsia="zh-CN"/>
                    </w:rPr>
                    <w:t>1</w:t>
                  </w:r>
                </w:p>
              </w:tc>
              <w:tc>
                <w:tcPr>
                  <w:tcW w:w="1710" w:type="dxa"/>
                  <w:tcBorders>
                    <w:tl2br w:val="nil"/>
                    <w:tr2bl w:val="nil"/>
                  </w:tcBorders>
                  <w:vAlign w:val="center"/>
                </w:tcPr>
                <w:p w14:paraId="24F88F0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sz w:val="21"/>
                      <w:szCs w:val="21"/>
                      <w:highlight w:val="none"/>
                      <w:vertAlign w:val="baseline"/>
                      <w:lang w:val="en-US" w:eastAsia="zh-CN"/>
                    </w:rPr>
                  </w:pPr>
                  <w:r>
                    <w:rPr>
                      <w:rFonts w:hint="eastAsia" w:ascii="Times New Roman" w:hAnsi="Times New Roman" w:eastAsia="宋体"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0986205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5E87906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676A3BA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3D16A858">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157C973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restart"/>
                  <w:tcBorders>
                    <w:tl2br w:val="nil"/>
                    <w:tr2bl w:val="nil"/>
                  </w:tcBorders>
                  <w:vAlign w:val="center"/>
                </w:tcPr>
                <w:p w14:paraId="116217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输送</w:t>
                  </w:r>
                </w:p>
              </w:tc>
              <w:tc>
                <w:tcPr>
                  <w:tcW w:w="2211" w:type="dxa"/>
                  <w:tcBorders>
                    <w:tl2br w:val="nil"/>
                    <w:tr2bl w:val="nil"/>
                  </w:tcBorders>
                  <w:vAlign w:val="center"/>
                </w:tcPr>
                <w:p w14:paraId="0F3D524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皮带机</w:t>
                  </w:r>
                </w:p>
              </w:tc>
              <w:tc>
                <w:tcPr>
                  <w:tcW w:w="2109" w:type="dxa"/>
                  <w:tcBorders>
                    <w:tl2br w:val="nil"/>
                    <w:tr2bl w:val="nil"/>
                  </w:tcBorders>
                  <w:vAlign w:val="center"/>
                </w:tcPr>
                <w:p w14:paraId="61159EA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B650,40m</w:t>
                  </w:r>
                </w:p>
              </w:tc>
              <w:tc>
                <w:tcPr>
                  <w:tcW w:w="1110" w:type="dxa"/>
                  <w:tcBorders>
                    <w:tl2br w:val="nil"/>
                    <w:tr2bl w:val="nil"/>
                  </w:tcBorders>
                  <w:vAlign w:val="center"/>
                </w:tcPr>
                <w:p w14:paraId="72CCE1D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vAlign w:val="center"/>
                </w:tcPr>
                <w:p w14:paraId="05F58EA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4122CF9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23A85D7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12648F6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72F2C994">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2C2E51D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103377A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shd w:val="clear" w:color="auto" w:fill="auto"/>
                  <w:vAlign w:val="center"/>
                </w:tcPr>
                <w:p w14:paraId="6A67275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皮带机</w:t>
                  </w:r>
                </w:p>
              </w:tc>
              <w:tc>
                <w:tcPr>
                  <w:tcW w:w="2109" w:type="dxa"/>
                  <w:tcBorders>
                    <w:tl2br w:val="nil"/>
                    <w:tr2bl w:val="nil"/>
                  </w:tcBorders>
                  <w:shd w:val="clear" w:color="auto" w:fill="auto"/>
                  <w:vAlign w:val="center"/>
                </w:tcPr>
                <w:p w14:paraId="3C3150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B650,36m</w:t>
                  </w:r>
                </w:p>
              </w:tc>
              <w:tc>
                <w:tcPr>
                  <w:tcW w:w="1110" w:type="dxa"/>
                  <w:tcBorders>
                    <w:tl2br w:val="nil"/>
                    <w:tr2bl w:val="nil"/>
                  </w:tcBorders>
                  <w:shd w:val="clear" w:color="auto" w:fill="auto"/>
                  <w:vAlign w:val="center"/>
                </w:tcPr>
                <w:p w14:paraId="618A903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242B76C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303567B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59B9049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3B612BB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2FA47B79">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42DDBA1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45824FC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shd w:val="clear" w:color="auto" w:fill="auto"/>
                  <w:vAlign w:val="center"/>
                </w:tcPr>
                <w:p w14:paraId="765AEB5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皮带机</w:t>
                  </w:r>
                </w:p>
              </w:tc>
              <w:tc>
                <w:tcPr>
                  <w:tcW w:w="2109" w:type="dxa"/>
                  <w:tcBorders>
                    <w:tl2br w:val="nil"/>
                    <w:tr2bl w:val="nil"/>
                  </w:tcBorders>
                  <w:shd w:val="clear" w:color="auto" w:fill="auto"/>
                  <w:vAlign w:val="center"/>
                </w:tcPr>
                <w:p w14:paraId="5A5274E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B650,18m</w:t>
                  </w:r>
                </w:p>
              </w:tc>
              <w:tc>
                <w:tcPr>
                  <w:tcW w:w="1110" w:type="dxa"/>
                  <w:tcBorders>
                    <w:tl2br w:val="nil"/>
                    <w:tr2bl w:val="nil"/>
                  </w:tcBorders>
                  <w:shd w:val="clear" w:color="auto" w:fill="auto"/>
                  <w:vAlign w:val="center"/>
                </w:tcPr>
                <w:p w14:paraId="01DA2F7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6AFA40B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15EA299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6E08544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14264C1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0E324D2E">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4EC1EF6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599C5B3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vAlign w:val="center"/>
                </w:tcPr>
                <w:p w14:paraId="69B219B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胶泵</w:t>
                  </w:r>
                </w:p>
              </w:tc>
              <w:tc>
                <w:tcPr>
                  <w:tcW w:w="2109" w:type="dxa"/>
                  <w:tcBorders>
                    <w:tl2br w:val="nil"/>
                    <w:tr2bl w:val="nil"/>
                  </w:tcBorders>
                  <w:vAlign w:val="center"/>
                </w:tcPr>
                <w:p w14:paraId="0246ECD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6PNGB</w:t>
                  </w:r>
                </w:p>
              </w:tc>
              <w:tc>
                <w:tcPr>
                  <w:tcW w:w="1110" w:type="dxa"/>
                  <w:tcBorders>
                    <w:tl2br w:val="nil"/>
                    <w:tr2bl w:val="nil"/>
                  </w:tcBorders>
                  <w:vAlign w:val="center"/>
                </w:tcPr>
                <w:p w14:paraId="4BA1B3A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vAlign w:val="center"/>
                </w:tcPr>
                <w:p w14:paraId="670895B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34C36F0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2CCDD5C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453052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4FBD0175">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167A795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vMerge w:val="continue"/>
                  <w:tcBorders>
                    <w:tl2br w:val="nil"/>
                    <w:tr2bl w:val="nil"/>
                  </w:tcBorders>
                  <w:vAlign w:val="center"/>
                </w:tcPr>
                <w:p w14:paraId="28D8796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2211" w:type="dxa"/>
                  <w:tcBorders>
                    <w:tl2br w:val="nil"/>
                    <w:tr2bl w:val="nil"/>
                  </w:tcBorders>
                  <w:shd w:val="clear" w:color="auto" w:fill="auto"/>
                  <w:vAlign w:val="center"/>
                </w:tcPr>
                <w:p w14:paraId="73C9FB0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胶泵</w:t>
                  </w:r>
                </w:p>
              </w:tc>
              <w:tc>
                <w:tcPr>
                  <w:tcW w:w="2109" w:type="dxa"/>
                  <w:tcBorders>
                    <w:tl2br w:val="nil"/>
                    <w:tr2bl w:val="nil"/>
                  </w:tcBorders>
                  <w:shd w:val="clear" w:color="auto" w:fill="auto"/>
                  <w:vAlign w:val="center"/>
                </w:tcPr>
                <w:p w14:paraId="723ABA8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4PNGB</w:t>
                  </w:r>
                </w:p>
              </w:tc>
              <w:tc>
                <w:tcPr>
                  <w:tcW w:w="1110" w:type="dxa"/>
                  <w:tcBorders>
                    <w:tl2br w:val="nil"/>
                    <w:tr2bl w:val="nil"/>
                  </w:tcBorders>
                  <w:shd w:val="clear" w:color="auto" w:fill="auto"/>
                  <w:vAlign w:val="center"/>
                </w:tcPr>
                <w:p w14:paraId="22AC244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4881589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63E5413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77895B3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797D9E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4B701159">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3CF634F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18A49C8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辅助</w:t>
                  </w:r>
                </w:p>
              </w:tc>
              <w:tc>
                <w:tcPr>
                  <w:tcW w:w="2211" w:type="dxa"/>
                  <w:tcBorders>
                    <w:tl2br w:val="nil"/>
                    <w:tr2bl w:val="nil"/>
                  </w:tcBorders>
                  <w:shd w:val="clear" w:color="auto" w:fill="auto"/>
                  <w:vAlign w:val="center"/>
                </w:tcPr>
                <w:p w14:paraId="66E89C7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循环水泵</w:t>
                  </w:r>
                </w:p>
              </w:tc>
              <w:tc>
                <w:tcPr>
                  <w:tcW w:w="2109" w:type="dxa"/>
                  <w:tcBorders>
                    <w:tl2br w:val="nil"/>
                    <w:tr2bl w:val="nil"/>
                  </w:tcBorders>
                  <w:shd w:val="clear" w:color="auto" w:fill="auto"/>
                  <w:vAlign w:val="center"/>
                </w:tcPr>
                <w:p w14:paraId="41E77F3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6PNGB</w:t>
                  </w:r>
                </w:p>
              </w:tc>
              <w:tc>
                <w:tcPr>
                  <w:tcW w:w="1110" w:type="dxa"/>
                  <w:tcBorders>
                    <w:tl2br w:val="nil"/>
                    <w:tr2bl w:val="nil"/>
                  </w:tcBorders>
                  <w:shd w:val="clear" w:color="auto" w:fill="auto"/>
                  <w:vAlign w:val="center"/>
                </w:tcPr>
                <w:p w14:paraId="32BE67A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2F5C41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04836CF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43557F5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6FA0ABF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53BFF234">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restart"/>
                  <w:tcBorders>
                    <w:tl2br w:val="nil"/>
                    <w:tr2bl w:val="nil"/>
                  </w:tcBorders>
                  <w:vAlign w:val="center"/>
                </w:tcPr>
                <w:p w14:paraId="7545CDA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辅助单元</w:t>
                  </w:r>
                </w:p>
              </w:tc>
              <w:tc>
                <w:tcPr>
                  <w:tcW w:w="918" w:type="dxa"/>
                  <w:tcBorders>
                    <w:tl2br w:val="nil"/>
                    <w:tr2bl w:val="nil"/>
                  </w:tcBorders>
                  <w:vAlign w:val="center"/>
                </w:tcPr>
                <w:p w14:paraId="1862090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压滤</w:t>
                  </w:r>
                </w:p>
              </w:tc>
              <w:tc>
                <w:tcPr>
                  <w:tcW w:w="2211" w:type="dxa"/>
                  <w:tcBorders>
                    <w:tl2br w:val="nil"/>
                    <w:tr2bl w:val="nil"/>
                  </w:tcBorders>
                  <w:shd w:val="clear" w:color="auto" w:fill="auto"/>
                  <w:vAlign w:val="center"/>
                </w:tcPr>
                <w:p w14:paraId="0F4D1BA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200平自动压滤机</w:t>
                  </w:r>
                </w:p>
              </w:tc>
              <w:tc>
                <w:tcPr>
                  <w:tcW w:w="2109" w:type="dxa"/>
                  <w:tcBorders>
                    <w:tl2br w:val="nil"/>
                    <w:tr2bl w:val="nil"/>
                  </w:tcBorders>
                  <w:shd w:val="clear" w:color="auto" w:fill="auto"/>
                  <w:vAlign w:val="center"/>
                </w:tcPr>
                <w:p w14:paraId="168ADFD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XMYZ200m</w:t>
                  </w:r>
                  <w:r>
                    <w:rPr>
                      <w:rFonts w:hint="eastAsia" w:cs="Times New Roman"/>
                      <w:b w:val="0"/>
                      <w:bCs w:val="0"/>
                      <w:color w:val="auto"/>
                      <w:spacing w:val="0"/>
                      <w:sz w:val="21"/>
                      <w:szCs w:val="21"/>
                      <w:highlight w:val="none"/>
                      <w:vertAlign w:val="superscript"/>
                      <w:lang w:val="en-US" w:eastAsia="zh-CN"/>
                    </w:rPr>
                    <w:t>2</w:t>
                  </w:r>
                  <w:r>
                    <w:rPr>
                      <w:rFonts w:hint="eastAsia" w:cs="Times New Roman"/>
                      <w:b w:val="0"/>
                      <w:bCs w:val="0"/>
                      <w:color w:val="auto"/>
                      <w:spacing w:val="0"/>
                      <w:sz w:val="21"/>
                      <w:szCs w:val="21"/>
                      <w:highlight w:val="none"/>
                      <w:vertAlign w:val="baseline"/>
                      <w:lang w:val="en-US" w:eastAsia="zh-CN"/>
                    </w:rPr>
                    <w:t>-1250型</w:t>
                  </w:r>
                </w:p>
              </w:tc>
              <w:tc>
                <w:tcPr>
                  <w:tcW w:w="1110" w:type="dxa"/>
                  <w:tcBorders>
                    <w:tl2br w:val="nil"/>
                    <w:tr2bl w:val="nil"/>
                  </w:tcBorders>
                  <w:shd w:val="clear" w:color="auto" w:fill="auto"/>
                  <w:vAlign w:val="center"/>
                </w:tcPr>
                <w:p w14:paraId="0F3E98B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564F3C0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4A907F7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3A9838C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088C7D3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63B214C0">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76633A7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1952FF3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除尘</w:t>
                  </w:r>
                </w:p>
              </w:tc>
              <w:tc>
                <w:tcPr>
                  <w:tcW w:w="2211" w:type="dxa"/>
                  <w:tcBorders>
                    <w:tl2br w:val="nil"/>
                    <w:tr2bl w:val="nil"/>
                  </w:tcBorders>
                  <w:shd w:val="clear" w:color="auto" w:fill="auto"/>
                  <w:vAlign w:val="center"/>
                </w:tcPr>
                <w:p w14:paraId="4AB8C91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离线脉冲布袋除尘器（38000m</w:t>
                  </w:r>
                  <w:r>
                    <w:rPr>
                      <w:rFonts w:hint="eastAsia" w:cs="Times New Roman"/>
                      <w:b w:val="0"/>
                      <w:bCs w:val="0"/>
                      <w:color w:val="auto"/>
                      <w:spacing w:val="0"/>
                      <w:sz w:val="21"/>
                      <w:szCs w:val="21"/>
                      <w:highlight w:val="none"/>
                      <w:vertAlign w:val="superscript"/>
                      <w:lang w:val="en-US" w:eastAsia="zh-CN"/>
                    </w:rPr>
                    <w:t>3</w:t>
                  </w:r>
                  <w:r>
                    <w:rPr>
                      <w:rFonts w:hint="eastAsia" w:cs="Times New Roman"/>
                      <w:b w:val="0"/>
                      <w:bCs w:val="0"/>
                      <w:color w:val="auto"/>
                      <w:spacing w:val="0"/>
                      <w:sz w:val="21"/>
                      <w:szCs w:val="21"/>
                      <w:highlight w:val="none"/>
                      <w:vertAlign w:val="baseline"/>
                      <w:lang w:val="en-US" w:eastAsia="zh-CN"/>
                    </w:rPr>
                    <w:t>/h）</w:t>
                  </w:r>
                </w:p>
              </w:tc>
              <w:tc>
                <w:tcPr>
                  <w:tcW w:w="2109" w:type="dxa"/>
                  <w:tcBorders>
                    <w:tl2br w:val="nil"/>
                    <w:tr2bl w:val="nil"/>
                  </w:tcBorders>
                  <w:shd w:val="clear" w:color="auto" w:fill="auto"/>
                  <w:vAlign w:val="center"/>
                </w:tcPr>
                <w:p w14:paraId="506A10D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PPC64-4型</w:t>
                  </w:r>
                </w:p>
              </w:tc>
              <w:tc>
                <w:tcPr>
                  <w:tcW w:w="1110" w:type="dxa"/>
                  <w:tcBorders>
                    <w:tl2br w:val="nil"/>
                    <w:tr2bl w:val="nil"/>
                  </w:tcBorders>
                  <w:shd w:val="clear" w:color="auto" w:fill="auto"/>
                  <w:vAlign w:val="center"/>
                </w:tcPr>
                <w:p w14:paraId="4BF07B2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2C86E1D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3EB82F0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1DD6974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11F195B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40B03CDC">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06C39D0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441275F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辅助</w:t>
                  </w:r>
                </w:p>
              </w:tc>
              <w:tc>
                <w:tcPr>
                  <w:tcW w:w="2211" w:type="dxa"/>
                  <w:tcBorders>
                    <w:tl2br w:val="nil"/>
                    <w:tr2bl w:val="nil"/>
                  </w:tcBorders>
                  <w:shd w:val="clear" w:color="auto" w:fill="auto"/>
                  <w:vAlign w:val="center"/>
                </w:tcPr>
                <w:p w14:paraId="70255FA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空压机</w:t>
                  </w:r>
                </w:p>
              </w:tc>
              <w:tc>
                <w:tcPr>
                  <w:tcW w:w="2109" w:type="dxa"/>
                  <w:tcBorders>
                    <w:tl2br w:val="nil"/>
                    <w:tr2bl w:val="nil"/>
                  </w:tcBorders>
                  <w:shd w:val="clear" w:color="auto" w:fill="auto"/>
                  <w:vAlign w:val="center"/>
                </w:tcPr>
                <w:p w14:paraId="65199EE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w:t>
                  </w:r>
                </w:p>
              </w:tc>
              <w:tc>
                <w:tcPr>
                  <w:tcW w:w="1110" w:type="dxa"/>
                  <w:tcBorders>
                    <w:tl2br w:val="nil"/>
                    <w:tr2bl w:val="nil"/>
                  </w:tcBorders>
                  <w:shd w:val="clear" w:color="auto" w:fill="auto"/>
                  <w:vAlign w:val="center"/>
                </w:tcPr>
                <w:p w14:paraId="0C366A0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1710" w:type="dxa"/>
                  <w:tcBorders>
                    <w:tl2br w:val="nil"/>
                    <w:tr2bl w:val="nil"/>
                  </w:tcBorders>
                  <w:shd w:val="clear" w:color="auto" w:fill="auto"/>
                  <w:vAlign w:val="center"/>
                </w:tcPr>
                <w:p w14:paraId="4B795C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vAlign w:val="center"/>
                </w:tcPr>
                <w:p w14:paraId="759E8B4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1AF85FA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579C8EF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7CD1F54F">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3D9A617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5439D9F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运输</w:t>
                  </w:r>
                </w:p>
              </w:tc>
              <w:tc>
                <w:tcPr>
                  <w:tcW w:w="2211" w:type="dxa"/>
                  <w:tcBorders>
                    <w:tl2br w:val="nil"/>
                    <w:tr2bl w:val="nil"/>
                  </w:tcBorders>
                  <w:shd w:val="clear" w:color="auto" w:fill="auto"/>
                  <w:vAlign w:val="center"/>
                </w:tcPr>
                <w:p w14:paraId="6A897B3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装载机</w:t>
                  </w:r>
                </w:p>
              </w:tc>
              <w:tc>
                <w:tcPr>
                  <w:tcW w:w="2109" w:type="dxa"/>
                  <w:tcBorders>
                    <w:tl2br w:val="nil"/>
                    <w:tr2bl w:val="nil"/>
                  </w:tcBorders>
                  <w:shd w:val="clear" w:color="auto" w:fill="auto"/>
                  <w:vAlign w:val="center"/>
                </w:tcPr>
                <w:p w14:paraId="22736CC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w:t>
                  </w:r>
                </w:p>
              </w:tc>
              <w:tc>
                <w:tcPr>
                  <w:tcW w:w="1110" w:type="dxa"/>
                  <w:tcBorders>
                    <w:tl2br w:val="nil"/>
                    <w:tr2bl w:val="nil"/>
                  </w:tcBorders>
                  <w:shd w:val="clear" w:color="auto" w:fill="auto"/>
                  <w:vAlign w:val="center"/>
                </w:tcPr>
                <w:p w14:paraId="4FF1FA5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1710" w:type="dxa"/>
                  <w:tcBorders>
                    <w:tl2br w:val="nil"/>
                    <w:tr2bl w:val="nil"/>
                  </w:tcBorders>
                  <w:shd w:val="clear" w:color="auto" w:fill="auto"/>
                  <w:vAlign w:val="center"/>
                </w:tcPr>
                <w:p w14:paraId="75E2410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2</w:t>
                  </w:r>
                </w:p>
              </w:tc>
              <w:tc>
                <w:tcPr>
                  <w:tcW w:w="669" w:type="dxa"/>
                  <w:tcBorders>
                    <w:tl2br w:val="nil"/>
                    <w:tr2bl w:val="nil"/>
                  </w:tcBorders>
                  <w:vAlign w:val="center"/>
                </w:tcPr>
                <w:p w14:paraId="3C961B8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0</w:t>
                  </w:r>
                </w:p>
              </w:tc>
              <w:tc>
                <w:tcPr>
                  <w:tcW w:w="783" w:type="dxa"/>
                  <w:tcBorders>
                    <w:tl2br w:val="nil"/>
                    <w:tr2bl w:val="nil"/>
                  </w:tcBorders>
                  <w:vAlign w:val="center"/>
                </w:tcPr>
                <w:p w14:paraId="0ECFDB8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利旧</w:t>
                  </w:r>
                </w:p>
              </w:tc>
            </w:tr>
            <w:tr w14:paraId="040949A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2F5D440F">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1605" w:type="dxa"/>
                  <w:vMerge w:val="continue"/>
                  <w:tcBorders>
                    <w:tl2br w:val="nil"/>
                    <w:tr2bl w:val="nil"/>
                  </w:tcBorders>
                  <w:vAlign w:val="center"/>
                </w:tcPr>
                <w:p w14:paraId="3919598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p>
              </w:tc>
              <w:tc>
                <w:tcPr>
                  <w:tcW w:w="918" w:type="dxa"/>
                  <w:tcBorders>
                    <w:tl2br w:val="nil"/>
                    <w:tr2bl w:val="nil"/>
                  </w:tcBorders>
                  <w:vAlign w:val="center"/>
                </w:tcPr>
                <w:p w14:paraId="03EA4E4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除尘</w:t>
                  </w:r>
                </w:p>
              </w:tc>
              <w:tc>
                <w:tcPr>
                  <w:tcW w:w="2211" w:type="dxa"/>
                  <w:tcBorders>
                    <w:tl2br w:val="nil"/>
                    <w:tr2bl w:val="nil"/>
                  </w:tcBorders>
                  <w:shd w:val="clear" w:color="auto" w:fill="auto"/>
                  <w:vAlign w:val="center"/>
                </w:tcPr>
                <w:p w14:paraId="75D34A4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离线脉冲布袋除尘器</w:t>
                  </w:r>
                </w:p>
              </w:tc>
              <w:tc>
                <w:tcPr>
                  <w:tcW w:w="2109" w:type="dxa"/>
                  <w:tcBorders>
                    <w:tl2br w:val="nil"/>
                    <w:tr2bl w:val="nil"/>
                  </w:tcBorders>
                  <w:shd w:val="clear" w:color="auto" w:fill="auto"/>
                  <w:vAlign w:val="center"/>
                </w:tcPr>
                <w:p w14:paraId="2358FB5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auto"/>
                      <w:spacing w:val="0"/>
                      <w:sz w:val="21"/>
                      <w:szCs w:val="21"/>
                      <w:highlight w:val="none"/>
                      <w:vertAlign w:val="baseline"/>
                      <w:lang w:val="en-US" w:eastAsia="zh-CN"/>
                    </w:rPr>
                  </w:pPr>
                  <w:r>
                    <w:rPr>
                      <w:rFonts w:hint="eastAsia" w:cs="Times New Roman"/>
                      <w:b w:val="0"/>
                      <w:bCs w:val="0"/>
                      <w:color w:val="auto"/>
                      <w:spacing w:val="0"/>
                      <w:sz w:val="21"/>
                      <w:szCs w:val="21"/>
                      <w:highlight w:val="none"/>
                      <w:vertAlign w:val="baseline"/>
                      <w:lang w:val="en-US" w:eastAsia="zh-CN"/>
                    </w:rPr>
                    <w:t>风量38000m</w:t>
                  </w:r>
                  <w:r>
                    <w:rPr>
                      <w:rFonts w:hint="eastAsia" w:cs="Times New Roman"/>
                      <w:b w:val="0"/>
                      <w:bCs w:val="0"/>
                      <w:color w:val="auto"/>
                      <w:spacing w:val="0"/>
                      <w:sz w:val="21"/>
                      <w:szCs w:val="21"/>
                      <w:highlight w:val="none"/>
                      <w:vertAlign w:val="superscript"/>
                      <w:lang w:val="en-US" w:eastAsia="zh-CN"/>
                    </w:rPr>
                    <w:t>3</w:t>
                  </w:r>
                  <w:r>
                    <w:rPr>
                      <w:rFonts w:hint="eastAsia" w:cs="Times New Roman"/>
                      <w:b w:val="0"/>
                      <w:bCs w:val="0"/>
                      <w:color w:val="auto"/>
                      <w:spacing w:val="0"/>
                      <w:sz w:val="21"/>
                      <w:szCs w:val="21"/>
                      <w:highlight w:val="none"/>
                      <w:vertAlign w:val="baseline"/>
                      <w:lang w:val="en-US" w:eastAsia="zh-CN"/>
                    </w:rPr>
                    <w:t>/h</w:t>
                  </w:r>
                </w:p>
              </w:tc>
              <w:tc>
                <w:tcPr>
                  <w:tcW w:w="1110" w:type="dxa"/>
                  <w:tcBorders>
                    <w:tl2br w:val="nil"/>
                    <w:tr2bl w:val="nil"/>
                  </w:tcBorders>
                  <w:shd w:val="clear" w:color="auto" w:fill="auto"/>
                  <w:vAlign w:val="center"/>
                </w:tcPr>
                <w:p w14:paraId="34D3D50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0</w:t>
                  </w:r>
                </w:p>
              </w:tc>
              <w:tc>
                <w:tcPr>
                  <w:tcW w:w="1710" w:type="dxa"/>
                  <w:tcBorders>
                    <w:tl2br w:val="nil"/>
                    <w:tr2bl w:val="nil"/>
                  </w:tcBorders>
                  <w:shd w:val="clear" w:color="auto" w:fill="auto"/>
                  <w:vAlign w:val="center"/>
                </w:tcPr>
                <w:p w14:paraId="3A1FF66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669" w:type="dxa"/>
                  <w:tcBorders>
                    <w:tl2br w:val="nil"/>
                    <w:tr2bl w:val="nil"/>
                  </w:tcBorders>
                  <w:shd w:val="clear" w:color="auto" w:fill="auto"/>
                  <w:vAlign w:val="center"/>
                </w:tcPr>
                <w:p w14:paraId="4E20B06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+1</w:t>
                  </w:r>
                </w:p>
              </w:tc>
              <w:tc>
                <w:tcPr>
                  <w:tcW w:w="783" w:type="dxa"/>
                  <w:tcBorders>
                    <w:tl2br w:val="nil"/>
                    <w:tr2bl w:val="nil"/>
                  </w:tcBorders>
                  <w:shd w:val="clear" w:color="auto" w:fill="auto"/>
                  <w:vAlign w:val="center"/>
                </w:tcPr>
                <w:p w14:paraId="24EF287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sz w:val="21"/>
                      <w:szCs w:val="21"/>
                      <w:highlight w:val="none"/>
                      <w:vertAlign w:val="baseline"/>
                      <w:lang w:val="en-US" w:eastAsia="zh-CN"/>
                    </w:rPr>
                    <w:t>新增</w:t>
                  </w:r>
                </w:p>
              </w:tc>
            </w:tr>
          </w:tbl>
          <w:p w14:paraId="7E0D465A">
            <w:pPr>
              <w:pStyle w:val="15"/>
              <w:shd w:val="clear"/>
              <w:rPr>
                <w:color w:val="auto"/>
                <w:vertAlign w:val="baseline"/>
              </w:rPr>
            </w:pPr>
          </w:p>
        </w:tc>
      </w:tr>
    </w:tbl>
    <w:p w14:paraId="150A83DF">
      <w:pPr>
        <w:pStyle w:val="15"/>
        <w:shd w:val="clear"/>
        <w:rPr>
          <w:color w:val="auto"/>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E6E4509">
      <w:pPr>
        <w:shd w:val="clear"/>
        <w:rPr>
          <w:color w:val="auto"/>
        </w:rPr>
      </w:pPr>
    </w:p>
    <w:tbl>
      <w:tblPr>
        <w:tblStyle w:val="32"/>
        <w:tblW w:w="916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3"/>
        <w:gridCol w:w="8342"/>
      </w:tblGrid>
      <w:tr w14:paraId="731262D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381" w:hRule="atLeast"/>
          <w:jc w:val="center"/>
        </w:trPr>
        <w:tc>
          <w:tcPr>
            <w:tcW w:w="823" w:type="dxa"/>
            <w:tcBorders>
              <w:tl2br w:val="nil"/>
              <w:tr2bl w:val="nil"/>
            </w:tcBorders>
            <w:noWrap w:val="0"/>
            <w:vAlign w:val="center"/>
          </w:tcPr>
          <w:p w14:paraId="578E836E">
            <w:pPr>
              <w:pStyle w:val="43"/>
              <w:shd w:val="clear"/>
              <w:bidi w:val="0"/>
              <w:rPr>
                <w:rFonts w:hint="default" w:ascii="Times New Roman" w:hAnsi="Times New Roman" w:cs="Times New Roman"/>
                <w:color w:val="auto"/>
                <w:sz w:val="24"/>
                <w:szCs w:val="24"/>
                <w:highlight w:val="none"/>
              </w:rPr>
            </w:pPr>
          </w:p>
        </w:tc>
        <w:tc>
          <w:tcPr>
            <w:tcW w:w="8342" w:type="dxa"/>
            <w:tcBorders>
              <w:tl2br w:val="nil"/>
              <w:tr2bl w:val="nil"/>
            </w:tcBorders>
            <w:noWrap w:val="0"/>
            <w:vAlign w:val="top"/>
          </w:tcPr>
          <w:p w14:paraId="4F2527CC">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给排水</w:t>
            </w:r>
          </w:p>
          <w:p w14:paraId="148A7CC0">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本项目用水主要为新增生活用水、新增雾化喷淋用水以及新增洗车用水，新水用量为3.126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937.8</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cs="Times New Roman"/>
                <w:color w:val="auto"/>
                <w:sz w:val="24"/>
                <w:szCs w:val="24"/>
                <w:highlight w:val="none"/>
                <w:lang w:val="en-US" w:eastAsia="zh-CN"/>
              </w:rPr>
              <w:t>。</w:t>
            </w:r>
          </w:p>
          <w:p w14:paraId="5A7C9163">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⑴</w:t>
            </w:r>
            <w:r>
              <w:rPr>
                <w:rFonts w:hint="eastAsia" w:ascii="Times New Roman" w:hAnsi="Times New Roman" w:cs="Times New Roman"/>
                <w:color w:val="auto"/>
                <w:sz w:val="24"/>
                <w:szCs w:val="24"/>
                <w:highlight w:val="none"/>
                <w:lang w:eastAsia="zh-CN"/>
              </w:rPr>
              <w:t>本项目用水</w:t>
            </w:r>
          </w:p>
          <w:p w14:paraId="6ECA9A9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①生活用水</w:t>
            </w:r>
          </w:p>
          <w:p w14:paraId="463ABC7C">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本项目不设食堂、宿舍、洗浴设施，厕所为</w:t>
            </w:r>
            <w:r>
              <w:rPr>
                <w:rFonts w:hint="eastAsia" w:ascii="Times New Roman" w:hAnsi="Times New Roman" w:cs="Times New Roman"/>
                <w:color w:val="auto"/>
                <w:sz w:val="24"/>
                <w:szCs w:val="24"/>
                <w:highlight w:val="none"/>
                <w:lang w:val="en-US" w:eastAsia="zh-CN"/>
              </w:rPr>
              <w:t>防渗</w:t>
            </w:r>
            <w:r>
              <w:rPr>
                <w:rFonts w:hint="default" w:ascii="Times New Roman" w:hAnsi="Times New Roman" w:cs="Times New Roman"/>
                <w:color w:val="auto"/>
                <w:sz w:val="24"/>
                <w:szCs w:val="24"/>
                <w:highlight w:val="none"/>
                <w:lang w:val="en-US" w:eastAsia="zh-CN"/>
              </w:rPr>
              <w:t>厕所</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根据《生活与服务业用水定额第1部分：居民生活》（DB13/T5450.1-2021），并结合区域特点，</w:t>
            </w:r>
            <w:r>
              <w:rPr>
                <w:rFonts w:hint="default" w:ascii="Times New Roman" w:hAnsi="Times New Roman" w:cs="Times New Roman"/>
                <w:color w:val="auto"/>
                <w:sz w:val="24"/>
                <w:szCs w:val="24"/>
                <w:highlight w:val="none"/>
              </w:rPr>
              <w:t>职工生活用水量按</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L/人·d计，主要为饮用、盥洗用水，</w:t>
            </w:r>
            <w:r>
              <w:rPr>
                <w:rFonts w:hint="eastAsia" w:ascii="Times New Roman" w:hAnsi="Times New Roman" w:cs="Times New Roman"/>
                <w:color w:val="auto"/>
                <w:sz w:val="24"/>
                <w:szCs w:val="24"/>
                <w:highlight w:val="none"/>
                <w:lang w:eastAsia="zh-CN"/>
              </w:rPr>
              <w:t>本项目新增劳动人员</w:t>
            </w:r>
            <w:r>
              <w:rPr>
                <w:rFonts w:hint="eastAsia" w:ascii="Times New Roman" w:hAnsi="Times New Roman" w:cs="Times New Roman"/>
                <w:color w:val="auto"/>
                <w:sz w:val="24"/>
                <w:szCs w:val="24"/>
                <w:highlight w:val="none"/>
                <w:lang w:val="en-US" w:eastAsia="zh-CN"/>
              </w:rPr>
              <w:t>9人，</w:t>
            </w:r>
            <w:r>
              <w:rPr>
                <w:rFonts w:hint="default" w:ascii="Times New Roman" w:hAnsi="Times New Roman" w:cs="Times New Roman"/>
                <w:color w:val="auto"/>
                <w:sz w:val="24"/>
                <w:szCs w:val="24"/>
                <w:highlight w:val="none"/>
              </w:rPr>
              <w:t>总用水量为</w:t>
            </w:r>
            <w:r>
              <w:rPr>
                <w:rFonts w:hint="eastAsia"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09</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27</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/a），生活污水</w:t>
            </w:r>
            <w:r>
              <w:rPr>
                <w:rFonts w:hint="eastAsia" w:ascii="Times New Roman" w:hAnsi="Times New Roman" w:cs="Times New Roman"/>
                <w:color w:val="auto"/>
                <w:sz w:val="24"/>
                <w:szCs w:val="24"/>
                <w:highlight w:val="none"/>
                <w:lang w:val="en-US" w:eastAsia="zh-CN"/>
              </w:rPr>
              <w:t>按用水量的80%计，即生活污水产生量为0.</w:t>
            </w:r>
            <w:r>
              <w:rPr>
                <w:rFonts w:hint="eastAsia" w:cs="Times New Roman"/>
                <w:color w:val="auto"/>
                <w:sz w:val="24"/>
                <w:szCs w:val="24"/>
                <w:highlight w:val="none"/>
                <w:lang w:val="en-US" w:eastAsia="zh-CN"/>
              </w:rPr>
              <w:t>072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21.6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生活污水仅盥洗废水，水质简单，泼洒地面抑尘，不外排</w:t>
            </w:r>
            <w:r>
              <w:rPr>
                <w:rFonts w:hint="default" w:ascii="Times New Roman" w:hAnsi="Times New Roman" w:cs="Times New Roman"/>
                <w:color w:val="auto"/>
                <w:sz w:val="24"/>
                <w:szCs w:val="24"/>
                <w:highlight w:val="none"/>
                <w:lang w:val="en-US" w:eastAsia="zh-CN"/>
              </w:rPr>
              <w:t>。</w:t>
            </w:r>
          </w:p>
          <w:p w14:paraId="227B7FC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②</w:t>
            </w:r>
            <w:r>
              <w:rPr>
                <w:rFonts w:hint="eastAsia" w:cs="Times New Roman"/>
                <w:color w:val="auto"/>
                <w:sz w:val="24"/>
                <w:szCs w:val="24"/>
                <w:highlight w:val="none"/>
                <w:lang w:val="en-US" w:eastAsia="zh-CN"/>
              </w:rPr>
              <w:t>雾化喷淋用水</w:t>
            </w:r>
          </w:p>
          <w:p w14:paraId="6E9E3CDB">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本项目预处理车间设置雾化喷淋抑尘系统</w:t>
            </w:r>
            <w:r>
              <w:rPr>
                <w:rFonts w:hint="eastAsia" w:cs="Times New Roman"/>
                <w:color w:val="auto"/>
                <w:sz w:val="24"/>
                <w:szCs w:val="24"/>
                <w:highlight w:val="none"/>
                <w:lang w:val="en-US" w:eastAsia="zh-CN"/>
              </w:rPr>
              <w:t>和雾炮</w:t>
            </w:r>
            <w:r>
              <w:rPr>
                <w:rFonts w:hint="default" w:ascii="Times New Roman" w:hAnsi="Times New Roman" w:eastAsia="宋体" w:cs="Times New Roman"/>
                <w:color w:val="auto"/>
                <w:sz w:val="24"/>
                <w:szCs w:val="24"/>
                <w:highlight w:val="none"/>
                <w:lang w:val="en-US" w:eastAsia="zh-CN"/>
              </w:rPr>
              <w:t>，用水量为</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m³/d（</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00m³/a），喷淋</w:t>
            </w:r>
            <w:r>
              <w:rPr>
                <w:rFonts w:hint="eastAsia" w:cs="Times New Roman"/>
                <w:color w:val="auto"/>
                <w:sz w:val="24"/>
                <w:szCs w:val="24"/>
                <w:highlight w:val="none"/>
                <w:lang w:val="en-US" w:eastAsia="zh-CN"/>
              </w:rPr>
              <w:t>用水</w:t>
            </w:r>
            <w:r>
              <w:rPr>
                <w:rFonts w:hint="default" w:ascii="Times New Roman" w:hAnsi="Times New Roman" w:eastAsia="宋体" w:cs="Times New Roman"/>
                <w:color w:val="auto"/>
                <w:sz w:val="24"/>
                <w:szCs w:val="24"/>
                <w:highlight w:val="none"/>
                <w:lang w:val="en-US" w:eastAsia="zh-CN"/>
              </w:rPr>
              <w:t>全部蒸发损耗，无废水产生及外排。</w:t>
            </w:r>
          </w:p>
          <w:p w14:paraId="16021BE2">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③</w:t>
            </w:r>
            <w:r>
              <w:rPr>
                <w:rFonts w:hint="eastAsia" w:cs="Times New Roman"/>
                <w:color w:val="auto"/>
                <w:sz w:val="24"/>
                <w:szCs w:val="24"/>
                <w:highlight w:val="none"/>
                <w:lang w:val="en-US" w:eastAsia="zh-CN"/>
              </w:rPr>
              <w:t>洗车用水</w:t>
            </w:r>
          </w:p>
          <w:p w14:paraId="09649A85">
            <w:pPr>
              <w:pStyle w:val="108"/>
              <w:shd w:val="clea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本项目新增5万吨原料运输量，平均每日新增6辆运输车辆进场，</w:t>
            </w:r>
            <w:r>
              <w:rPr>
                <w:rFonts w:hint="default" w:ascii="Times New Roman" w:hAnsi="Times New Roman" w:cs="Times New Roman"/>
                <w:color w:val="auto"/>
                <w:sz w:val="24"/>
                <w:szCs w:val="24"/>
                <w:highlight w:val="none"/>
                <w:lang w:val="en-US" w:eastAsia="zh-CN"/>
              </w:rPr>
              <w:t>本次评价单个车辆进出厂区冲洗用水取30L/辆•次，</w:t>
            </w:r>
            <w:r>
              <w:rPr>
                <w:rFonts w:hint="eastAsia" w:ascii="Times New Roman" w:hAnsi="Times New Roman" w:cs="Times New Roman"/>
                <w:color w:val="auto"/>
                <w:sz w:val="24"/>
                <w:szCs w:val="24"/>
                <w:highlight w:val="none"/>
                <w:lang w:val="en-US" w:eastAsia="zh-CN"/>
              </w:rPr>
              <w:t>则</w:t>
            </w:r>
            <w:r>
              <w:rPr>
                <w:rFonts w:hint="default" w:ascii="Times New Roman" w:hAnsi="Times New Roman" w:cs="Times New Roman"/>
                <w:color w:val="auto"/>
                <w:sz w:val="24"/>
                <w:szCs w:val="24"/>
                <w:highlight w:val="none"/>
                <w:lang w:val="en-US" w:eastAsia="zh-CN"/>
              </w:rPr>
              <w:t>车辆冲洗用水量为</w:t>
            </w:r>
            <w:r>
              <w:rPr>
                <w:rFonts w:hint="eastAsia" w:ascii="Times New Roman" w:hAnsi="Times New Roman" w:cs="Times New Roman"/>
                <w:color w:val="auto"/>
                <w:sz w:val="24"/>
                <w:szCs w:val="24"/>
                <w:highlight w:val="none"/>
                <w:lang w:val="en-US" w:eastAsia="zh-CN"/>
              </w:rPr>
              <w:t>0.18</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d（</w:t>
            </w:r>
            <w:r>
              <w:rPr>
                <w:rFonts w:hint="eastAsia" w:ascii="Times New Roman" w:hAnsi="Times New Roman" w:cs="Times New Roman"/>
                <w:color w:val="auto"/>
                <w:sz w:val="24"/>
                <w:highlight w:val="none"/>
                <w:lang w:val="en-US" w:eastAsia="zh-CN"/>
              </w:rPr>
              <w:t>54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highlight w:val="none"/>
                <w:lang w:val="en-US" w:eastAsia="zh-CN"/>
              </w:rPr>
              <w:t>）。</w:t>
            </w:r>
          </w:p>
          <w:p w14:paraId="25681F72">
            <w:pPr>
              <w:pStyle w:val="108"/>
              <w:shd w:val="clea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w:t>
            </w:r>
            <w:r>
              <w:rPr>
                <w:rFonts w:hint="eastAsia" w:ascii="Times New Roman" w:hAnsi="Times New Roman" w:cs="Times New Roman"/>
                <w:color w:val="auto"/>
                <w:sz w:val="24"/>
                <w:szCs w:val="24"/>
                <w:highlight w:val="none"/>
                <w:lang w:val="en-US" w:eastAsia="zh-CN"/>
              </w:rPr>
              <w:t>依托原有</w:t>
            </w:r>
            <w:r>
              <w:rPr>
                <w:rFonts w:hint="default" w:ascii="Times New Roman" w:hAnsi="Times New Roman" w:cs="Times New Roman"/>
                <w:color w:val="auto"/>
                <w:sz w:val="24"/>
                <w:szCs w:val="24"/>
                <w:highlight w:val="none"/>
                <w:lang w:val="en-US" w:eastAsia="zh-CN"/>
              </w:rPr>
              <w:t>1座洗车平台，则洗车平台循环水量为</w:t>
            </w:r>
            <w:r>
              <w:rPr>
                <w:rFonts w:hint="eastAsia" w:ascii="Times New Roman" w:hAnsi="Times New Roman" w:cs="Times New Roman"/>
                <w:color w:val="auto"/>
                <w:sz w:val="24"/>
                <w:szCs w:val="24"/>
                <w:highlight w:val="none"/>
                <w:lang w:val="en-US" w:eastAsia="zh-CN"/>
              </w:rPr>
              <w:t>0.18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/d（</w:t>
            </w:r>
            <w:r>
              <w:rPr>
                <w:rFonts w:hint="eastAsia" w:ascii="Times New Roman" w:hAnsi="Times New Roman" w:cs="Times New Roman"/>
                <w:color w:val="auto"/>
                <w:sz w:val="24"/>
                <w:szCs w:val="24"/>
                <w:highlight w:val="none"/>
                <w:lang w:val="en-US" w:eastAsia="zh-CN"/>
              </w:rPr>
              <w:t>54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/a），洗车废水排入沉淀池后，清水进入洗车用清水池，返回洗车工序利用不外排。清洗过程中部分蒸发或损耗（以循环水量的</w:t>
            </w:r>
            <w:r>
              <w:rPr>
                <w:rFonts w:hint="eastAsia" w:ascii="Times New Roman" w:hAnsi="Times New Roman" w:cs="Times New Roman"/>
                <w:color w:val="auto"/>
                <w:sz w:val="24"/>
                <w:szCs w:val="24"/>
                <w:highlight w:val="none"/>
                <w:lang w:val="en-US" w:eastAsia="zh-CN"/>
              </w:rPr>
              <w:t>20</w:t>
            </w:r>
            <w:r>
              <w:rPr>
                <w:rFonts w:hint="default" w:ascii="Times New Roman" w:hAnsi="Times New Roman" w:cs="Times New Roman"/>
                <w:color w:val="auto"/>
                <w:sz w:val="24"/>
                <w:szCs w:val="24"/>
                <w:highlight w:val="none"/>
                <w:lang w:val="en-US" w:eastAsia="zh-CN"/>
              </w:rPr>
              <w:t>%计算），定期补充新水，定期补充新水量</w:t>
            </w:r>
            <w:r>
              <w:rPr>
                <w:rFonts w:hint="eastAsia" w:ascii="Times New Roman" w:hAnsi="Times New Roman" w:cs="Times New Roman"/>
                <w:color w:val="auto"/>
                <w:sz w:val="24"/>
                <w:szCs w:val="24"/>
                <w:highlight w:val="none"/>
                <w:lang w:val="en-US" w:eastAsia="zh-CN"/>
              </w:rPr>
              <w:t>0.036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/d（</w:t>
            </w:r>
            <w:r>
              <w:rPr>
                <w:rFonts w:hint="eastAsia" w:ascii="Times New Roman" w:hAnsi="Times New Roman" w:cs="Times New Roman"/>
                <w:color w:val="auto"/>
                <w:sz w:val="24"/>
                <w:szCs w:val="24"/>
                <w:highlight w:val="none"/>
                <w:lang w:val="en-US" w:eastAsia="zh-CN"/>
              </w:rPr>
              <w:t>10.8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p>
          <w:p w14:paraId="5C752EE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本项目水量平衡如下</w:t>
            </w:r>
            <w:r>
              <w:rPr>
                <w:rFonts w:hint="eastAsia" w:cs="Times New Roman"/>
                <w:color w:val="auto"/>
                <w:sz w:val="24"/>
                <w:szCs w:val="24"/>
                <w:highlight w:val="none"/>
                <w:lang w:val="en-US" w:eastAsia="zh-CN"/>
              </w:rPr>
              <w:t>：</w:t>
            </w:r>
          </w:p>
          <w:p w14:paraId="69DE4B9B">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both"/>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 xml:space="preserve"> </w:t>
            </w:r>
          </w:p>
          <w:p w14:paraId="4DF3CFBC">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auto"/>
                <w:sz w:val="24"/>
                <w:szCs w:val="24"/>
                <w:highlight w:val="none"/>
                <w:lang w:val="en-US" w:eastAsia="zh-CN"/>
              </w:rPr>
            </w:pPr>
          </w:p>
          <w:p w14:paraId="68B06FE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auto"/>
                <w:sz w:val="24"/>
                <w:szCs w:val="24"/>
                <w:highlight w:val="none"/>
                <w:lang w:val="en-US" w:eastAsia="zh-CN"/>
              </w:rPr>
            </w:pPr>
          </w:p>
          <w:p w14:paraId="00BAD4E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auto"/>
                <w:sz w:val="24"/>
                <w:szCs w:val="24"/>
                <w:highlight w:val="none"/>
                <w:lang w:val="en-US" w:eastAsia="zh-CN"/>
              </w:rPr>
            </w:pPr>
          </w:p>
          <w:p w14:paraId="1266000E">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auto"/>
                <w:sz w:val="24"/>
                <w:szCs w:val="24"/>
                <w:highlight w:val="none"/>
                <w:lang w:val="en-US" w:eastAsia="zh-CN"/>
              </w:rPr>
            </w:pPr>
          </w:p>
          <w:p w14:paraId="73C02B7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object>
                <v:shape id="_x0000_i1025" o:spt="75" type="#_x0000_t75" style="height:252.45pt;width:383.7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p>
          <w:p w14:paraId="034D30D4">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auto"/>
                <w:sz w:val="21"/>
                <w:szCs w:val="21"/>
                <w:lang w:val="en-US" w:eastAsia="zh-CN"/>
              </w:rPr>
            </w:pPr>
            <w:r>
              <w:rPr>
                <w:rFonts w:hint="eastAsia"/>
                <w:b/>
                <w:bCs/>
                <w:color w:val="auto"/>
                <w:sz w:val="21"/>
                <w:szCs w:val="21"/>
                <w:lang w:val="en-US" w:eastAsia="zh-CN"/>
              </w:rPr>
              <w:t>本项目水量平衡图（m</w:t>
            </w:r>
            <w:r>
              <w:rPr>
                <w:rFonts w:hint="eastAsia"/>
                <w:b/>
                <w:bCs/>
                <w:color w:val="auto"/>
                <w:sz w:val="21"/>
                <w:szCs w:val="21"/>
                <w:vertAlign w:val="superscript"/>
                <w:lang w:val="en-US" w:eastAsia="zh-CN"/>
              </w:rPr>
              <w:t>3</w:t>
            </w:r>
            <w:r>
              <w:rPr>
                <w:rFonts w:hint="eastAsia"/>
                <w:b/>
                <w:bCs/>
                <w:color w:val="auto"/>
                <w:sz w:val="21"/>
                <w:szCs w:val="21"/>
                <w:lang w:val="en-US" w:eastAsia="zh-CN"/>
              </w:rPr>
              <w:t>/d）</w:t>
            </w:r>
          </w:p>
          <w:p w14:paraId="55262367">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⑵</w:t>
            </w:r>
            <w:r>
              <w:rPr>
                <w:rFonts w:hint="eastAsia" w:ascii="Times New Roman" w:hAnsi="Times New Roman" w:eastAsia="宋体" w:cs="Times New Roman"/>
                <w:color w:val="auto"/>
                <w:sz w:val="24"/>
                <w:szCs w:val="24"/>
                <w:highlight w:val="none"/>
                <w:lang w:val="en-US" w:eastAsia="zh-CN"/>
              </w:rPr>
              <w:t>本项目技改完成后全厂用水</w:t>
            </w:r>
          </w:p>
          <w:p w14:paraId="0FF9F21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本项目建成后，全厂新水量为</w:t>
            </w:r>
            <w:r>
              <w:rPr>
                <w:rFonts w:hint="eastAsia" w:cs="Times New Roman"/>
                <w:color w:val="auto"/>
                <w:sz w:val="24"/>
                <w:szCs w:val="24"/>
                <w:highlight w:val="none"/>
                <w:lang w:val="en-US" w:eastAsia="zh-CN"/>
              </w:rPr>
              <w:t>26.826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8047.8</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cs="Times New Roman"/>
                <w:color w:val="auto"/>
                <w:sz w:val="24"/>
                <w:szCs w:val="24"/>
                <w:highlight w:val="none"/>
                <w:lang w:eastAsia="zh-CN"/>
              </w:rPr>
              <w:t>。</w:t>
            </w:r>
          </w:p>
          <w:p w14:paraId="2E7C80B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①生活用水</w:t>
            </w:r>
          </w:p>
          <w:p w14:paraId="21827DF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根据《生活与服务业用水定额第1部分：居民生活》（DB13/T5450.1-2021），并结合区域特点，</w:t>
            </w:r>
            <w:r>
              <w:rPr>
                <w:rFonts w:hint="default" w:ascii="Times New Roman" w:hAnsi="Times New Roman" w:cs="Times New Roman"/>
                <w:color w:val="auto"/>
                <w:sz w:val="24"/>
                <w:szCs w:val="24"/>
                <w:highlight w:val="none"/>
              </w:rPr>
              <w:t>职工生活用水量按</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L/人·d计，主要为饮用、盥洗用水，</w:t>
            </w:r>
            <w:r>
              <w:rPr>
                <w:rFonts w:hint="eastAsia" w:ascii="Times New Roman" w:hAnsi="Times New Roman" w:cs="Times New Roman"/>
                <w:color w:val="auto"/>
                <w:sz w:val="24"/>
                <w:szCs w:val="24"/>
                <w:highlight w:val="none"/>
                <w:lang w:eastAsia="zh-CN"/>
              </w:rPr>
              <w:t>本项目技改完成后全厂劳动人员</w:t>
            </w:r>
            <w:r>
              <w:rPr>
                <w:rFonts w:hint="eastAsia" w:ascii="Times New Roman" w:hAnsi="Times New Roman" w:cs="Times New Roman"/>
                <w:color w:val="auto"/>
                <w:sz w:val="24"/>
                <w:szCs w:val="24"/>
                <w:highlight w:val="none"/>
                <w:lang w:val="en-US" w:eastAsia="zh-CN"/>
              </w:rPr>
              <w:t>39人，</w:t>
            </w:r>
            <w:r>
              <w:rPr>
                <w:rFonts w:hint="default" w:ascii="Times New Roman" w:hAnsi="Times New Roman" w:cs="Times New Roman"/>
                <w:color w:val="auto"/>
                <w:sz w:val="24"/>
                <w:szCs w:val="24"/>
                <w:highlight w:val="none"/>
              </w:rPr>
              <w:t>总用水量为</w:t>
            </w:r>
            <w:r>
              <w:rPr>
                <w:rFonts w:hint="eastAsia"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39</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117</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/a），生活污水</w:t>
            </w:r>
            <w:r>
              <w:rPr>
                <w:rFonts w:hint="eastAsia" w:ascii="Times New Roman" w:hAnsi="Times New Roman" w:cs="Times New Roman"/>
                <w:color w:val="auto"/>
                <w:sz w:val="24"/>
                <w:szCs w:val="24"/>
                <w:highlight w:val="none"/>
                <w:lang w:val="en-US" w:eastAsia="zh-CN"/>
              </w:rPr>
              <w:t>按用水量的80%计，即生活污水产生量为0.312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93.6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生活污水仅盥洗废水，水质简单，泼洒地面抑尘，不外排</w:t>
            </w:r>
            <w:r>
              <w:rPr>
                <w:rFonts w:hint="default" w:ascii="Times New Roman" w:hAnsi="Times New Roman" w:cs="Times New Roman"/>
                <w:color w:val="auto"/>
                <w:sz w:val="24"/>
                <w:szCs w:val="24"/>
                <w:highlight w:val="none"/>
                <w:lang w:val="en-US" w:eastAsia="zh-CN"/>
              </w:rPr>
              <w:t>。</w:t>
            </w:r>
          </w:p>
          <w:p w14:paraId="6F99368C">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②生产用水</w:t>
            </w:r>
          </w:p>
          <w:p w14:paraId="690FF277">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项目技改完成后，全厂</w:t>
            </w:r>
            <w:r>
              <w:rPr>
                <w:rFonts w:hint="default" w:ascii="Times New Roman" w:hAnsi="Times New Roman" w:cs="Times New Roman"/>
                <w:color w:val="auto"/>
                <w:sz w:val="24"/>
                <w:szCs w:val="24"/>
                <w:highlight w:val="none"/>
                <w:lang w:val="en-US" w:eastAsia="zh-CN"/>
              </w:rPr>
              <w:t>生产用水量10</w:t>
            </w:r>
            <w:r>
              <w:rPr>
                <w:rFonts w:hint="eastAsia" w:cs="Times New Roman"/>
                <w:color w:val="auto"/>
                <w:sz w:val="24"/>
                <w:szCs w:val="24"/>
                <w:highlight w:val="none"/>
                <w:lang w:val="en-US" w:eastAsia="zh-CN"/>
              </w:rPr>
              <w:t>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/d</w:t>
            </w:r>
            <w:r>
              <w:rPr>
                <w:rFonts w:hint="eastAsia" w:cs="Times New Roman"/>
                <w:color w:val="auto"/>
                <w:sz w:val="24"/>
                <w:szCs w:val="24"/>
                <w:highlight w:val="none"/>
                <w:lang w:val="en-US" w:eastAsia="zh-CN"/>
              </w:rPr>
              <w:t>（300000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a</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，主要用于棒磨等工序，其中循环用水9</w:t>
            </w:r>
            <w:r>
              <w:rPr>
                <w:rFonts w:hint="eastAsia" w:cs="Times New Roman"/>
                <w:color w:val="auto"/>
                <w:sz w:val="24"/>
                <w:szCs w:val="24"/>
                <w:highlight w:val="none"/>
                <w:lang w:val="en-US" w:eastAsia="zh-CN"/>
              </w:rPr>
              <w:t>80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294000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val="en-US" w:eastAsia="zh-CN"/>
              </w:rPr>
              <w:t>，棒磨等工序补充新鲜水</w:t>
            </w:r>
            <w:r>
              <w:rPr>
                <w:rFonts w:hint="eastAsia" w:cs="Times New Roman"/>
                <w:color w:val="auto"/>
                <w:sz w:val="24"/>
                <w:szCs w:val="24"/>
                <w:highlight w:val="none"/>
                <w:lang w:val="en-US" w:eastAsia="zh-CN"/>
              </w:rPr>
              <w:t>20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6000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物料带入20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6000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尾矿砂带走5m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1500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cs="Times New Roman"/>
                <w:color w:val="auto"/>
                <w:sz w:val="24"/>
                <w:szCs w:val="24"/>
                <w:highlight w:val="none"/>
                <w:lang w:val="en-US" w:eastAsia="zh-CN"/>
              </w:rPr>
              <w:t>，</w:t>
            </w:r>
          </w:p>
          <w:p w14:paraId="4CA7BCA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0" w:firstLineChars="0"/>
              <w:jc w:val="both"/>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成品带走15m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4500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蒸发或损耗</w:t>
            </w:r>
            <w:r>
              <w:rPr>
                <w:rFonts w:hint="eastAsia" w:cs="Times New Roman"/>
                <w:color w:val="auto"/>
                <w:sz w:val="24"/>
                <w:szCs w:val="24"/>
                <w:highlight w:val="none"/>
                <w:lang w:val="en-US" w:eastAsia="zh-CN"/>
              </w:rPr>
              <w:t>20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6000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无废水外排</w:t>
            </w:r>
            <w:r>
              <w:rPr>
                <w:rFonts w:hint="eastAsia" w:cs="Times New Roman"/>
                <w:color w:val="auto"/>
                <w:sz w:val="24"/>
                <w:szCs w:val="24"/>
                <w:highlight w:val="none"/>
                <w:lang w:val="en-US" w:eastAsia="zh-CN"/>
              </w:rPr>
              <w:t>。</w:t>
            </w:r>
          </w:p>
          <w:p w14:paraId="4D4FD63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ascii="宋体" w:hAnsi="宋体" w:eastAsia="宋体" w:cs="宋体"/>
                <w:b w:val="0"/>
                <w:bCs w:val="0"/>
                <w:i w:val="0"/>
                <w:iCs w:val="0"/>
                <w:color w:val="auto"/>
                <w:sz w:val="24"/>
                <w:szCs w:val="24"/>
              </w:rPr>
            </w:pPr>
            <w:r>
              <w:rPr>
                <w:rFonts w:hint="default" w:ascii="Times New Roman" w:hAnsi="Times New Roman" w:eastAsia="宋体" w:cs="Times New Roman"/>
                <w:color w:val="auto"/>
                <w:sz w:val="24"/>
                <w:szCs w:val="24"/>
                <w:highlight w:val="none"/>
                <w:lang w:val="en-US" w:eastAsia="zh-CN"/>
              </w:rPr>
              <w:t>③</w:t>
            </w:r>
            <w:r>
              <w:rPr>
                <w:rFonts w:hint="eastAsia" w:cs="Times New Roman"/>
                <w:color w:val="auto"/>
                <w:sz w:val="24"/>
                <w:szCs w:val="24"/>
                <w:highlight w:val="none"/>
                <w:lang w:val="en-US" w:eastAsia="zh-CN"/>
              </w:rPr>
              <w:t>雾化喷淋用水</w:t>
            </w:r>
          </w:p>
          <w:p w14:paraId="39FBEE8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技改完成后，全厂雾化喷淋</w:t>
            </w:r>
            <w:r>
              <w:rPr>
                <w:rFonts w:hint="default" w:ascii="Times New Roman" w:hAnsi="Times New Roman" w:eastAsia="宋体" w:cs="Times New Roman"/>
                <w:color w:val="auto"/>
                <w:sz w:val="24"/>
                <w:szCs w:val="24"/>
                <w:highlight w:val="none"/>
                <w:lang w:val="en-US" w:eastAsia="zh-CN"/>
              </w:rPr>
              <w:t>用水量为</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m³/d（</w:t>
            </w:r>
            <w:r>
              <w:rPr>
                <w:rFonts w:hint="eastAsia"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lang w:val="en-US" w:eastAsia="zh-CN"/>
              </w:rPr>
              <w:t>00m³/a），喷淋废水全部蒸发损耗，无废水产生及外排。</w:t>
            </w:r>
          </w:p>
          <w:p w14:paraId="26EBBA3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w:t>
            </w:r>
            <w:r>
              <w:rPr>
                <w:rFonts w:hint="eastAsia" w:cs="Times New Roman"/>
                <w:color w:val="auto"/>
                <w:sz w:val="24"/>
                <w:szCs w:val="24"/>
                <w:highlight w:val="none"/>
                <w:lang w:val="en-US" w:eastAsia="zh-CN"/>
              </w:rPr>
              <w:t>洗车用水</w:t>
            </w:r>
          </w:p>
          <w:p w14:paraId="31FA9B9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技改完成后，全厂洗车用水量2.18</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d（</w:t>
            </w:r>
            <w:r>
              <w:rPr>
                <w:rFonts w:hint="eastAsia" w:ascii="Times New Roman" w:hAnsi="Times New Roman" w:cs="Times New Roman"/>
                <w:color w:val="auto"/>
                <w:sz w:val="24"/>
                <w:highlight w:val="none"/>
                <w:lang w:val="en-US" w:eastAsia="zh-CN"/>
              </w:rPr>
              <w:t>54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，循环水量为</w:t>
            </w:r>
            <w:r>
              <w:rPr>
                <w:rFonts w:hint="eastAsia" w:cs="Times New Roman"/>
                <w:color w:val="auto"/>
                <w:sz w:val="24"/>
                <w:szCs w:val="24"/>
                <w:highlight w:val="none"/>
                <w:lang w:val="en-US" w:eastAsia="zh-CN"/>
              </w:rPr>
              <w:t>1.744</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d（</w:t>
            </w:r>
            <w:r>
              <w:rPr>
                <w:rFonts w:hint="eastAsia" w:ascii="Times New Roman" w:hAnsi="Times New Roman" w:cs="Times New Roman"/>
                <w:color w:val="auto"/>
                <w:sz w:val="24"/>
                <w:highlight w:val="none"/>
                <w:lang w:val="en-US" w:eastAsia="zh-CN"/>
              </w:rPr>
              <w:t>523.2</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szCs w:val="24"/>
                <w:highlight w:val="none"/>
                <w:lang w:val="en-US" w:eastAsia="zh-CN"/>
              </w:rPr>
              <w:t>清洗过程中部分蒸发或损耗（以循环水量的</w:t>
            </w:r>
            <w:r>
              <w:rPr>
                <w:rFonts w:hint="eastAsia" w:ascii="Times New Roman" w:hAnsi="Times New Roman" w:cs="Times New Roman"/>
                <w:color w:val="auto"/>
                <w:sz w:val="24"/>
                <w:szCs w:val="24"/>
                <w:highlight w:val="none"/>
                <w:lang w:val="en-US" w:eastAsia="zh-CN"/>
              </w:rPr>
              <w:t>20</w:t>
            </w:r>
            <w:r>
              <w:rPr>
                <w:rFonts w:hint="default" w:ascii="Times New Roman" w:hAnsi="Times New Roman" w:cs="Times New Roman"/>
                <w:color w:val="auto"/>
                <w:sz w:val="24"/>
                <w:szCs w:val="24"/>
                <w:highlight w:val="none"/>
                <w:lang w:val="en-US" w:eastAsia="zh-CN"/>
              </w:rPr>
              <w:t>%计算）水量为0.4</w:t>
            </w:r>
            <w:r>
              <w:rPr>
                <w:rFonts w:hint="eastAsia" w:cs="Times New Roman"/>
                <w:color w:val="auto"/>
                <w:sz w:val="24"/>
                <w:szCs w:val="24"/>
                <w:highlight w:val="none"/>
                <w:lang w:val="en-US" w:eastAsia="zh-CN"/>
              </w:rPr>
              <w:t>36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130.8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szCs w:val="24"/>
                <w:highlight w:val="none"/>
                <w:lang w:val="en-US" w:eastAsia="zh-CN"/>
              </w:rPr>
              <w:t>，补充新水量0.4</w:t>
            </w:r>
            <w:r>
              <w:rPr>
                <w:rFonts w:hint="eastAsia" w:cs="Times New Roman"/>
                <w:color w:val="auto"/>
                <w:sz w:val="24"/>
                <w:szCs w:val="24"/>
                <w:highlight w:val="none"/>
                <w:lang w:val="en-US" w:eastAsia="zh-CN"/>
              </w:rPr>
              <w:t>36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130.8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szCs w:val="24"/>
                <w:highlight w:val="none"/>
                <w:lang w:val="en-US" w:eastAsia="zh-CN"/>
              </w:rPr>
              <w:t>。</w:t>
            </w:r>
          </w:p>
          <w:p w14:paraId="7F36D963">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本项目建成后全厂水量平衡图如下：</w:t>
            </w:r>
          </w:p>
          <w:p w14:paraId="526EFDF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object>
                <v:shape id="_x0000_i1026" o:spt="75" type="#_x0000_t75" style="height:320.6pt;width:373.9pt;" o:ole="t" filled="f" o:preferrelative="t" stroked="f" coordsize="21600,21600">
                  <v:path/>
                  <v:fill on="f" focussize="0,0"/>
                  <v:stroke on="f"/>
                  <v:imagedata r:id="rId13" o:title=""/>
                  <o:lock v:ext="edit" aspectratio="f"/>
                  <w10:wrap type="none"/>
                  <w10:anchorlock/>
                </v:shape>
                <o:OLEObject Type="Embed" ProgID="Visio.Drawing.11" ShapeID="_x0000_i1026" DrawAspect="Content" ObjectID="_1468075726" r:id="rId12">
                  <o:LockedField>false</o:LockedField>
                </o:OLEObject>
              </w:object>
            </w:r>
          </w:p>
          <w:p w14:paraId="0A415CC5">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auto"/>
                <w:sz w:val="21"/>
                <w:szCs w:val="21"/>
                <w:lang w:val="en-US" w:eastAsia="zh-CN"/>
              </w:rPr>
            </w:pPr>
            <w:r>
              <w:rPr>
                <w:rFonts w:hint="eastAsia"/>
                <w:b/>
                <w:bCs/>
                <w:color w:val="auto"/>
                <w:sz w:val="21"/>
                <w:szCs w:val="21"/>
                <w:lang w:val="en-US" w:eastAsia="zh-CN"/>
              </w:rPr>
              <w:t>本项目建成后全厂水量平衡图（m</w:t>
            </w:r>
            <w:r>
              <w:rPr>
                <w:rFonts w:hint="eastAsia"/>
                <w:b/>
                <w:bCs/>
                <w:color w:val="auto"/>
                <w:sz w:val="21"/>
                <w:szCs w:val="21"/>
                <w:vertAlign w:val="superscript"/>
                <w:lang w:val="en-US" w:eastAsia="zh-CN"/>
              </w:rPr>
              <w:t>3</w:t>
            </w:r>
            <w:r>
              <w:rPr>
                <w:rFonts w:hint="eastAsia"/>
                <w:b/>
                <w:bCs/>
                <w:color w:val="auto"/>
                <w:sz w:val="21"/>
                <w:szCs w:val="21"/>
                <w:lang w:val="en-US" w:eastAsia="zh-CN"/>
              </w:rPr>
              <w:t>/d）</w:t>
            </w:r>
          </w:p>
          <w:p w14:paraId="752A2F8D">
            <w:pPr>
              <w:keepNext w:val="0"/>
              <w:keepLines w:val="0"/>
              <w:pageBreakBefore w:val="0"/>
              <w:numPr>
                <w:ilvl w:val="0"/>
                <w:numId w:val="11"/>
              </w:numPr>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本项目设备产能及设备工作时间</w:t>
            </w:r>
          </w:p>
          <w:p w14:paraId="59867D2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本项目产能及工作时间</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962"/>
              <w:gridCol w:w="2004"/>
              <w:gridCol w:w="1281"/>
              <w:gridCol w:w="1685"/>
              <w:gridCol w:w="1484"/>
            </w:tblGrid>
            <w:tr w14:paraId="6F3A9E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85" w:hRule="atLeast"/>
                <w:jc w:val="center"/>
              </w:trPr>
              <w:tc>
                <w:tcPr>
                  <w:tcW w:w="962" w:type="dxa"/>
                  <w:tcBorders>
                    <w:tl2br w:val="nil"/>
                    <w:tr2bl w:val="nil"/>
                  </w:tcBorders>
                  <w:vAlign w:val="center"/>
                </w:tcPr>
                <w:p w14:paraId="7C8A6B6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序号</w:t>
                  </w:r>
                </w:p>
              </w:tc>
              <w:tc>
                <w:tcPr>
                  <w:tcW w:w="2004" w:type="dxa"/>
                  <w:tcBorders>
                    <w:tl2br w:val="nil"/>
                    <w:tr2bl w:val="nil"/>
                  </w:tcBorders>
                  <w:vAlign w:val="center"/>
                </w:tcPr>
                <w:p w14:paraId="1156651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设备名称</w:t>
                  </w:r>
                </w:p>
              </w:tc>
              <w:tc>
                <w:tcPr>
                  <w:tcW w:w="1281" w:type="dxa"/>
                  <w:tcBorders>
                    <w:tl2br w:val="nil"/>
                    <w:tr2bl w:val="nil"/>
                  </w:tcBorders>
                  <w:shd w:val="clear" w:color="auto" w:fill="auto"/>
                  <w:vAlign w:val="center"/>
                </w:tcPr>
                <w:p w14:paraId="2420C1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eastAsia="zh-CN"/>
                    </w:rPr>
                    <w:t>处理能力（</w:t>
                  </w:r>
                  <w:r>
                    <w:rPr>
                      <w:rFonts w:hint="eastAsia" w:ascii="Times New Roman" w:hAnsi="Times New Roman" w:eastAsia="宋体" w:cs="Times New Roman"/>
                      <w:color w:val="auto"/>
                      <w:sz w:val="21"/>
                      <w:szCs w:val="21"/>
                      <w:highlight w:val="none"/>
                      <w:vertAlign w:val="baseline"/>
                      <w:lang w:val="en-US" w:eastAsia="zh-CN"/>
                    </w:rPr>
                    <w:t>t/h</w:t>
                  </w:r>
                  <w:r>
                    <w:rPr>
                      <w:rFonts w:hint="eastAsia" w:ascii="Times New Roman" w:hAnsi="Times New Roman" w:eastAsia="宋体" w:cs="Times New Roman"/>
                      <w:color w:val="auto"/>
                      <w:sz w:val="21"/>
                      <w:szCs w:val="21"/>
                      <w:highlight w:val="none"/>
                      <w:vertAlign w:val="baseline"/>
                      <w:lang w:eastAsia="zh-CN"/>
                    </w:rPr>
                    <w:t>）</w:t>
                  </w:r>
                </w:p>
              </w:tc>
              <w:tc>
                <w:tcPr>
                  <w:tcW w:w="1685" w:type="dxa"/>
                  <w:tcBorders>
                    <w:tl2br w:val="nil"/>
                    <w:tr2bl w:val="nil"/>
                  </w:tcBorders>
                  <w:shd w:val="clear" w:color="auto" w:fill="auto"/>
                  <w:vAlign w:val="center"/>
                </w:tcPr>
                <w:p w14:paraId="6023F59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eastAsia="zh-CN"/>
                    </w:rPr>
                    <w:t>年处理</w:t>
                  </w:r>
                  <w:r>
                    <w:rPr>
                      <w:rFonts w:hint="eastAsia" w:ascii="Times New Roman" w:hAnsi="Times New Roman" w:eastAsia="宋体" w:cs="Times New Roman"/>
                      <w:color w:val="auto"/>
                      <w:sz w:val="21"/>
                      <w:szCs w:val="21"/>
                      <w:highlight w:val="none"/>
                      <w:vertAlign w:val="baseline"/>
                      <w:lang w:val="en-US" w:eastAsia="zh-CN"/>
                    </w:rPr>
                    <w:t>量</w:t>
                  </w:r>
                </w:p>
                <w:p w14:paraId="149F986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（万t/a）</w:t>
                  </w:r>
                </w:p>
              </w:tc>
              <w:tc>
                <w:tcPr>
                  <w:tcW w:w="1484" w:type="dxa"/>
                  <w:tcBorders>
                    <w:tl2br w:val="nil"/>
                    <w:tr2bl w:val="nil"/>
                  </w:tcBorders>
                  <w:shd w:val="clear" w:color="auto" w:fill="auto"/>
                  <w:vAlign w:val="center"/>
                </w:tcPr>
                <w:p w14:paraId="51EFBDF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年工作时间（</w:t>
                  </w:r>
                  <w:r>
                    <w:rPr>
                      <w:rFonts w:hint="eastAsia" w:ascii="Times New Roman" w:hAnsi="Times New Roman" w:eastAsia="宋体" w:cs="Times New Roman"/>
                      <w:color w:val="auto"/>
                      <w:sz w:val="21"/>
                      <w:szCs w:val="21"/>
                      <w:highlight w:val="none"/>
                      <w:vertAlign w:val="baseline"/>
                      <w:lang w:val="en-US" w:eastAsia="zh-CN"/>
                    </w:rPr>
                    <w:t>h/a</w:t>
                  </w:r>
                  <w:r>
                    <w:rPr>
                      <w:rFonts w:hint="eastAsia" w:ascii="Times New Roman" w:hAnsi="Times New Roman" w:eastAsia="宋体" w:cs="Times New Roman"/>
                      <w:color w:val="auto"/>
                      <w:sz w:val="21"/>
                      <w:szCs w:val="21"/>
                      <w:highlight w:val="none"/>
                      <w:vertAlign w:val="baseline"/>
                      <w:lang w:eastAsia="zh-CN"/>
                    </w:rPr>
                    <w:t>）</w:t>
                  </w:r>
                </w:p>
              </w:tc>
            </w:tr>
            <w:tr w14:paraId="73A036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0" w:hRule="atLeast"/>
                <w:jc w:val="center"/>
              </w:trPr>
              <w:tc>
                <w:tcPr>
                  <w:tcW w:w="962" w:type="dxa"/>
                  <w:tcBorders>
                    <w:tl2br w:val="nil"/>
                    <w:tr2bl w:val="nil"/>
                  </w:tcBorders>
                  <w:vAlign w:val="center"/>
                </w:tcPr>
                <w:p w14:paraId="29679CB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p>
              </w:tc>
              <w:tc>
                <w:tcPr>
                  <w:tcW w:w="2004" w:type="dxa"/>
                  <w:tcBorders>
                    <w:tl2br w:val="nil"/>
                    <w:tr2bl w:val="nil"/>
                  </w:tcBorders>
                  <w:vAlign w:val="center"/>
                </w:tcPr>
                <w:p w14:paraId="56E24F5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颚式破碎机</w:t>
                  </w:r>
                </w:p>
              </w:tc>
              <w:tc>
                <w:tcPr>
                  <w:tcW w:w="1281" w:type="dxa"/>
                  <w:tcBorders>
                    <w:tl2br w:val="nil"/>
                    <w:tr2bl w:val="nil"/>
                  </w:tcBorders>
                  <w:shd w:val="clear" w:color="auto" w:fill="auto"/>
                  <w:vAlign w:val="center"/>
                </w:tcPr>
                <w:p w14:paraId="73B8812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40</w:t>
                  </w:r>
                </w:p>
              </w:tc>
              <w:tc>
                <w:tcPr>
                  <w:tcW w:w="1685" w:type="dxa"/>
                  <w:tcBorders>
                    <w:tl2br w:val="nil"/>
                    <w:tr2bl w:val="nil"/>
                  </w:tcBorders>
                  <w:shd w:val="clear" w:color="auto" w:fill="auto"/>
                  <w:vAlign w:val="center"/>
                </w:tcPr>
                <w:p w14:paraId="7B3FFD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w:t>
                  </w:r>
                </w:p>
              </w:tc>
              <w:tc>
                <w:tcPr>
                  <w:tcW w:w="1484" w:type="dxa"/>
                  <w:tcBorders>
                    <w:tl2br w:val="nil"/>
                    <w:tr2bl w:val="nil"/>
                  </w:tcBorders>
                  <w:shd w:val="clear" w:color="auto" w:fill="auto"/>
                  <w:vAlign w:val="center"/>
                </w:tcPr>
                <w:p w14:paraId="7FF94C3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2250</w:t>
                  </w:r>
                </w:p>
              </w:tc>
            </w:tr>
            <w:tr w14:paraId="251310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0" w:hRule="atLeast"/>
                <w:jc w:val="center"/>
              </w:trPr>
              <w:tc>
                <w:tcPr>
                  <w:tcW w:w="962" w:type="dxa"/>
                  <w:tcBorders>
                    <w:tl2br w:val="nil"/>
                    <w:tr2bl w:val="nil"/>
                  </w:tcBorders>
                  <w:vAlign w:val="center"/>
                </w:tcPr>
                <w:p w14:paraId="0E2D64A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w:t>
                  </w:r>
                </w:p>
              </w:tc>
              <w:tc>
                <w:tcPr>
                  <w:tcW w:w="2004" w:type="dxa"/>
                  <w:tcBorders>
                    <w:tl2br w:val="nil"/>
                    <w:tr2bl w:val="nil"/>
                  </w:tcBorders>
                  <w:vAlign w:val="center"/>
                </w:tcPr>
                <w:p w14:paraId="248681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圆锥破碎机</w:t>
                  </w:r>
                </w:p>
              </w:tc>
              <w:tc>
                <w:tcPr>
                  <w:tcW w:w="1281" w:type="dxa"/>
                  <w:tcBorders>
                    <w:tl2br w:val="nil"/>
                    <w:tr2bl w:val="nil"/>
                  </w:tcBorders>
                  <w:shd w:val="clear" w:color="auto" w:fill="auto"/>
                  <w:vAlign w:val="center"/>
                </w:tcPr>
                <w:p w14:paraId="6D56861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40</w:t>
                  </w:r>
                </w:p>
              </w:tc>
              <w:tc>
                <w:tcPr>
                  <w:tcW w:w="1685" w:type="dxa"/>
                  <w:tcBorders>
                    <w:tl2br w:val="nil"/>
                    <w:tr2bl w:val="nil"/>
                  </w:tcBorders>
                  <w:shd w:val="clear" w:color="auto" w:fill="auto"/>
                  <w:vAlign w:val="center"/>
                </w:tcPr>
                <w:p w14:paraId="3FFFDC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w:t>
                  </w:r>
                </w:p>
              </w:tc>
              <w:tc>
                <w:tcPr>
                  <w:tcW w:w="1484" w:type="dxa"/>
                  <w:tcBorders>
                    <w:tl2br w:val="nil"/>
                    <w:tr2bl w:val="nil"/>
                  </w:tcBorders>
                  <w:shd w:val="clear" w:color="auto" w:fill="auto"/>
                  <w:vAlign w:val="center"/>
                </w:tcPr>
                <w:p w14:paraId="66FB1E6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2250</w:t>
                  </w:r>
                </w:p>
              </w:tc>
            </w:tr>
            <w:tr w14:paraId="7346C25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8" w:hRule="atLeast"/>
                <w:jc w:val="center"/>
              </w:trPr>
              <w:tc>
                <w:tcPr>
                  <w:tcW w:w="962" w:type="dxa"/>
                  <w:tcBorders>
                    <w:tl2br w:val="nil"/>
                    <w:tr2bl w:val="nil"/>
                  </w:tcBorders>
                  <w:vAlign w:val="center"/>
                </w:tcPr>
                <w:p w14:paraId="2A3356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p>
              </w:tc>
              <w:tc>
                <w:tcPr>
                  <w:tcW w:w="2004" w:type="dxa"/>
                  <w:tcBorders>
                    <w:tl2br w:val="nil"/>
                    <w:tr2bl w:val="nil"/>
                  </w:tcBorders>
                  <w:vAlign w:val="center"/>
                </w:tcPr>
                <w:p w14:paraId="253CFA5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往复式摇筛</w:t>
                  </w:r>
                </w:p>
              </w:tc>
              <w:tc>
                <w:tcPr>
                  <w:tcW w:w="1281" w:type="dxa"/>
                  <w:tcBorders>
                    <w:tl2br w:val="nil"/>
                    <w:tr2bl w:val="nil"/>
                  </w:tcBorders>
                  <w:shd w:val="clear" w:color="auto" w:fill="auto"/>
                  <w:vAlign w:val="center"/>
                </w:tcPr>
                <w:p w14:paraId="45E47B0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40</w:t>
                  </w:r>
                </w:p>
              </w:tc>
              <w:tc>
                <w:tcPr>
                  <w:tcW w:w="1685" w:type="dxa"/>
                  <w:tcBorders>
                    <w:tl2br w:val="nil"/>
                    <w:tr2bl w:val="nil"/>
                  </w:tcBorders>
                  <w:shd w:val="clear" w:color="auto" w:fill="auto"/>
                  <w:vAlign w:val="center"/>
                </w:tcPr>
                <w:p w14:paraId="479BBFE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w:t>
                  </w:r>
                </w:p>
              </w:tc>
              <w:tc>
                <w:tcPr>
                  <w:tcW w:w="1484" w:type="dxa"/>
                  <w:tcBorders>
                    <w:tl2br w:val="nil"/>
                    <w:tr2bl w:val="nil"/>
                  </w:tcBorders>
                  <w:shd w:val="clear" w:color="auto" w:fill="auto"/>
                  <w:vAlign w:val="center"/>
                </w:tcPr>
                <w:p w14:paraId="7146F7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2250</w:t>
                  </w:r>
                </w:p>
              </w:tc>
            </w:tr>
          </w:tbl>
          <w:p w14:paraId="79ABD398">
            <w:pPr>
              <w:keepNext w:val="0"/>
              <w:keepLines w:val="0"/>
              <w:pageBreakBefore w:val="0"/>
              <w:numPr>
                <w:ilvl w:val="0"/>
                <w:numId w:val="11"/>
              </w:numPr>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取暖：</w:t>
            </w: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生产区域不设取暖设施，办公取暖采用单体空调</w:t>
            </w:r>
            <w:r>
              <w:rPr>
                <w:rFonts w:hint="default" w:ascii="Times New Roman" w:hAnsi="Times New Roman" w:cs="Times New Roman"/>
                <w:color w:val="auto"/>
                <w:sz w:val="24"/>
                <w:szCs w:val="24"/>
                <w:highlight w:val="none"/>
              </w:rPr>
              <w:t>。</w:t>
            </w:r>
          </w:p>
          <w:p w14:paraId="376EDDA1">
            <w:pPr>
              <w:keepNext w:val="0"/>
              <w:keepLines w:val="0"/>
              <w:pageBreakBefore w:val="0"/>
              <w:numPr>
                <w:ilvl w:val="0"/>
                <w:numId w:val="11"/>
              </w:numPr>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项目的地理位置、平面布置与周边关系：</w:t>
            </w:r>
          </w:p>
          <w:p w14:paraId="569EAE98">
            <w:pPr>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地理位置：本项目位于</w:t>
            </w:r>
            <w:r>
              <w:rPr>
                <w:rFonts w:hint="eastAsia" w:cs="Times New Roman"/>
                <w:color w:val="auto"/>
                <w:sz w:val="24"/>
                <w:szCs w:val="24"/>
                <w:highlight w:val="none"/>
                <w:lang w:val="en-US" w:eastAsia="zh-CN"/>
              </w:rPr>
              <w:t>河北省唐山市滦州市雷庄镇耀隆宝峰矿业有限公司院内</w:t>
            </w:r>
            <w:r>
              <w:rPr>
                <w:rFonts w:hint="default" w:ascii="Times New Roman" w:hAnsi="Times New Roman" w:cs="Times New Roman"/>
                <w:color w:val="auto"/>
                <w:sz w:val="24"/>
                <w:szCs w:val="24"/>
                <w:highlight w:val="none"/>
              </w:rPr>
              <w:t>，地理位置图详见附图1。</w:t>
            </w:r>
          </w:p>
          <w:p w14:paraId="35CA1C2A">
            <w:pPr>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平面布置</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本项目仅新建预处理车间1座，位于现有工程北侧。本次技改完成后，厂区北侧为滦州市耀隆宝峰矿业有限公司内部用地，西侧为滦州市江峰硅砂有限公司，南侧、东侧均为山体。</w:t>
            </w:r>
            <w:r>
              <w:rPr>
                <w:rFonts w:hint="default" w:ascii="Times New Roman" w:hAnsi="Times New Roman" w:eastAsia="宋体" w:cs="Times New Roman"/>
                <w:color w:val="auto"/>
                <w:kern w:val="0"/>
                <w:sz w:val="24"/>
                <w:szCs w:val="24"/>
                <w:highlight w:val="none"/>
                <w:lang w:val="en-US" w:eastAsia="zh-CN" w:bidi="ar"/>
              </w:rPr>
              <w:t>项目平面布置</w:t>
            </w:r>
            <w:r>
              <w:rPr>
                <w:rFonts w:hint="eastAsia" w:cs="Times New Roman"/>
                <w:color w:val="auto"/>
                <w:kern w:val="0"/>
                <w:sz w:val="24"/>
                <w:szCs w:val="24"/>
                <w:highlight w:val="none"/>
                <w:lang w:val="en-US" w:eastAsia="zh-CN" w:bidi="ar"/>
              </w:rPr>
              <w:t>图及</w:t>
            </w:r>
            <w:r>
              <w:rPr>
                <w:rFonts w:hint="default" w:ascii="Times New Roman" w:hAnsi="Times New Roman" w:cs="Times New Roman"/>
                <w:color w:val="auto"/>
                <w:sz w:val="24"/>
                <w:szCs w:val="24"/>
                <w:highlight w:val="none"/>
                <w:lang w:val="en-US" w:eastAsia="zh-CN"/>
              </w:rPr>
              <w:t>周边关系图</w:t>
            </w:r>
            <w:r>
              <w:rPr>
                <w:rFonts w:hint="default" w:ascii="Times New Roman" w:hAnsi="Times New Roman" w:eastAsia="宋体" w:cs="Times New Roman"/>
                <w:color w:val="auto"/>
                <w:kern w:val="0"/>
                <w:sz w:val="24"/>
                <w:szCs w:val="24"/>
                <w:highlight w:val="none"/>
                <w:lang w:val="en-US" w:eastAsia="zh-CN" w:bidi="ar"/>
              </w:rPr>
              <w:t>见附图2</w:t>
            </w:r>
            <w:r>
              <w:rPr>
                <w:rFonts w:hint="default" w:ascii="Times New Roman" w:hAnsi="Times New Roman" w:cs="Times New Roman"/>
                <w:color w:val="auto"/>
                <w:sz w:val="24"/>
                <w:szCs w:val="24"/>
                <w:highlight w:val="none"/>
                <w:lang w:val="en-US" w:eastAsia="zh-CN"/>
              </w:rPr>
              <w:t>。</w:t>
            </w:r>
          </w:p>
          <w:p w14:paraId="51EC2768">
            <w:pPr>
              <w:pStyle w:val="15"/>
              <w:shd w:val="clear"/>
              <w:rPr>
                <w:rFonts w:hint="default" w:ascii="Times New Roman" w:hAnsi="Times New Roman" w:cs="Times New Roman"/>
                <w:color w:val="auto"/>
                <w:sz w:val="24"/>
                <w:szCs w:val="24"/>
                <w:highlight w:val="none"/>
                <w:lang w:val="en-US" w:eastAsia="zh-CN"/>
              </w:rPr>
            </w:pPr>
          </w:p>
          <w:p w14:paraId="03179C78">
            <w:pPr>
              <w:shd w:val="clear"/>
              <w:rPr>
                <w:rFonts w:hint="default" w:ascii="Times New Roman" w:hAnsi="Times New Roman" w:cs="Times New Roman"/>
                <w:color w:val="auto"/>
                <w:sz w:val="24"/>
                <w:szCs w:val="24"/>
                <w:highlight w:val="none"/>
                <w:lang w:val="en-US" w:eastAsia="zh-CN"/>
              </w:rPr>
            </w:pPr>
          </w:p>
          <w:p w14:paraId="533839F9">
            <w:pPr>
              <w:pStyle w:val="15"/>
              <w:shd w:val="clear"/>
              <w:rPr>
                <w:rFonts w:hint="default" w:ascii="Times New Roman" w:hAnsi="Times New Roman" w:cs="Times New Roman"/>
                <w:color w:val="auto"/>
                <w:sz w:val="24"/>
                <w:szCs w:val="24"/>
                <w:highlight w:val="none"/>
                <w:lang w:val="en-US" w:eastAsia="zh-CN"/>
              </w:rPr>
            </w:pPr>
          </w:p>
          <w:p w14:paraId="216F5B18">
            <w:pPr>
              <w:shd w:val="clear"/>
              <w:rPr>
                <w:rFonts w:hint="default" w:ascii="Times New Roman" w:hAnsi="Times New Roman" w:cs="Times New Roman"/>
                <w:color w:val="auto"/>
                <w:sz w:val="24"/>
                <w:szCs w:val="24"/>
                <w:highlight w:val="none"/>
                <w:lang w:val="en-US" w:eastAsia="zh-CN"/>
              </w:rPr>
            </w:pPr>
          </w:p>
          <w:p w14:paraId="21F4E22A">
            <w:pPr>
              <w:pStyle w:val="15"/>
              <w:shd w:val="clear"/>
              <w:rPr>
                <w:rFonts w:hint="default" w:ascii="Times New Roman" w:hAnsi="Times New Roman" w:cs="Times New Roman"/>
                <w:color w:val="auto"/>
                <w:sz w:val="24"/>
                <w:szCs w:val="24"/>
                <w:highlight w:val="none"/>
                <w:lang w:val="en-US" w:eastAsia="zh-CN"/>
              </w:rPr>
            </w:pPr>
          </w:p>
          <w:p w14:paraId="27A864C7">
            <w:pPr>
              <w:shd w:val="clear"/>
              <w:rPr>
                <w:rFonts w:hint="default" w:ascii="Times New Roman" w:hAnsi="Times New Roman" w:cs="Times New Roman"/>
                <w:color w:val="auto"/>
                <w:sz w:val="24"/>
                <w:szCs w:val="24"/>
                <w:highlight w:val="none"/>
                <w:lang w:val="en-US" w:eastAsia="zh-CN"/>
              </w:rPr>
            </w:pPr>
          </w:p>
          <w:p w14:paraId="4D37D7C7">
            <w:pPr>
              <w:pStyle w:val="15"/>
              <w:shd w:val="clear"/>
              <w:rPr>
                <w:rFonts w:hint="default" w:ascii="Times New Roman" w:hAnsi="Times New Roman" w:cs="Times New Roman"/>
                <w:color w:val="auto"/>
                <w:sz w:val="24"/>
                <w:szCs w:val="24"/>
                <w:highlight w:val="none"/>
                <w:lang w:val="en-US" w:eastAsia="zh-CN"/>
              </w:rPr>
            </w:pPr>
          </w:p>
          <w:p w14:paraId="0B2674DE">
            <w:pPr>
              <w:shd w:val="clear"/>
              <w:rPr>
                <w:rFonts w:hint="default" w:ascii="Times New Roman" w:hAnsi="Times New Roman" w:cs="Times New Roman"/>
                <w:color w:val="auto"/>
                <w:sz w:val="24"/>
                <w:szCs w:val="24"/>
                <w:highlight w:val="none"/>
                <w:lang w:val="en-US" w:eastAsia="zh-CN"/>
              </w:rPr>
            </w:pPr>
          </w:p>
          <w:p w14:paraId="6EBE401F">
            <w:pPr>
              <w:pStyle w:val="15"/>
              <w:shd w:val="clear"/>
              <w:rPr>
                <w:rFonts w:hint="default" w:ascii="Times New Roman" w:hAnsi="Times New Roman" w:cs="Times New Roman"/>
                <w:color w:val="auto"/>
                <w:sz w:val="24"/>
                <w:szCs w:val="24"/>
                <w:highlight w:val="none"/>
                <w:lang w:val="en-US" w:eastAsia="zh-CN"/>
              </w:rPr>
            </w:pPr>
          </w:p>
          <w:p w14:paraId="00BC5C91">
            <w:pPr>
              <w:shd w:val="clear"/>
              <w:rPr>
                <w:rFonts w:hint="default" w:ascii="Times New Roman" w:hAnsi="Times New Roman" w:cs="Times New Roman"/>
                <w:color w:val="auto"/>
                <w:sz w:val="24"/>
                <w:szCs w:val="24"/>
                <w:highlight w:val="none"/>
                <w:lang w:val="en-US" w:eastAsia="zh-CN"/>
              </w:rPr>
            </w:pPr>
          </w:p>
          <w:p w14:paraId="4BD10353">
            <w:pPr>
              <w:pStyle w:val="15"/>
              <w:shd w:val="clear"/>
              <w:rPr>
                <w:rFonts w:hint="default" w:ascii="Times New Roman" w:hAnsi="Times New Roman" w:cs="Times New Roman"/>
                <w:color w:val="auto"/>
                <w:sz w:val="24"/>
                <w:szCs w:val="24"/>
                <w:highlight w:val="none"/>
                <w:lang w:val="en-US" w:eastAsia="zh-CN"/>
              </w:rPr>
            </w:pPr>
          </w:p>
          <w:p w14:paraId="5A0B05CD">
            <w:pPr>
              <w:shd w:val="clear"/>
              <w:rPr>
                <w:rFonts w:hint="default" w:ascii="Times New Roman" w:hAnsi="Times New Roman" w:cs="Times New Roman"/>
                <w:color w:val="auto"/>
                <w:sz w:val="24"/>
                <w:szCs w:val="24"/>
                <w:highlight w:val="none"/>
                <w:lang w:val="en-US" w:eastAsia="zh-CN"/>
              </w:rPr>
            </w:pPr>
          </w:p>
          <w:p w14:paraId="44C5A44F">
            <w:pPr>
              <w:pStyle w:val="15"/>
              <w:shd w:val="clear"/>
              <w:rPr>
                <w:rFonts w:hint="default" w:ascii="Times New Roman" w:hAnsi="Times New Roman" w:cs="Times New Roman"/>
                <w:color w:val="auto"/>
                <w:sz w:val="24"/>
                <w:szCs w:val="24"/>
                <w:highlight w:val="none"/>
                <w:lang w:val="en-US" w:eastAsia="zh-CN"/>
              </w:rPr>
            </w:pPr>
          </w:p>
          <w:p w14:paraId="677F22DE">
            <w:pPr>
              <w:shd w:val="clear"/>
              <w:rPr>
                <w:rFonts w:hint="default" w:ascii="Times New Roman" w:hAnsi="Times New Roman" w:cs="Times New Roman"/>
                <w:color w:val="auto"/>
                <w:sz w:val="24"/>
                <w:szCs w:val="24"/>
                <w:highlight w:val="none"/>
                <w:lang w:val="en-US" w:eastAsia="zh-CN"/>
              </w:rPr>
            </w:pPr>
          </w:p>
          <w:p w14:paraId="1BAAC660">
            <w:pPr>
              <w:pStyle w:val="15"/>
              <w:shd w:val="clear"/>
              <w:rPr>
                <w:rFonts w:hint="default" w:ascii="Times New Roman" w:hAnsi="Times New Roman" w:cs="Times New Roman"/>
                <w:color w:val="auto"/>
                <w:sz w:val="24"/>
                <w:szCs w:val="24"/>
                <w:highlight w:val="none"/>
                <w:lang w:val="en-US" w:eastAsia="zh-CN"/>
              </w:rPr>
            </w:pPr>
          </w:p>
          <w:p w14:paraId="6A999057">
            <w:pPr>
              <w:shd w:val="clear"/>
              <w:rPr>
                <w:rFonts w:hint="default" w:ascii="Times New Roman" w:hAnsi="Times New Roman" w:cs="Times New Roman"/>
                <w:color w:val="auto"/>
                <w:sz w:val="24"/>
                <w:szCs w:val="24"/>
                <w:highlight w:val="none"/>
                <w:lang w:val="en-US" w:eastAsia="zh-CN"/>
              </w:rPr>
            </w:pPr>
          </w:p>
          <w:p w14:paraId="1729F996">
            <w:pPr>
              <w:pStyle w:val="15"/>
              <w:shd w:val="clear"/>
              <w:rPr>
                <w:rFonts w:hint="default" w:ascii="Times New Roman" w:hAnsi="Times New Roman" w:cs="Times New Roman"/>
                <w:color w:val="auto"/>
                <w:sz w:val="24"/>
                <w:szCs w:val="24"/>
                <w:highlight w:val="none"/>
                <w:lang w:val="en-US" w:eastAsia="zh-CN"/>
              </w:rPr>
            </w:pPr>
          </w:p>
          <w:p w14:paraId="049E4F68">
            <w:pPr>
              <w:shd w:val="clear"/>
              <w:rPr>
                <w:rFonts w:hint="default" w:ascii="Times New Roman" w:hAnsi="Times New Roman" w:cs="Times New Roman"/>
                <w:color w:val="auto"/>
                <w:sz w:val="24"/>
                <w:szCs w:val="24"/>
                <w:highlight w:val="none"/>
                <w:lang w:val="en-US" w:eastAsia="zh-CN"/>
              </w:rPr>
            </w:pPr>
          </w:p>
          <w:p w14:paraId="676A8587">
            <w:pPr>
              <w:pStyle w:val="15"/>
              <w:shd w:val="clear"/>
              <w:rPr>
                <w:rFonts w:hint="default" w:ascii="Times New Roman" w:hAnsi="Times New Roman" w:cs="Times New Roman"/>
                <w:color w:val="auto"/>
                <w:sz w:val="24"/>
                <w:szCs w:val="24"/>
                <w:highlight w:val="none"/>
                <w:lang w:val="en-US" w:eastAsia="zh-CN"/>
              </w:rPr>
            </w:pPr>
          </w:p>
          <w:p w14:paraId="29F2C7C0">
            <w:pPr>
              <w:shd w:val="clear"/>
              <w:rPr>
                <w:rFonts w:hint="default" w:ascii="Times New Roman" w:hAnsi="Times New Roman" w:cs="Times New Roman"/>
                <w:color w:val="auto"/>
                <w:sz w:val="24"/>
                <w:szCs w:val="24"/>
                <w:highlight w:val="none"/>
                <w:lang w:val="en-US" w:eastAsia="zh-CN"/>
              </w:rPr>
            </w:pPr>
          </w:p>
          <w:p w14:paraId="32FE18AB">
            <w:pPr>
              <w:pStyle w:val="15"/>
              <w:shd w:val="clear"/>
              <w:rPr>
                <w:rFonts w:hint="default"/>
                <w:color w:val="auto"/>
                <w:lang w:val="en-US" w:eastAsia="zh-CN"/>
              </w:rPr>
            </w:pPr>
          </w:p>
        </w:tc>
      </w:tr>
    </w:tbl>
    <w:p w14:paraId="510F75F2">
      <w:pPr>
        <w:shd w:val="clear"/>
        <w:rPr>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16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3"/>
        <w:gridCol w:w="8342"/>
      </w:tblGrid>
      <w:tr w14:paraId="529C9C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3766" w:hRule="atLeast"/>
          <w:jc w:val="center"/>
        </w:trPr>
        <w:tc>
          <w:tcPr>
            <w:tcW w:w="823" w:type="dxa"/>
            <w:tcBorders>
              <w:tl2br w:val="nil"/>
              <w:tr2bl w:val="nil"/>
            </w:tcBorders>
            <w:noWrap w:val="0"/>
            <w:vAlign w:val="center"/>
          </w:tcPr>
          <w:p w14:paraId="0CC4B7B8">
            <w:pPr>
              <w:pStyle w:val="43"/>
              <w:shd w:val="clear"/>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工艺流程和产排污环节</w:t>
            </w:r>
          </w:p>
        </w:tc>
        <w:tc>
          <w:tcPr>
            <w:tcW w:w="8342" w:type="dxa"/>
            <w:tcBorders>
              <w:tl2br w:val="nil"/>
              <w:tr2bl w:val="nil"/>
            </w:tcBorders>
            <w:noWrap w:val="0"/>
            <w:vAlign w:val="top"/>
          </w:tcPr>
          <w:p w14:paraId="7B5B2618">
            <w:pPr>
              <w:keepNext w:val="0"/>
              <w:keepLines w:val="0"/>
              <w:pageBreakBefore w:val="0"/>
              <w:widowControl w:val="0"/>
              <w:shd w:val="clear"/>
              <w:kinsoku/>
              <w:wordWrap/>
              <w:overflowPunct/>
              <w:topLinePunct w:val="0"/>
              <w:autoSpaceDE/>
              <w:autoSpaceDN/>
              <w:bidi w:val="0"/>
              <w:adjustRightInd/>
              <w:snapToGrid/>
              <w:spacing w:line="460" w:lineRule="exact"/>
              <w:ind w:firstLine="482" w:firstLineChars="200"/>
              <w:jc w:val="both"/>
              <w:textAlignment w:val="auto"/>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1、产品生产工艺流程</w:t>
            </w:r>
          </w:p>
          <w:p w14:paraId="3568D7DA">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本项目为年产10万t精制硅砂加工生产线配套建设的预处理单元，其工艺流程如下：</w:t>
            </w:r>
          </w:p>
          <w:p w14:paraId="1594DA4C">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⑴来料储存</w:t>
            </w:r>
          </w:p>
          <w:p w14:paraId="2FF3ECFB">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项目依托厂区原有洗车平台，运输车辆进出厂区时对轮胎及车身进行冲洗，有效减少道路扬尘。</w:t>
            </w:r>
          </w:p>
          <w:p w14:paraId="1DF97161">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不合格原料矿石采用满足国五排放标准的密闭式运输车辆运至预处理车间。运输车辆装载高度最高点不超过车辆槽帮上沿40cm，两侧边缘低于槽帮上缘10cm；车斗采用苫布全覆盖，苫布边缘至少遮住槽帮上沿以下15cm，防止运输过程中物料遗撒及粉尘逸散。</w:t>
            </w:r>
          </w:p>
          <w:p w14:paraId="4C4F3169">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预处理车间内设置专用不合格原料矿石储存区，不合格原料矿石经密闭卸车后储存于该区域。</w:t>
            </w:r>
          </w:p>
          <w:p w14:paraId="017241D5">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预处理车间内设喷淋抑尘装置，抑制堆存、装卸过程粉尘产生。</w:t>
            </w:r>
          </w:p>
          <w:p w14:paraId="4B66FCEA">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本工序主要产污环节为：</w:t>
            </w:r>
            <w:r>
              <w:rPr>
                <w:rFonts w:hint="eastAsia" w:ascii="Times New Roman" w:hAnsi="Times New Roman" w:eastAsia="宋体" w:cs="Times New Roman"/>
                <w:i w:val="0"/>
                <w:iCs w:val="0"/>
                <w:caps w:val="0"/>
                <w:color w:val="auto"/>
                <w:spacing w:val="0"/>
                <w:sz w:val="24"/>
                <w:szCs w:val="24"/>
                <w:lang w:eastAsia="zh-CN"/>
              </w:rPr>
              <w:t>不合格原料矿石</w:t>
            </w:r>
            <w:r>
              <w:rPr>
                <w:rFonts w:hint="default" w:ascii="Times New Roman" w:hAnsi="Times New Roman" w:eastAsia="Segoe UI Symbol" w:cs="Times New Roman"/>
                <w:i w:val="0"/>
                <w:iCs w:val="0"/>
                <w:caps w:val="0"/>
                <w:color w:val="auto"/>
                <w:spacing w:val="0"/>
                <w:sz w:val="24"/>
                <w:szCs w:val="24"/>
              </w:rPr>
              <w:t>装卸、堆存过程产生的</w:t>
            </w:r>
            <w:r>
              <w:rPr>
                <w:rFonts w:hint="eastAsia" w:ascii="Times New Roman" w:hAnsi="Times New Roman" w:eastAsia="宋体" w:cs="Times New Roman"/>
                <w:i w:val="0"/>
                <w:iCs w:val="0"/>
                <w:caps w:val="0"/>
                <w:color w:val="auto"/>
                <w:spacing w:val="0"/>
                <w:sz w:val="24"/>
                <w:szCs w:val="24"/>
                <w:lang w:eastAsia="zh-CN"/>
              </w:rPr>
              <w:t>废气</w:t>
            </w:r>
            <w:r>
              <w:rPr>
                <w:rFonts w:hint="eastAsia" w:cs="Times New Roman"/>
                <w:i w:val="0"/>
                <w:iCs w:val="0"/>
                <w:caps w:val="0"/>
                <w:color w:val="auto"/>
                <w:spacing w:val="0"/>
                <w:sz w:val="24"/>
                <w:szCs w:val="24"/>
                <w:lang w:eastAsia="zh-CN"/>
              </w:rPr>
              <w:t>；洗车废水</w:t>
            </w:r>
            <w:r>
              <w:rPr>
                <w:rFonts w:hint="default" w:ascii="Times New Roman" w:hAnsi="Times New Roman" w:eastAsia="Segoe UI Symbol" w:cs="Times New Roman"/>
                <w:i w:val="0"/>
                <w:iCs w:val="0"/>
                <w:caps w:val="0"/>
                <w:color w:val="auto"/>
                <w:spacing w:val="0"/>
                <w:sz w:val="24"/>
                <w:szCs w:val="24"/>
              </w:rPr>
              <w:t>。</w:t>
            </w:r>
          </w:p>
          <w:p w14:paraId="1099D107">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⑵上料</w:t>
            </w:r>
          </w:p>
          <w:p w14:paraId="30E072CE">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不合格原料矿石由铲车输送至上料仓，上料仓与颚式破碎机采用全封闭连接，各物料转运点密闭布置，有效减少粉尘无组织排放。</w:t>
            </w:r>
          </w:p>
          <w:p w14:paraId="5FFAE0A0">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本工序主要产污环节为：</w:t>
            </w:r>
            <w:r>
              <w:rPr>
                <w:rFonts w:hint="eastAsia" w:ascii="Times New Roman" w:hAnsi="Times New Roman" w:eastAsia="宋体" w:cs="Times New Roman"/>
                <w:i w:val="0"/>
                <w:iCs w:val="0"/>
                <w:caps w:val="0"/>
                <w:color w:val="auto"/>
                <w:spacing w:val="0"/>
                <w:sz w:val="24"/>
                <w:szCs w:val="24"/>
                <w:lang w:eastAsia="zh-CN"/>
              </w:rPr>
              <w:t>不合格原料矿石</w:t>
            </w:r>
            <w:r>
              <w:rPr>
                <w:rFonts w:hint="eastAsia" w:ascii="Times New Roman" w:hAnsi="Times New Roman" w:cs="Times New Roman"/>
                <w:i w:val="0"/>
                <w:iCs w:val="0"/>
                <w:caps w:val="0"/>
                <w:color w:val="auto"/>
                <w:spacing w:val="0"/>
                <w:sz w:val="24"/>
                <w:szCs w:val="24"/>
                <w:lang w:eastAsia="zh-CN"/>
              </w:rPr>
              <w:t>上料过程产生的废气。</w:t>
            </w:r>
          </w:p>
          <w:p w14:paraId="21861950">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eastAsia" w:ascii="Times New Roman" w:hAnsi="Times New Roman" w:eastAsia="宋体" w:cs="Times New Roman"/>
                <w:i w:val="0"/>
                <w:iCs w:val="0"/>
                <w:caps w:val="0"/>
                <w:color w:val="auto"/>
                <w:spacing w:val="0"/>
                <w:sz w:val="24"/>
                <w:szCs w:val="24"/>
                <w:lang w:eastAsia="zh-CN"/>
              </w:rPr>
            </w:pPr>
            <w:r>
              <w:rPr>
                <w:rFonts w:hint="default" w:ascii="Times New Roman" w:hAnsi="Times New Roman" w:eastAsia="Segoe UI Symbol" w:cs="Times New Roman"/>
                <w:i w:val="0"/>
                <w:iCs w:val="0"/>
                <w:caps w:val="0"/>
                <w:color w:val="auto"/>
                <w:spacing w:val="0"/>
                <w:sz w:val="24"/>
                <w:szCs w:val="24"/>
              </w:rPr>
              <w:t>⑶</w:t>
            </w:r>
            <w:r>
              <w:rPr>
                <w:rFonts w:hint="eastAsia" w:ascii="Times New Roman" w:hAnsi="Times New Roman" w:eastAsia="宋体" w:cs="Times New Roman"/>
                <w:i w:val="0"/>
                <w:iCs w:val="0"/>
                <w:caps w:val="0"/>
                <w:color w:val="auto"/>
                <w:spacing w:val="0"/>
                <w:sz w:val="24"/>
                <w:szCs w:val="24"/>
                <w:lang w:eastAsia="zh-CN"/>
              </w:rPr>
              <w:t>鄂破</w:t>
            </w:r>
          </w:p>
          <w:p w14:paraId="2E0F9BC9">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经上料仓卸料后进入颚式破碎机进行初次破碎，破碎后粒径控制在50～100mm。</w:t>
            </w:r>
          </w:p>
          <w:p w14:paraId="0FBB38FB">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本工序主要产污环节为：原料上料、颚式破碎、物料落料过程产生的</w:t>
            </w:r>
            <w:r>
              <w:rPr>
                <w:rFonts w:hint="eastAsia" w:ascii="Times New Roman" w:hAnsi="Times New Roman" w:eastAsia="宋体" w:cs="Times New Roman"/>
                <w:i w:val="0"/>
                <w:iCs w:val="0"/>
                <w:caps w:val="0"/>
                <w:color w:val="auto"/>
                <w:spacing w:val="0"/>
                <w:sz w:val="24"/>
                <w:szCs w:val="24"/>
                <w:lang w:eastAsia="zh-CN"/>
              </w:rPr>
              <w:t>废气</w:t>
            </w:r>
            <w:r>
              <w:rPr>
                <w:rFonts w:hint="default" w:ascii="Times New Roman" w:hAnsi="Times New Roman" w:eastAsia="Segoe UI Symbol" w:cs="Times New Roman"/>
                <w:i w:val="0"/>
                <w:iCs w:val="0"/>
                <w:caps w:val="0"/>
                <w:color w:val="auto"/>
                <w:spacing w:val="0"/>
                <w:sz w:val="24"/>
                <w:szCs w:val="24"/>
              </w:rPr>
              <w:t>；颚式破碎机运行产生的设备噪声。</w:t>
            </w:r>
          </w:p>
          <w:p w14:paraId="2526F197">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⑷圆锥破</w:t>
            </w:r>
          </w:p>
          <w:p w14:paraId="56547CCC">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经颚式破碎机破碎后的物料，通过全封闭皮带输送机输送至圆锥破碎机进行二次破碎，破碎后粒径控制在30～50mm。</w:t>
            </w:r>
          </w:p>
          <w:p w14:paraId="481B3E77">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本工序主要产污环节为：上料、圆锥破碎、物料落料过程产生的颗粒物；圆锥破碎机运行产生的设备噪声。</w:t>
            </w:r>
          </w:p>
          <w:p w14:paraId="76060C9A">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宋体" w:cs="Times New Roman"/>
                <w:color w:val="auto"/>
                <w:sz w:val="24"/>
                <w:szCs w:val="24"/>
                <w:highlight w:val="none"/>
                <w:lang w:val="en-US" w:eastAsia="zh-CN"/>
              </w:rPr>
              <w:t>⑸</w:t>
            </w:r>
            <w:r>
              <w:rPr>
                <w:rFonts w:hint="default" w:ascii="Times New Roman" w:hAnsi="Times New Roman" w:eastAsia="Segoe UI Symbol" w:cs="Times New Roman"/>
                <w:i w:val="0"/>
                <w:iCs w:val="0"/>
                <w:caps w:val="0"/>
                <w:color w:val="auto"/>
                <w:spacing w:val="0"/>
                <w:sz w:val="24"/>
                <w:szCs w:val="24"/>
              </w:rPr>
              <w:t>筛分</w:t>
            </w:r>
          </w:p>
          <w:p w14:paraId="1B74D490">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auto"/>
                <w:spacing w:val="0"/>
                <w:sz w:val="24"/>
                <w:szCs w:val="24"/>
              </w:rPr>
            </w:pPr>
            <w:r>
              <w:rPr>
                <w:rFonts w:hint="default" w:ascii="Times New Roman" w:hAnsi="Times New Roman" w:eastAsia="Segoe UI Symbol" w:cs="Times New Roman"/>
                <w:i w:val="0"/>
                <w:iCs w:val="0"/>
                <w:caps w:val="0"/>
                <w:color w:val="auto"/>
                <w:spacing w:val="0"/>
                <w:sz w:val="24"/>
                <w:szCs w:val="24"/>
              </w:rPr>
              <w:t>圆锥破碎后的物料通过全封闭皮带输送机输送至1台往复式摇筛进行筛分，筛分孔径为30mm，经筛分后分离为筛上料与筛下料。其中，筛上料作为合格原料矿石；筛下料（土渣）外售至水泥厂，实现综合利用。</w:t>
            </w:r>
          </w:p>
          <w:p w14:paraId="2E4C5A9F">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eastAsia="Segoe UI Symbol" w:cs="Times New Roman"/>
                <w:i w:val="0"/>
                <w:iCs w:val="0"/>
                <w:caps w:val="0"/>
                <w:color w:val="auto"/>
                <w:spacing w:val="0"/>
                <w:sz w:val="24"/>
                <w:szCs w:val="24"/>
              </w:rPr>
              <w:t>本工序主要产污环节为：上料、筛分、物料落料（共2处落料点）过程产生的颗粒物；</w:t>
            </w:r>
            <w:r>
              <w:rPr>
                <w:rFonts w:hint="eastAsia" w:ascii="Times New Roman" w:hAnsi="Times New Roman" w:cs="Times New Roman"/>
                <w:b w:val="0"/>
                <w:bCs w:val="0"/>
                <w:color w:val="auto"/>
                <w:sz w:val="24"/>
                <w:szCs w:val="24"/>
                <w:lang w:eastAsia="zh-CN"/>
              </w:rPr>
              <w:t>合格矿石原料以及土渣</w:t>
            </w:r>
            <w:r>
              <w:rPr>
                <w:rFonts w:hint="default" w:ascii="Times New Roman" w:hAnsi="Times New Roman" w:eastAsia="宋体" w:cs="Times New Roman"/>
                <w:b w:val="0"/>
                <w:bCs w:val="0"/>
                <w:color w:val="auto"/>
                <w:sz w:val="24"/>
                <w:szCs w:val="24"/>
                <w:lang w:eastAsia="zh-CN"/>
              </w:rPr>
              <w:t>装卸、</w:t>
            </w:r>
            <w:r>
              <w:rPr>
                <w:rFonts w:hint="eastAsia" w:ascii="Times New Roman" w:hAnsi="Times New Roman" w:cs="Times New Roman"/>
                <w:b w:val="0"/>
                <w:bCs w:val="0"/>
                <w:color w:val="auto"/>
                <w:sz w:val="24"/>
                <w:szCs w:val="24"/>
                <w:lang w:eastAsia="zh-CN"/>
              </w:rPr>
              <w:t>堆存</w:t>
            </w:r>
            <w:r>
              <w:rPr>
                <w:rFonts w:hint="default" w:ascii="Times New Roman" w:hAnsi="Times New Roman" w:eastAsia="宋体" w:cs="Times New Roman"/>
                <w:b w:val="0"/>
                <w:bCs w:val="0"/>
                <w:color w:val="auto"/>
                <w:sz w:val="24"/>
                <w:szCs w:val="24"/>
                <w:lang w:eastAsia="zh-CN"/>
              </w:rPr>
              <w:t>过程产生的颗粒物</w:t>
            </w:r>
            <w:r>
              <w:rPr>
                <w:rFonts w:hint="eastAsia" w:cs="Times New Roman"/>
                <w:b w:val="0"/>
                <w:bCs w:val="0"/>
                <w:color w:val="auto"/>
                <w:sz w:val="24"/>
                <w:szCs w:val="24"/>
                <w:lang w:eastAsia="zh-CN"/>
              </w:rPr>
              <w:t>；</w:t>
            </w:r>
            <w:r>
              <w:rPr>
                <w:rFonts w:hint="default" w:ascii="Times New Roman" w:hAnsi="Times New Roman" w:eastAsia="Segoe UI Symbol" w:cs="Times New Roman"/>
                <w:i w:val="0"/>
                <w:iCs w:val="0"/>
                <w:caps w:val="0"/>
                <w:color w:val="auto"/>
                <w:spacing w:val="0"/>
                <w:sz w:val="24"/>
                <w:szCs w:val="24"/>
              </w:rPr>
              <w:t>往复式摇筛运行产生的设备噪声。</w:t>
            </w:r>
          </w:p>
          <w:p w14:paraId="7B5D7542">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⑹与现有工程衔接</w:t>
            </w:r>
          </w:p>
          <w:p w14:paraId="60901679">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rPr>
              <w:t>筛上物料为合格原料矿石，暂存于预处理车间</w:t>
            </w:r>
            <w:r>
              <w:rPr>
                <w:rStyle w:val="35"/>
                <w:rFonts w:hint="default" w:ascii="Times New Roman" w:hAnsi="Times New Roman" w:eastAsia="宋体" w:cs="Times New Roman"/>
                <w:b w:val="0"/>
                <w:bCs w:val="0"/>
                <w:color w:val="auto"/>
                <w:sz w:val="24"/>
                <w:szCs w:val="24"/>
              </w:rPr>
              <w:t>合格</w:t>
            </w:r>
            <w:r>
              <w:rPr>
                <w:rStyle w:val="35"/>
                <w:rFonts w:hint="default" w:ascii="Times New Roman" w:hAnsi="Times New Roman" w:eastAsia="宋体" w:cs="Times New Roman"/>
                <w:b w:val="0"/>
                <w:bCs w:val="0"/>
                <w:color w:val="auto"/>
                <w:sz w:val="24"/>
                <w:szCs w:val="24"/>
                <w:lang w:eastAsia="zh-CN"/>
              </w:rPr>
              <w:t>原料</w:t>
            </w:r>
            <w:r>
              <w:rPr>
                <w:rStyle w:val="35"/>
                <w:rFonts w:hint="default" w:ascii="Times New Roman" w:hAnsi="Times New Roman" w:eastAsia="宋体" w:cs="Times New Roman"/>
                <w:b w:val="0"/>
                <w:bCs w:val="0"/>
                <w:color w:val="auto"/>
                <w:sz w:val="24"/>
                <w:szCs w:val="24"/>
              </w:rPr>
              <w:t>矿石</w:t>
            </w:r>
            <w:r>
              <w:rPr>
                <w:rStyle w:val="35"/>
                <w:rFonts w:hint="default" w:ascii="Times New Roman" w:hAnsi="Times New Roman" w:eastAsia="宋体" w:cs="Times New Roman"/>
                <w:b w:val="0"/>
                <w:bCs w:val="0"/>
                <w:color w:val="auto"/>
                <w:sz w:val="24"/>
                <w:szCs w:val="24"/>
                <w:lang w:eastAsia="zh-CN"/>
              </w:rPr>
              <w:t>储存区</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eastAsia="zh-CN"/>
              </w:rPr>
              <w:t>利用装载机</w:t>
            </w:r>
            <w:r>
              <w:rPr>
                <w:rFonts w:hint="default" w:ascii="Times New Roman" w:hAnsi="Times New Roman" w:eastAsia="宋体" w:cs="Times New Roman"/>
                <w:b w:val="0"/>
                <w:bCs w:val="0"/>
                <w:color w:val="auto"/>
                <w:sz w:val="24"/>
                <w:szCs w:val="24"/>
              </w:rPr>
              <w:t>定期通过封闭</w:t>
            </w:r>
            <w:r>
              <w:rPr>
                <w:rFonts w:hint="default" w:ascii="Times New Roman" w:hAnsi="Times New Roman" w:eastAsia="宋体" w:cs="Times New Roman"/>
                <w:b w:val="0"/>
                <w:bCs w:val="0"/>
                <w:color w:val="auto"/>
                <w:sz w:val="24"/>
                <w:szCs w:val="24"/>
                <w:lang w:eastAsia="zh-CN"/>
              </w:rPr>
              <w:t>通廊</w:t>
            </w:r>
            <w:r>
              <w:rPr>
                <w:rFonts w:hint="default" w:ascii="Times New Roman" w:hAnsi="Times New Roman" w:eastAsia="宋体" w:cs="Times New Roman"/>
                <w:b w:val="0"/>
                <w:bCs w:val="0"/>
                <w:color w:val="auto"/>
                <w:sz w:val="24"/>
                <w:szCs w:val="24"/>
              </w:rPr>
              <w:t>送至现有工程原料库储存，与无需预处理的合格原料矿石共同用于</w:t>
            </w:r>
            <w:r>
              <w:rPr>
                <w:rFonts w:hint="default" w:ascii="Times New Roman" w:hAnsi="Times New Roman" w:cs="Times New Roman"/>
                <w:b w:val="0"/>
                <w:bCs w:val="0"/>
                <w:color w:val="auto"/>
                <w:sz w:val="24"/>
                <w:szCs w:val="24"/>
                <w:lang w:eastAsia="zh-CN"/>
              </w:rPr>
              <w:t>现有工程</w:t>
            </w:r>
            <w:r>
              <w:rPr>
                <w:rFonts w:hint="default" w:ascii="Times New Roman" w:hAnsi="Times New Roman" w:eastAsia="宋体" w:cs="Times New Roman"/>
                <w:b w:val="0"/>
                <w:bCs w:val="0"/>
                <w:color w:val="auto"/>
                <w:sz w:val="24"/>
                <w:szCs w:val="24"/>
              </w:rPr>
              <w:t>生产</w:t>
            </w:r>
            <w:r>
              <w:rPr>
                <w:rFonts w:hint="default" w:ascii="Times New Roman" w:hAnsi="Times New Roman" w:cs="Times New Roman"/>
                <w:b w:val="0"/>
                <w:bCs w:val="0"/>
                <w:color w:val="auto"/>
                <w:sz w:val="24"/>
                <w:szCs w:val="24"/>
                <w:lang w:eastAsia="zh-CN"/>
              </w:rPr>
              <w:t>使用</w:t>
            </w:r>
            <w:r>
              <w:rPr>
                <w:rFonts w:hint="default" w:ascii="Times New Roman" w:hAnsi="Times New Roman" w:eastAsia="宋体" w:cs="Times New Roman"/>
                <w:b w:val="0"/>
                <w:bCs w:val="0"/>
                <w:color w:val="auto"/>
                <w:sz w:val="24"/>
                <w:szCs w:val="24"/>
              </w:rPr>
              <w:t>。</w:t>
            </w:r>
          </w:p>
          <w:p w14:paraId="6E6090D0">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本项目建成后，原料库暂存量和周转量均无变化，后续生产线处理量也无变化，因此，后续原料库、生产线以及成品库等废气排放量均</w:t>
            </w:r>
            <w:r>
              <w:rPr>
                <w:rFonts w:hint="eastAsia" w:cs="Times New Roman"/>
                <w:b w:val="0"/>
                <w:bCs w:val="0"/>
                <w:color w:val="auto"/>
                <w:sz w:val="24"/>
                <w:szCs w:val="24"/>
                <w:lang w:eastAsia="zh-CN"/>
              </w:rPr>
              <w:t>无</w:t>
            </w:r>
            <w:r>
              <w:rPr>
                <w:rFonts w:hint="default" w:ascii="Times New Roman" w:hAnsi="Times New Roman" w:eastAsia="宋体" w:cs="Times New Roman"/>
                <w:b w:val="0"/>
                <w:bCs w:val="0"/>
                <w:color w:val="auto"/>
                <w:sz w:val="24"/>
                <w:szCs w:val="24"/>
                <w:lang w:eastAsia="zh-CN"/>
              </w:rPr>
              <w:t>变化，因此，本次环评不再表述。</w:t>
            </w:r>
          </w:p>
          <w:p w14:paraId="4158F362">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eastAsia="zh-CN"/>
              </w:rPr>
              <w:t>本项目</w:t>
            </w:r>
            <w:r>
              <w:rPr>
                <w:rFonts w:hint="default" w:ascii="Times New Roman" w:hAnsi="Times New Roman" w:eastAsia="宋体" w:cs="Times New Roman"/>
                <w:color w:val="auto"/>
                <w:sz w:val="24"/>
                <w:highlight w:val="none"/>
              </w:rPr>
              <w:t>生产工艺流程及排污节点图见下图：</w:t>
            </w:r>
          </w:p>
          <w:p w14:paraId="2DAE4EDF">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object>
                <v:shape id="_x0000_i1027" o:spt="75" type="#_x0000_t75" style="height:289.65pt;width:309.1pt;" o:ole="t" filled="f" o:preferrelative="t" stroked="f" coordsize="21600,21600">
                  <v:path/>
                  <v:fill on="f" focussize="0,0"/>
                  <v:stroke on="f"/>
                  <v:imagedata r:id="rId15" o:title=""/>
                  <o:lock v:ext="edit" aspectratio="f"/>
                  <w10:wrap type="none"/>
                  <w10:anchorlock/>
                </v:shape>
                <o:OLEObject Type="Embed" ProgID="Visio.Drawing.11" ShapeID="_x0000_i1027" DrawAspect="Content" ObjectID="_1468075727" r:id="rId14">
                  <o:LockedField>false</o:LockedField>
                </o:OLEObject>
              </w:object>
            </w:r>
          </w:p>
          <w:p w14:paraId="6E9F9931">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auto"/>
                <w:sz w:val="21"/>
                <w:szCs w:val="21"/>
                <w:lang w:val="en-US" w:eastAsia="zh-CN"/>
              </w:rPr>
            </w:pPr>
            <w:r>
              <w:rPr>
                <w:rFonts w:hint="eastAsia"/>
                <w:b/>
                <w:bCs/>
                <w:color w:val="auto"/>
                <w:sz w:val="21"/>
                <w:szCs w:val="21"/>
                <w:lang w:val="en-US" w:eastAsia="zh-CN"/>
              </w:rPr>
              <w:t>生产工艺流程及排污节点图</w:t>
            </w:r>
          </w:p>
          <w:p w14:paraId="72C6D8B4">
            <w:pPr>
              <w:shd w:val="clear"/>
              <w:rPr>
                <w:rFonts w:hint="default"/>
                <w:color w:val="auto"/>
                <w:lang w:val="en-US" w:eastAsia="zh-CN"/>
              </w:rPr>
            </w:pPr>
          </w:p>
          <w:p w14:paraId="017CD143">
            <w:pPr>
              <w:keepNext w:val="0"/>
              <w:keepLines w:val="0"/>
              <w:pageBreakBefore w:val="0"/>
              <w:shd w:val="clea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auto"/>
                <w:sz w:val="24"/>
                <w:szCs w:val="24"/>
                <w:highlight w:val="none"/>
                <w:lang w:eastAsia="zh-CN"/>
              </w:rPr>
            </w:pPr>
            <w:r>
              <w:rPr>
                <w:rFonts w:hint="eastAsia"/>
                <w:b/>
                <w:bCs/>
                <w:color w:val="auto"/>
                <w:highlight w:val="none"/>
                <w:lang w:val="en-US" w:eastAsia="zh-CN"/>
              </w:rPr>
              <w:t>2、</w:t>
            </w:r>
            <w:r>
              <w:rPr>
                <w:rFonts w:hint="default" w:ascii="Times New Roman" w:hAnsi="Times New Roman" w:eastAsia="宋体" w:cs="Times New Roman"/>
                <w:b/>
                <w:bCs/>
                <w:color w:val="auto"/>
                <w:sz w:val="24"/>
                <w:highlight w:val="none"/>
                <w:lang w:val="en-US" w:eastAsia="zh-CN"/>
              </w:rPr>
              <w:t>其他</w:t>
            </w:r>
            <w:r>
              <w:rPr>
                <w:rFonts w:hint="eastAsia" w:ascii="Times New Roman" w:hAnsi="Times New Roman" w:eastAsia="宋体" w:cs="Times New Roman"/>
                <w:b/>
                <w:bCs/>
                <w:color w:val="auto"/>
                <w:sz w:val="24"/>
                <w:highlight w:val="none"/>
                <w:lang w:val="en-US" w:eastAsia="zh-CN"/>
              </w:rPr>
              <w:t>产排污</w:t>
            </w:r>
            <w:r>
              <w:rPr>
                <w:rFonts w:hint="default" w:ascii="Times New Roman" w:hAnsi="Times New Roman" w:eastAsia="宋体" w:cs="Times New Roman"/>
                <w:b/>
                <w:bCs/>
                <w:color w:val="auto"/>
                <w:sz w:val="24"/>
                <w:highlight w:val="none"/>
                <w:lang w:val="en-US" w:eastAsia="zh-CN"/>
              </w:rPr>
              <w:t>节点</w:t>
            </w:r>
          </w:p>
          <w:p w14:paraId="5FB15BE1">
            <w:pPr>
              <w:pStyle w:val="117"/>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洗车平台沉淀池污泥</w:t>
            </w:r>
            <w:r>
              <w:rPr>
                <w:rFonts w:hint="default" w:ascii="Times New Roman" w:hAnsi="Times New Roman" w:eastAsia="宋体" w:cs="Times New Roman"/>
                <w:color w:val="auto"/>
                <w:sz w:val="24"/>
                <w:szCs w:val="24"/>
                <w:highlight w:val="none"/>
                <w:lang w:val="en-US" w:eastAsia="zh-CN"/>
              </w:rPr>
              <w:t>、废气处理装置</w:t>
            </w:r>
            <w:r>
              <w:rPr>
                <w:rFonts w:hint="default" w:ascii="Times New Roman" w:hAnsi="Times New Roman" w:eastAsia="宋体" w:cs="Times New Roman"/>
                <w:color w:val="auto"/>
                <w:sz w:val="24"/>
                <w:szCs w:val="24"/>
                <w:highlight w:val="none"/>
                <w:lang w:eastAsia="zh-CN"/>
              </w:rPr>
              <w:t>收集的除尘灰</w:t>
            </w:r>
            <w:r>
              <w:rPr>
                <w:rFonts w:hint="eastAsia" w:ascii="Times New Roman" w:hAnsi="Times New Roman" w:eastAsia="宋体" w:cs="Times New Roman"/>
                <w:color w:val="auto"/>
                <w:sz w:val="24"/>
                <w:szCs w:val="24"/>
                <w:highlight w:val="none"/>
                <w:lang w:eastAsia="zh-CN"/>
              </w:rPr>
              <w:t>（除尘器</w:t>
            </w:r>
            <w:r>
              <w:rPr>
                <w:rFonts w:hint="eastAsia"/>
                <w:color w:val="auto"/>
                <w:highlight w:val="none"/>
              </w:rPr>
              <w:t>卸灰</w:t>
            </w:r>
            <w:r>
              <w:rPr>
                <w:rFonts w:hint="eastAsia"/>
                <w:color w:val="auto"/>
                <w:highlight w:val="none"/>
                <w:lang w:eastAsia="zh-CN"/>
              </w:rPr>
              <w:t>采用封闭袋装</w:t>
            </w:r>
            <w:r>
              <w:rPr>
                <w:rFonts w:hint="eastAsia"/>
                <w:color w:val="auto"/>
                <w:highlight w:val="none"/>
              </w:rPr>
              <w:t>，卸灰区封闭</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、脉冲布袋除尘器</w:t>
            </w:r>
            <w:r>
              <w:rPr>
                <w:rFonts w:hint="default" w:ascii="Times New Roman" w:hAnsi="Times New Roman" w:eastAsia="宋体" w:cs="Times New Roman"/>
                <w:color w:val="auto"/>
                <w:sz w:val="24"/>
                <w:szCs w:val="24"/>
                <w:highlight w:val="none"/>
                <w:lang w:eastAsia="zh-CN"/>
              </w:rPr>
              <w:t>更换的废布袋</w:t>
            </w:r>
            <w:r>
              <w:rPr>
                <w:rFonts w:hint="default" w:ascii="Times New Roman" w:hAnsi="Times New Roman" w:eastAsia="宋体" w:cs="Times New Roman"/>
                <w:color w:val="auto"/>
                <w:sz w:val="24"/>
                <w:szCs w:val="24"/>
                <w:highlight w:val="none"/>
                <w:lang w:val="en-US" w:eastAsia="zh-CN"/>
              </w:rPr>
              <w:t>、设备检修产生的废润滑油、废油桶、职工日常生活产生的生活垃圾</w:t>
            </w:r>
            <w:r>
              <w:rPr>
                <w:rFonts w:hint="default" w:ascii="Times New Roman" w:hAnsi="Times New Roman" w:eastAsia="宋体" w:cs="Times New Roman"/>
                <w:color w:val="auto"/>
                <w:sz w:val="24"/>
                <w:szCs w:val="24"/>
                <w:highlight w:val="none"/>
              </w:rPr>
              <w:t>。</w:t>
            </w:r>
          </w:p>
          <w:p w14:paraId="351E5634">
            <w:pPr>
              <w:keepNext w:val="0"/>
              <w:keepLines w:val="0"/>
              <w:pageBreakBefore w:val="0"/>
              <w:widowControl w:val="0"/>
              <w:shd w:val="clear"/>
              <w:kinsoku/>
              <w:wordWrap/>
              <w:overflowPunct/>
              <w:topLinePunct w:val="0"/>
              <w:autoSpaceDE w:val="0"/>
              <w:autoSpaceDN w:val="0"/>
              <w:bidi w:val="0"/>
              <w:adjustRightInd w:val="0"/>
              <w:snapToGrid/>
              <w:spacing w:line="480" w:lineRule="exact"/>
              <w:ind w:firstLine="480" w:firstLineChars="200"/>
              <w:textAlignment w:val="auto"/>
              <w:rPr>
                <w:rFonts w:hint="default"/>
                <w:color w:val="auto"/>
                <w:highlight w:val="none"/>
                <w:lang w:val="en-US" w:eastAsia="zh-CN"/>
              </w:rPr>
            </w:pPr>
            <w:r>
              <w:rPr>
                <w:rFonts w:hint="default"/>
                <w:color w:val="auto"/>
                <w:highlight w:val="none"/>
                <w:lang w:val="en-US" w:eastAsia="zh-CN"/>
              </w:rPr>
              <w:t>污染物主要排放节点如下：</w:t>
            </w:r>
          </w:p>
          <w:p w14:paraId="1BE9DFC6">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污染物排放节点简况</w:t>
            </w:r>
          </w:p>
          <w:tbl>
            <w:tblPr>
              <w:tblStyle w:val="32"/>
              <w:tblW w:w="7659"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96"/>
              <w:gridCol w:w="709"/>
              <w:gridCol w:w="84"/>
              <w:gridCol w:w="990"/>
              <w:gridCol w:w="945"/>
              <w:gridCol w:w="2610"/>
              <w:gridCol w:w="1095"/>
              <w:gridCol w:w="730"/>
            </w:tblGrid>
            <w:tr w14:paraId="779EE29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tcBorders>
                    <w:tl2br w:val="nil"/>
                    <w:tr2bl w:val="nil"/>
                  </w:tcBorders>
                  <w:noWrap w:val="0"/>
                  <w:vAlign w:val="center"/>
                </w:tcPr>
                <w:p w14:paraId="3C04ACD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类别</w:t>
                  </w:r>
                </w:p>
              </w:tc>
              <w:tc>
                <w:tcPr>
                  <w:tcW w:w="1783" w:type="dxa"/>
                  <w:gridSpan w:val="3"/>
                  <w:tcBorders>
                    <w:tl2br w:val="nil"/>
                    <w:tr2bl w:val="nil"/>
                  </w:tcBorders>
                  <w:noWrap w:val="0"/>
                  <w:vAlign w:val="center"/>
                </w:tcPr>
                <w:p w14:paraId="196FAEF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污染源</w:t>
                  </w:r>
                </w:p>
              </w:tc>
              <w:tc>
                <w:tcPr>
                  <w:tcW w:w="945" w:type="dxa"/>
                  <w:tcBorders>
                    <w:tl2br w:val="nil"/>
                    <w:tr2bl w:val="nil"/>
                  </w:tcBorders>
                  <w:noWrap w:val="0"/>
                  <w:vAlign w:val="center"/>
                </w:tcPr>
                <w:p w14:paraId="5D94FF3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污染因子</w:t>
                  </w:r>
                </w:p>
              </w:tc>
              <w:tc>
                <w:tcPr>
                  <w:tcW w:w="3705" w:type="dxa"/>
                  <w:gridSpan w:val="2"/>
                  <w:tcBorders>
                    <w:tl2br w:val="nil"/>
                    <w:tr2bl w:val="nil"/>
                  </w:tcBorders>
                  <w:noWrap w:val="0"/>
                  <w:vAlign w:val="center"/>
                </w:tcPr>
                <w:p w14:paraId="17C9990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治理措施</w:t>
                  </w:r>
                </w:p>
              </w:tc>
              <w:tc>
                <w:tcPr>
                  <w:tcW w:w="730" w:type="dxa"/>
                  <w:tcBorders>
                    <w:tl2br w:val="nil"/>
                    <w:tr2bl w:val="nil"/>
                  </w:tcBorders>
                  <w:noWrap w:val="0"/>
                  <w:vAlign w:val="center"/>
                </w:tcPr>
                <w:p w14:paraId="20390BE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排放特征</w:t>
                  </w:r>
                </w:p>
              </w:tc>
            </w:tr>
            <w:tr w14:paraId="49DC4D6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restart"/>
                  <w:tcBorders>
                    <w:tl2br w:val="nil"/>
                    <w:tr2bl w:val="nil"/>
                  </w:tcBorders>
                  <w:noWrap w:val="0"/>
                  <w:vAlign w:val="center"/>
                </w:tcPr>
                <w:p w14:paraId="06477D1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废气</w:t>
                  </w:r>
                </w:p>
              </w:tc>
              <w:tc>
                <w:tcPr>
                  <w:tcW w:w="1783" w:type="dxa"/>
                  <w:gridSpan w:val="3"/>
                  <w:tcBorders>
                    <w:tl2br w:val="nil"/>
                    <w:tr2bl w:val="nil"/>
                  </w:tcBorders>
                  <w:noWrap w:val="0"/>
                  <w:vAlign w:val="center"/>
                </w:tcPr>
                <w:p w14:paraId="1500EC8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不合格矿石原料装卸、堆存过程</w:t>
                  </w:r>
                </w:p>
              </w:tc>
              <w:tc>
                <w:tcPr>
                  <w:tcW w:w="945" w:type="dxa"/>
                  <w:tcBorders>
                    <w:tl2br w:val="nil"/>
                    <w:tr2bl w:val="nil"/>
                  </w:tcBorders>
                  <w:noWrap w:val="0"/>
                  <w:vAlign w:val="center"/>
                </w:tcPr>
                <w:p w14:paraId="09F7D6E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颗粒物</w:t>
                  </w:r>
                </w:p>
              </w:tc>
              <w:tc>
                <w:tcPr>
                  <w:tcW w:w="3705" w:type="dxa"/>
                  <w:gridSpan w:val="2"/>
                  <w:tcBorders>
                    <w:tl2br w:val="nil"/>
                    <w:tr2bl w:val="nil"/>
                  </w:tcBorders>
                  <w:noWrap w:val="0"/>
                  <w:vAlign w:val="center"/>
                </w:tcPr>
                <w:p w14:paraId="4CC6458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both"/>
                    <w:textAlignment w:val="auto"/>
                    <w:rPr>
                      <w:rFonts w:hint="eastAsia" w:eastAsia="宋体"/>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位于封闭</w:t>
                  </w:r>
                  <w:r>
                    <w:rPr>
                      <w:rFonts w:hint="eastAsia" w:eastAsia="宋体" w:cs="Times New Roman"/>
                      <w:color w:val="auto"/>
                      <w:sz w:val="21"/>
                      <w:szCs w:val="21"/>
                      <w:highlight w:val="none"/>
                      <w:lang w:val="en-US" w:eastAsia="zh-CN"/>
                    </w:rPr>
                    <w:t>预处理车间</w:t>
                  </w:r>
                  <w:r>
                    <w:rPr>
                      <w:rFonts w:hint="default" w:ascii="Times New Roman" w:hAnsi="Times New Roman" w:eastAsia="宋体" w:cs="Times New Roman"/>
                      <w:color w:val="auto"/>
                      <w:sz w:val="21"/>
                      <w:szCs w:val="21"/>
                      <w:highlight w:val="none"/>
                      <w:lang w:val="en-US" w:eastAsia="zh-CN"/>
                    </w:rPr>
                    <w:t>内，</w:t>
                  </w:r>
                  <w:r>
                    <w:rPr>
                      <w:rFonts w:hint="eastAsia"/>
                      <w:color w:val="auto"/>
                      <w:sz w:val="21"/>
                      <w:szCs w:val="21"/>
                      <w:highlight w:val="none"/>
                      <w:lang w:eastAsia="zh-CN"/>
                    </w:rPr>
                    <w:t>不合格矿石原料堆存区</w:t>
                  </w:r>
                  <w:r>
                    <w:rPr>
                      <w:rFonts w:hint="default" w:ascii="Times New Roman" w:hAnsi="Times New Roman" w:eastAsia="宋体" w:cs="Times New Roman"/>
                      <w:color w:val="auto"/>
                      <w:sz w:val="21"/>
                      <w:szCs w:val="21"/>
                      <w:highlight w:val="none"/>
                      <w:lang w:val="en-US" w:eastAsia="zh-CN"/>
                    </w:rPr>
                    <w:t>设置雾炮喷淋，定期洒水抑尘</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封闭</w:t>
                  </w:r>
                  <w:r>
                    <w:rPr>
                      <w:rFonts w:hint="eastAsia" w:eastAsia="宋体" w:cs="Times New Roman"/>
                      <w:color w:val="auto"/>
                      <w:sz w:val="21"/>
                      <w:szCs w:val="21"/>
                      <w:highlight w:val="none"/>
                      <w:lang w:val="en-US" w:eastAsia="zh-CN"/>
                    </w:rPr>
                    <w:t>预处理车间</w:t>
                  </w:r>
                  <w:r>
                    <w:rPr>
                      <w:rFonts w:hint="eastAsia" w:ascii="Times New Roman" w:hAnsi="Times New Roman" w:eastAsia="宋体" w:cs="Times New Roman"/>
                      <w:color w:val="auto"/>
                      <w:sz w:val="21"/>
                      <w:szCs w:val="21"/>
                      <w:highlight w:val="none"/>
                      <w:lang w:val="en-US" w:eastAsia="zh-CN"/>
                    </w:rPr>
                    <w:t>设置全自动自动感应门</w:t>
                  </w:r>
                </w:p>
              </w:tc>
              <w:tc>
                <w:tcPr>
                  <w:tcW w:w="730" w:type="dxa"/>
                  <w:tcBorders>
                    <w:tl2br w:val="nil"/>
                    <w:tr2bl w:val="nil"/>
                  </w:tcBorders>
                  <w:noWrap w:val="0"/>
                  <w:vAlign w:val="center"/>
                </w:tcPr>
                <w:p w14:paraId="51B9D19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连续</w:t>
                  </w:r>
                </w:p>
              </w:tc>
            </w:tr>
            <w:tr w14:paraId="18C5ADF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01AF0C4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1783" w:type="dxa"/>
                  <w:gridSpan w:val="3"/>
                  <w:tcBorders>
                    <w:tl2br w:val="nil"/>
                    <w:tr2bl w:val="nil"/>
                  </w:tcBorders>
                  <w:noWrap w:val="0"/>
                  <w:vAlign w:val="center"/>
                </w:tcPr>
                <w:p w14:paraId="561E0E5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不合格矿石原料上料过程</w:t>
                  </w:r>
                </w:p>
              </w:tc>
              <w:tc>
                <w:tcPr>
                  <w:tcW w:w="945" w:type="dxa"/>
                  <w:tcBorders>
                    <w:tl2br w:val="nil"/>
                    <w:tr2bl w:val="nil"/>
                  </w:tcBorders>
                  <w:noWrap w:val="0"/>
                  <w:vAlign w:val="center"/>
                </w:tcPr>
                <w:p w14:paraId="6E6D3C6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2610" w:type="dxa"/>
                  <w:tcBorders>
                    <w:tl2br w:val="nil"/>
                    <w:tr2bl w:val="nil"/>
                  </w:tcBorders>
                  <w:noWrap w:val="0"/>
                  <w:vAlign w:val="center"/>
                </w:tcPr>
                <w:p w14:paraId="6F42ACD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ascii="Times New Roman" w:hAnsi="Times New Roman" w:eastAsia="宋体" w:cs="Times New Roman"/>
                      <w:color w:val="auto"/>
                      <w:sz w:val="21"/>
                      <w:szCs w:val="21"/>
                      <w:highlight w:val="none"/>
                      <w:lang w:val="en-US" w:eastAsia="zh-CN"/>
                    </w:rPr>
                    <w:t>上料</w:t>
                  </w:r>
                  <w:r>
                    <w:rPr>
                      <w:rFonts w:hint="eastAsia" w:eastAsia="宋体" w:cs="Times New Roman"/>
                      <w:color w:val="auto"/>
                      <w:sz w:val="21"/>
                      <w:szCs w:val="21"/>
                      <w:highlight w:val="none"/>
                      <w:lang w:val="en-US" w:eastAsia="zh-CN"/>
                    </w:rPr>
                    <w:t>仓</w:t>
                  </w:r>
                  <w:r>
                    <w:rPr>
                      <w:rFonts w:hint="default" w:ascii="Times New Roman" w:hAnsi="Times New Roman" w:eastAsia="宋体" w:cs="Times New Roman"/>
                      <w:color w:val="auto"/>
                      <w:sz w:val="21"/>
                      <w:szCs w:val="21"/>
                      <w:highlight w:val="none"/>
                      <w:lang w:val="en-US" w:eastAsia="zh-CN"/>
                    </w:rPr>
                    <w:t>三面及顶部围挡，一面设置软帘，</w:t>
                  </w:r>
                  <w:r>
                    <w:rPr>
                      <w:rFonts w:hint="eastAsia" w:cs="Times New Roman"/>
                      <w:color w:val="auto"/>
                      <w:sz w:val="21"/>
                      <w:szCs w:val="21"/>
                      <w:highlight w:val="none"/>
                      <w:lang w:val="en-US" w:eastAsia="zh-CN"/>
                    </w:rPr>
                    <w:t>顶部设置集气罩；</w:t>
                  </w:r>
                  <w:r>
                    <w:rPr>
                      <w:rFonts w:hint="eastAsia" w:ascii="Times New Roman" w:hAnsi="Times New Roman" w:eastAsia="宋体" w:cs="Times New Roman"/>
                      <w:color w:val="auto"/>
                      <w:sz w:val="21"/>
                      <w:szCs w:val="21"/>
                      <w:highlight w:val="none"/>
                      <w:lang w:val="en-US" w:eastAsia="zh-CN"/>
                    </w:rPr>
                    <w:t>设置伞状喷雾抑尘装置，喷雾抑尘装置范围应覆盖整个落料点</w:t>
                  </w:r>
                  <w:r>
                    <w:rPr>
                      <w:rFonts w:hint="eastAsia" w:eastAsia="宋体" w:cs="Times New Roman"/>
                      <w:color w:val="auto"/>
                      <w:sz w:val="21"/>
                      <w:szCs w:val="21"/>
                      <w:highlight w:val="none"/>
                      <w:lang w:val="en-US" w:eastAsia="zh-CN"/>
                    </w:rPr>
                    <w:t>（电伴热）</w:t>
                  </w:r>
                </w:p>
              </w:tc>
              <w:tc>
                <w:tcPr>
                  <w:tcW w:w="1095" w:type="dxa"/>
                  <w:vMerge w:val="restart"/>
                  <w:tcBorders>
                    <w:tl2br w:val="nil"/>
                    <w:tr2bl w:val="nil"/>
                  </w:tcBorders>
                  <w:noWrap w:val="0"/>
                  <w:vAlign w:val="center"/>
                </w:tcPr>
                <w:p w14:paraId="72D2135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上述工序产生的废气经集气装置收集后，由1套</w:t>
                  </w:r>
                  <w:r>
                    <w:rPr>
                      <w:rFonts w:hint="default" w:ascii="Times New Roman" w:hAnsi="Times New Roman" w:eastAsia="宋体" w:cs="Times New Roman"/>
                      <w:color w:val="auto"/>
                      <w:sz w:val="21"/>
                      <w:szCs w:val="21"/>
                      <w:highlight w:val="none"/>
                      <w:lang w:val="en-US" w:eastAsia="zh-CN"/>
                    </w:rPr>
                    <w:t>脉冲布袋除尘器</w:t>
                  </w:r>
                  <w:r>
                    <w:rPr>
                      <w:rFonts w:hint="eastAsia" w:eastAsia="宋体" w:cs="Times New Roman"/>
                      <w:color w:val="auto"/>
                      <w:sz w:val="21"/>
                      <w:szCs w:val="21"/>
                      <w:highlight w:val="none"/>
                      <w:lang w:val="en-US" w:eastAsia="zh-CN"/>
                    </w:rPr>
                    <w:t>处理，经1根</w:t>
                  </w:r>
                  <w:r>
                    <w:rPr>
                      <w:rFonts w:hint="default" w:ascii="Times New Roman" w:hAnsi="Times New Roman" w:eastAsia="宋体" w:cs="Times New Roman"/>
                      <w:color w:val="auto"/>
                      <w:sz w:val="21"/>
                      <w:szCs w:val="21"/>
                      <w:highlight w:val="none"/>
                      <w:lang w:val="en-US" w:eastAsia="zh-CN"/>
                    </w:rPr>
                    <w:t>排气筒（DA00</w:t>
                  </w:r>
                  <w:r>
                    <w:rPr>
                      <w:rFonts w:hint="eastAsia"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eastAsia="宋体" w:cs="Times New Roman"/>
                      <w:color w:val="auto"/>
                      <w:sz w:val="21"/>
                      <w:szCs w:val="21"/>
                      <w:highlight w:val="none"/>
                      <w:lang w:val="en-US" w:eastAsia="zh-CN"/>
                    </w:rPr>
                    <w:t>排放</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风机风量</w:t>
                  </w:r>
                  <w:r>
                    <w:rPr>
                      <w:rFonts w:hint="eastAsia" w:cs="Times New Roman"/>
                      <w:color w:val="auto"/>
                      <w:sz w:val="21"/>
                      <w:szCs w:val="21"/>
                      <w:highlight w:val="none"/>
                      <w:lang w:val="en-US" w:eastAsia="zh-CN"/>
                    </w:rPr>
                    <w:t>38000</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/h</w:t>
                  </w:r>
                </w:p>
              </w:tc>
              <w:tc>
                <w:tcPr>
                  <w:tcW w:w="730" w:type="dxa"/>
                  <w:tcBorders>
                    <w:tl2br w:val="nil"/>
                    <w:tr2bl w:val="nil"/>
                  </w:tcBorders>
                  <w:noWrap w:val="0"/>
                  <w:vAlign w:val="center"/>
                </w:tcPr>
                <w:p w14:paraId="64EAE37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连续</w:t>
                  </w:r>
                </w:p>
              </w:tc>
            </w:tr>
            <w:tr w14:paraId="702180D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31A7279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restart"/>
                  <w:tcBorders>
                    <w:tl2br w:val="nil"/>
                    <w:tr2bl w:val="nil"/>
                  </w:tcBorders>
                  <w:noWrap w:val="0"/>
                  <w:vAlign w:val="center"/>
                </w:tcPr>
                <w:p w14:paraId="16AA44F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颚式破碎机</w:t>
                  </w:r>
                </w:p>
              </w:tc>
              <w:tc>
                <w:tcPr>
                  <w:tcW w:w="990" w:type="dxa"/>
                  <w:tcBorders>
                    <w:tl2br w:val="nil"/>
                    <w:tr2bl w:val="nil"/>
                  </w:tcBorders>
                  <w:noWrap w:val="0"/>
                  <w:vAlign w:val="center"/>
                </w:tcPr>
                <w:p w14:paraId="6E6D4F7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破碎</w:t>
                  </w:r>
                </w:p>
              </w:tc>
              <w:tc>
                <w:tcPr>
                  <w:tcW w:w="945" w:type="dxa"/>
                  <w:tcBorders>
                    <w:tl2br w:val="nil"/>
                    <w:tr2bl w:val="nil"/>
                  </w:tcBorders>
                  <w:noWrap w:val="0"/>
                  <w:vAlign w:val="center"/>
                </w:tcPr>
                <w:p w14:paraId="38E74D5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2610" w:type="dxa"/>
                  <w:tcBorders>
                    <w:tl2br w:val="nil"/>
                    <w:tr2bl w:val="nil"/>
                  </w:tcBorders>
                  <w:noWrap w:val="0"/>
                  <w:vAlign w:val="center"/>
                </w:tcPr>
                <w:p w14:paraId="3A640AD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上料仓与颚式破碎机入料口采用全封闭连接，并在衔接位置设置集气引风口</w:t>
                  </w:r>
                </w:p>
              </w:tc>
              <w:tc>
                <w:tcPr>
                  <w:tcW w:w="1095" w:type="dxa"/>
                  <w:vMerge w:val="continue"/>
                  <w:tcBorders>
                    <w:tl2br w:val="nil"/>
                    <w:tr2bl w:val="nil"/>
                  </w:tcBorders>
                  <w:noWrap w:val="0"/>
                  <w:vAlign w:val="center"/>
                </w:tcPr>
                <w:p w14:paraId="372CD0E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730" w:type="dxa"/>
                  <w:vMerge w:val="restart"/>
                  <w:tcBorders>
                    <w:tl2br w:val="nil"/>
                    <w:tr2bl w:val="nil"/>
                  </w:tcBorders>
                  <w:noWrap w:val="0"/>
                  <w:vAlign w:val="center"/>
                </w:tcPr>
                <w:p w14:paraId="67EBAB3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连续</w:t>
                  </w:r>
                </w:p>
              </w:tc>
            </w:tr>
            <w:tr w14:paraId="390DCD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0BE2A09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continue"/>
                  <w:tcBorders>
                    <w:tl2br w:val="nil"/>
                    <w:tr2bl w:val="nil"/>
                  </w:tcBorders>
                  <w:noWrap w:val="0"/>
                  <w:vAlign w:val="center"/>
                </w:tcPr>
                <w:p w14:paraId="07CDAC3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990" w:type="dxa"/>
                  <w:tcBorders>
                    <w:tl2br w:val="nil"/>
                    <w:tr2bl w:val="nil"/>
                  </w:tcBorders>
                  <w:noWrap w:val="0"/>
                  <w:vAlign w:val="center"/>
                </w:tcPr>
                <w:p w14:paraId="2B90EE1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落料</w:t>
                  </w:r>
                </w:p>
              </w:tc>
              <w:tc>
                <w:tcPr>
                  <w:tcW w:w="945" w:type="dxa"/>
                  <w:tcBorders>
                    <w:tl2br w:val="nil"/>
                    <w:tr2bl w:val="nil"/>
                  </w:tcBorders>
                  <w:noWrap w:val="0"/>
                  <w:vAlign w:val="center"/>
                </w:tcPr>
                <w:p w14:paraId="5C33DE2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2610" w:type="dxa"/>
                  <w:tcBorders>
                    <w:tl2br w:val="nil"/>
                    <w:tr2bl w:val="nil"/>
                  </w:tcBorders>
                  <w:noWrap w:val="0"/>
                  <w:vAlign w:val="center"/>
                </w:tcPr>
                <w:p w14:paraId="3C0C819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rPr>
                  </w:pPr>
                  <w:r>
                    <w:rPr>
                      <w:rFonts w:hint="eastAsia" w:cs="Times New Roman"/>
                      <w:color w:val="auto"/>
                      <w:sz w:val="21"/>
                      <w:szCs w:val="21"/>
                      <w:highlight w:val="none"/>
                      <w:lang w:val="en-US" w:eastAsia="zh-CN"/>
                    </w:rPr>
                    <w:t>物料落料处全封闭，落料点上方设置集气引风口</w:t>
                  </w:r>
                </w:p>
              </w:tc>
              <w:tc>
                <w:tcPr>
                  <w:tcW w:w="1095" w:type="dxa"/>
                  <w:vMerge w:val="continue"/>
                  <w:tcBorders>
                    <w:tl2br w:val="nil"/>
                    <w:tr2bl w:val="nil"/>
                  </w:tcBorders>
                  <w:noWrap w:val="0"/>
                  <w:vAlign w:val="center"/>
                </w:tcPr>
                <w:p w14:paraId="36EA95F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vMerge w:val="continue"/>
                  <w:tcBorders>
                    <w:tl2br w:val="nil"/>
                    <w:tr2bl w:val="nil"/>
                  </w:tcBorders>
                  <w:noWrap w:val="0"/>
                  <w:vAlign w:val="center"/>
                </w:tcPr>
                <w:p w14:paraId="1C70F79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r>
            <w:tr w14:paraId="623164F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68A3E05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restart"/>
                  <w:tcBorders>
                    <w:tl2br w:val="nil"/>
                    <w:tr2bl w:val="nil"/>
                  </w:tcBorders>
                  <w:noWrap w:val="0"/>
                  <w:vAlign w:val="center"/>
                </w:tcPr>
                <w:p w14:paraId="48F8FF7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圆锥破碎机</w:t>
                  </w:r>
                </w:p>
              </w:tc>
              <w:tc>
                <w:tcPr>
                  <w:tcW w:w="990" w:type="dxa"/>
                  <w:tcBorders>
                    <w:tl2br w:val="nil"/>
                    <w:tr2bl w:val="nil"/>
                  </w:tcBorders>
                  <w:noWrap w:val="0"/>
                  <w:vAlign w:val="center"/>
                </w:tcPr>
                <w:p w14:paraId="604EA3C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上料、破碎</w:t>
                  </w:r>
                </w:p>
              </w:tc>
              <w:tc>
                <w:tcPr>
                  <w:tcW w:w="945" w:type="dxa"/>
                  <w:tcBorders>
                    <w:tl2br w:val="nil"/>
                    <w:tr2bl w:val="nil"/>
                  </w:tcBorders>
                  <w:noWrap w:val="0"/>
                  <w:vAlign w:val="center"/>
                </w:tcPr>
                <w:p w14:paraId="368E778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2610" w:type="dxa"/>
                  <w:tcBorders>
                    <w:tl2br w:val="nil"/>
                    <w:tr2bl w:val="nil"/>
                  </w:tcBorders>
                  <w:noWrap w:val="0"/>
                  <w:vAlign w:val="center"/>
                </w:tcPr>
                <w:p w14:paraId="05D1E7F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eastAsia" w:cs="Times New Roman"/>
                      <w:color w:val="auto"/>
                      <w:sz w:val="21"/>
                      <w:szCs w:val="21"/>
                      <w:highlight w:val="none"/>
                      <w:lang w:val="en-US" w:eastAsia="zh-CN"/>
                    </w:rPr>
                    <w:t>皮带输送机与圆锥破碎机封闭相连，圆锥破碎机入料口上方设置集气罩</w:t>
                  </w:r>
                </w:p>
              </w:tc>
              <w:tc>
                <w:tcPr>
                  <w:tcW w:w="1095" w:type="dxa"/>
                  <w:vMerge w:val="continue"/>
                  <w:tcBorders>
                    <w:tl2br w:val="nil"/>
                    <w:tr2bl w:val="nil"/>
                  </w:tcBorders>
                  <w:noWrap w:val="0"/>
                  <w:vAlign w:val="center"/>
                </w:tcPr>
                <w:p w14:paraId="0EC5BBB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vMerge w:val="continue"/>
                  <w:tcBorders>
                    <w:tl2br w:val="nil"/>
                    <w:tr2bl w:val="nil"/>
                  </w:tcBorders>
                  <w:noWrap w:val="0"/>
                  <w:vAlign w:val="center"/>
                </w:tcPr>
                <w:p w14:paraId="45B4DA4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r>
            <w:tr w14:paraId="12675E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52DCFF8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continue"/>
                  <w:tcBorders>
                    <w:tl2br w:val="nil"/>
                    <w:tr2bl w:val="nil"/>
                  </w:tcBorders>
                  <w:noWrap w:val="0"/>
                  <w:vAlign w:val="center"/>
                </w:tcPr>
                <w:p w14:paraId="7342AF8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990" w:type="dxa"/>
                  <w:tcBorders>
                    <w:tl2br w:val="nil"/>
                    <w:tr2bl w:val="nil"/>
                  </w:tcBorders>
                  <w:noWrap w:val="0"/>
                  <w:vAlign w:val="center"/>
                </w:tcPr>
                <w:p w14:paraId="4736064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落料</w:t>
                  </w:r>
                </w:p>
              </w:tc>
              <w:tc>
                <w:tcPr>
                  <w:tcW w:w="945" w:type="dxa"/>
                  <w:tcBorders>
                    <w:tl2br w:val="nil"/>
                    <w:tr2bl w:val="nil"/>
                  </w:tcBorders>
                  <w:noWrap w:val="0"/>
                  <w:vAlign w:val="center"/>
                </w:tcPr>
                <w:p w14:paraId="6FDC158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2610" w:type="dxa"/>
                  <w:tcBorders>
                    <w:tl2br w:val="nil"/>
                    <w:tr2bl w:val="nil"/>
                  </w:tcBorders>
                  <w:noWrap w:val="0"/>
                  <w:vAlign w:val="center"/>
                </w:tcPr>
                <w:p w14:paraId="7CD6412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eastAsia" w:cs="Times New Roman"/>
                      <w:color w:val="auto"/>
                      <w:sz w:val="21"/>
                      <w:szCs w:val="21"/>
                      <w:highlight w:val="none"/>
                      <w:lang w:val="en-US" w:eastAsia="zh-CN"/>
                    </w:rPr>
                    <w:t>物料落料处全封闭，落料点上方设置集气引风口</w:t>
                  </w:r>
                </w:p>
              </w:tc>
              <w:tc>
                <w:tcPr>
                  <w:tcW w:w="1095" w:type="dxa"/>
                  <w:vMerge w:val="continue"/>
                  <w:tcBorders>
                    <w:tl2br w:val="nil"/>
                    <w:tr2bl w:val="nil"/>
                  </w:tcBorders>
                  <w:noWrap w:val="0"/>
                  <w:vAlign w:val="center"/>
                </w:tcPr>
                <w:p w14:paraId="1C7ADC0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vMerge w:val="continue"/>
                  <w:tcBorders>
                    <w:tl2br w:val="nil"/>
                    <w:tr2bl w:val="nil"/>
                  </w:tcBorders>
                  <w:noWrap w:val="0"/>
                  <w:vAlign w:val="center"/>
                </w:tcPr>
                <w:p w14:paraId="746A7EC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r>
            <w:tr w14:paraId="59F736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369FC8C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restart"/>
                  <w:tcBorders>
                    <w:tl2br w:val="nil"/>
                    <w:tr2bl w:val="nil"/>
                  </w:tcBorders>
                  <w:noWrap w:val="0"/>
                  <w:vAlign w:val="center"/>
                </w:tcPr>
                <w:p w14:paraId="4C91704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default" w:ascii="Times New Roman" w:hAnsi="Times New Roman" w:eastAsia="Segoe UI Symbol" w:cs="Times New Roman"/>
                      <w:i w:val="0"/>
                      <w:iCs w:val="0"/>
                      <w:caps w:val="0"/>
                      <w:color w:val="auto"/>
                      <w:spacing w:val="0"/>
                      <w:sz w:val="21"/>
                      <w:szCs w:val="21"/>
                    </w:rPr>
                    <w:t>复式摇筛</w:t>
                  </w:r>
                </w:p>
              </w:tc>
              <w:tc>
                <w:tcPr>
                  <w:tcW w:w="990" w:type="dxa"/>
                  <w:tcBorders>
                    <w:tl2br w:val="nil"/>
                    <w:tr2bl w:val="nil"/>
                  </w:tcBorders>
                  <w:noWrap w:val="0"/>
                  <w:vAlign w:val="center"/>
                </w:tcPr>
                <w:p w14:paraId="1513F1C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上料</w:t>
                  </w:r>
                </w:p>
              </w:tc>
              <w:tc>
                <w:tcPr>
                  <w:tcW w:w="945" w:type="dxa"/>
                  <w:tcBorders>
                    <w:tl2br w:val="nil"/>
                    <w:tr2bl w:val="nil"/>
                  </w:tcBorders>
                  <w:noWrap w:val="0"/>
                  <w:vAlign w:val="center"/>
                </w:tcPr>
                <w:p w14:paraId="3B46F53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颗粒物</w:t>
                  </w:r>
                </w:p>
              </w:tc>
              <w:tc>
                <w:tcPr>
                  <w:tcW w:w="2610" w:type="dxa"/>
                  <w:tcBorders>
                    <w:tl2br w:val="nil"/>
                    <w:tr2bl w:val="nil"/>
                  </w:tcBorders>
                  <w:noWrap w:val="0"/>
                  <w:vAlign w:val="center"/>
                </w:tcPr>
                <w:p w14:paraId="63F3D9BA">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皮带输送机与圆复式摇筛封闭相连，圆复式摇筛入料口上方设置集气罩</w:t>
                  </w:r>
                </w:p>
              </w:tc>
              <w:tc>
                <w:tcPr>
                  <w:tcW w:w="1095" w:type="dxa"/>
                  <w:vMerge w:val="continue"/>
                  <w:tcBorders>
                    <w:tl2br w:val="nil"/>
                    <w:tr2bl w:val="nil"/>
                  </w:tcBorders>
                  <w:noWrap w:val="0"/>
                  <w:vAlign w:val="center"/>
                </w:tcPr>
                <w:p w14:paraId="63BE2C4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vMerge w:val="continue"/>
                  <w:tcBorders>
                    <w:tl2br w:val="nil"/>
                    <w:tr2bl w:val="nil"/>
                  </w:tcBorders>
                  <w:noWrap w:val="0"/>
                  <w:vAlign w:val="center"/>
                </w:tcPr>
                <w:p w14:paraId="4533443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r>
            <w:tr w14:paraId="6644367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691792B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continue"/>
                  <w:tcBorders>
                    <w:tl2br w:val="nil"/>
                    <w:tr2bl w:val="nil"/>
                  </w:tcBorders>
                  <w:noWrap w:val="0"/>
                  <w:vAlign w:val="center"/>
                </w:tcPr>
                <w:p w14:paraId="4888E69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990" w:type="dxa"/>
                  <w:tcBorders>
                    <w:tl2br w:val="nil"/>
                    <w:tr2bl w:val="nil"/>
                  </w:tcBorders>
                  <w:noWrap w:val="0"/>
                  <w:vAlign w:val="center"/>
                </w:tcPr>
                <w:p w14:paraId="09CD467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筛分</w:t>
                  </w:r>
                </w:p>
              </w:tc>
              <w:tc>
                <w:tcPr>
                  <w:tcW w:w="945" w:type="dxa"/>
                  <w:tcBorders>
                    <w:tl2br w:val="nil"/>
                    <w:tr2bl w:val="nil"/>
                  </w:tcBorders>
                  <w:noWrap w:val="0"/>
                  <w:vAlign w:val="center"/>
                </w:tcPr>
                <w:p w14:paraId="3E22873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颗粒物</w:t>
                  </w:r>
                </w:p>
              </w:tc>
              <w:tc>
                <w:tcPr>
                  <w:tcW w:w="2610" w:type="dxa"/>
                  <w:tcBorders>
                    <w:tl2br w:val="nil"/>
                    <w:tr2bl w:val="nil"/>
                  </w:tcBorders>
                  <w:noWrap w:val="0"/>
                  <w:vAlign w:val="center"/>
                </w:tcPr>
                <w:p w14:paraId="6904BAF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振动筛四面封闭，</w:t>
                  </w:r>
                  <w:r>
                    <w:rPr>
                      <w:rFonts w:hint="eastAsia" w:ascii="Times New Roman" w:hAnsi="Times New Roman" w:eastAsia="宋体" w:cs="Times New Roman"/>
                      <w:color w:val="auto"/>
                      <w:sz w:val="21"/>
                      <w:szCs w:val="21"/>
                      <w:highlight w:val="none"/>
                      <w:lang w:val="en-US" w:eastAsia="zh-CN"/>
                    </w:rPr>
                    <w:t>筛面</w:t>
                  </w:r>
                  <w:r>
                    <w:rPr>
                      <w:rFonts w:hint="default" w:ascii="Times New Roman" w:hAnsi="Times New Roman" w:eastAsia="宋体" w:cs="Times New Roman"/>
                      <w:color w:val="auto"/>
                      <w:sz w:val="21"/>
                      <w:szCs w:val="21"/>
                      <w:highlight w:val="none"/>
                      <w:lang w:val="en-US" w:eastAsia="zh-CN"/>
                    </w:rPr>
                    <w:t>上方设置集气罩，收集废气</w:t>
                  </w:r>
                </w:p>
              </w:tc>
              <w:tc>
                <w:tcPr>
                  <w:tcW w:w="1095" w:type="dxa"/>
                  <w:vMerge w:val="continue"/>
                  <w:tcBorders>
                    <w:tl2br w:val="nil"/>
                    <w:tr2bl w:val="nil"/>
                  </w:tcBorders>
                  <w:noWrap w:val="0"/>
                  <w:vAlign w:val="center"/>
                </w:tcPr>
                <w:p w14:paraId="3F3CB74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vMerge w:val="continue"/>
                  <w:tcBorders>
                    <w:tl2br w:val="nil"/>
                    <w:tr2bl w:val="nil"/>
                  </w:tcBorders>
                  <w:noWrap w:val="0"/>
                  <w:vAlign w:val="center"/>
                </w:tcPr>
                <w:p w14:paraId="4452F3E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r>
            <w:tr w14:paraId="2D2B26E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6594F79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93" w:type="dxa"/>
                  <w:gridSpan w:val="2"/>
                  <w:vMerge w:val="continue"/>
                  <w:tcBorders>
                    <w:tl2br w:val="nil"/>
                    <w:tr2bl w:val="nil"/>
                  </w:tcBorders>
                  <w:noWrap w:val="0"/>
                  <w:vAlign w:val="center"/>
                </w:tcPr>
                <w:p w14:paraId="563CF9A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990" w:type="dxa"/>
                  <w:tcBorders>
                    <w:tl2br w:val="nil"/>
                    <w:tr2bl w:val="nil"/>
                  </w:tcBorders>
                  <w:noWrap w:val="0"/>
                  <w:vAlign w:val="center"/>
                </w:tcPr>
                <w:p w14:paraId="6210536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落料</w:t>
                  </w:r>
                </w:p>
              </w:tc>
              <w:tc>
                <w:tcPr>
                  <w:tcW w:w="945" w:type="dxa"/>
                  <w:tcBorders>
                    <w:tl2br w:val="nil"/>
                    <w:tr2bl w:val="nil"/>
                  </w:tcBorders>
                  <w:noWrap w:val="0"/>
                  <w:vAlign w:val="center"/>
                </w:tcPr>
                <w:p w14:paraId="2EDB750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2610" w:type="dxa"/>
                  <w:tcBorders>
                    <w:tl2br w:val="nil"/>
                    <w:tr2bl w:val="nil"/>
                  </w:tcBorders>
                  <w:noWrap w:val="0"/>
                  <w:vAlign w:val="center"/>
                </w:tcPr>
                <w:p w14:paraId="09D0420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ascii="Times New Roman" w:hAnsi="Times New Roman" w:eastAsia="宋体" w:cs="Times New Roman"/>
                      <w:color w:val="auto"/>
                      <w:sz w:val="21"/>
                      <w:szCs w:val="21"/>
                      <w:highlight w:val="none"/>
                      <w:lang w:val="en-US" w:eastAsia="zh-CN"/>
                    </w:rPr>
                    <w:t>在落料</w:t>
                  </w:r>
                  <w:r>
                    <w:rPr>
                      <w:rFonts w:hint="eastAsia" w:ascii="Times New Roman" w:hAnsi="Times New Roman" w:eastAsia="宋体" w:cs="Times New Roman"/>
                      <w:color w:val="auto"/>
                      <w:sz w:val="21"/>
                      <w:szCs w:val="21"/>
                      <w:highlight w:val="none"/>
                      <w:lang w:val="en-US" w:eastAsia="zh-CN"/>
                    </w:rPr>
                    <w:t>点（2处）</w:t>
                  </w:r>
                  <w:r>
                    <w:rPr>
                      <w:rFonts w:hint="eastAsia" w:cs="Times New Roman"/>
                      <w:color w:val="auto"/>
                      <w:sz w:val="21"/>
                      <w:szCs w:val="21"/>
                      <w:highlight w:val="none"/>
                      <w:lang w:val="en-US" w:eastAsia="zh-CN"/>
                    </w:rPr>
                    <w:t>上方设置集气罩，并</w:t>
                  </w:r>
                  <w:r>
                    <w:rPr>
                      <w:rFonts w:hint="eastAsia" w:ascii="Times New Roman" w:hAnsi="Times New Roman" w:eastAsia="宋体" w:cs="Times New Roman"/>
                      <w:color w:val="auto"/>
                      <w:sz w:val="21"/>
                      <w:szCs w:val="21"/>
                      <w:highlight w:val="none"/>
                      <w:lang w:val="en-US" w:eastAsia="zh-CN"/>
                    </w:rPr>
                    <w:t>设置伞状喷雾抑尘装置（设置电伴热装置），喷雾抑尘装置范围应覆盖整个落料点</w:t>
                  </w:r>
                </w:p>
              </w:tc>
              <w:tc>
                <w:tcPr>
                  <w:tcW w:w="1095" w:type="dxa"/>
                  <w:vMerge w:val="continue"/>
                  <w:tcBorders>
                    <w:tl2br w:val="nil"/>
                    <w:tr2bl w:val="nil"/>
                  </w:tcBorders>
                  <w:noWrap w:val="0"/>
                  <w:vAlign w:val="center"/>
                </w:tcPr>
                <w:p w14:paraId="39F4775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730" w:type="dxa"/>
                  <w:vMerge w:val="continue"/>
                  <w:tcBorders>
                    <w:tl2br w:val="nil"/>
                    <w:tr2bl w:val="nil"/>
                  </w:tcBorders>
                  <w:noWrap w:val="0"/>
                  <w:vAlign w:val="center"/>
                </w:tcPr>
                <w:p w14:paraId="065B1DC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r>
            <w:tr w14:paraId="3AF109C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42" w:hRule="atLeast"/>
                <w:jc w:val="center"/>
              </w:trPr>
              <w:tc>
                <w:tcPr>
                  <w:tcW w:w="496" w:type="dxa"/>
                  <w:vMerge w:val="continue"/>
                  <w:tcBorders>
                    <w:tl2br w:val="nil"/>
                    <w:tr2bl w:val="nil"/>
                  </w:tcBorders>
                  <w:noWrap w:val="0"/>
                  <w:vAlign w:val="center"/>
                </w:tcPr>
                <w:p w14:paraId="5196871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1783" w:type="dxa"/>
                  <w:gridSpan w:val="3"/>
                  <w:tcBorders>
                    <w:tl2br w:val="nil"/>
                    <w:tr2bl w:val="nil"/>
                  </w:tcBorders>
                  <w:noWrap w:val="0"/>
                  <w:vAlign w:val="center"/>
                </w:tcPr>
                <w:p w14:paraId="0889F4A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合格矿石原料、装卸、堆存过程</w:t>
                  </w:r>
                </w:p>
              </w:tc>
              <w:tc>
                <w:tcPr>
                  <w:tcW w:w="945" w:type="dxa"/>
                  <w:tcBorders>
                    <w:tl2br w:val="nil"/>
                    <w:tr2bl w:val="nil"/>
                  </w:tcBorders>
                  <w:noWrap w:val="0"/>
                  <w:vAlign w:val="center"/>
                </w:tcPr>
                <w:p w14:paraId="199FFC8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3705" w:type="dxa"/>
                  <w:gridSpan w:val="2"/>
                  <w:vMerge w:val="restart"/>
                  <w:tcBorders>
                    <w:tl2br w:val="nil"/>
                    <w:tr2bl w:val="nil"/>
                  </w:tcBorders>
                  <w:noWrap w:val="0"/>
                  <w:vAlign w:val="center"/>
                </w:tcPr>
                <w:p w14:paraId="7D1FE58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ascii="Times New Roman" w:hAnsi="Times New Roman" w:eastAsia="宋体" w:cs="Times New Roman"/>
                      <w:color w:val="auto"/>
                      <w:sz w:val="21"/>
                      <w:szCs w:val="21"/>
                      <w:highlight w:val="none"/>
                      <w:lang w:val="en-US" w:eastAsia="zh-CN"/>
                    </w:rPr>
                    <w:t>位于封闭</w:t>
                  </w:r>
                  <w:r>
                    <w:rPr>
                      <w:rFonts w:hint="eastAsia" w:eastAsia="宋体" w:cs="Times New Roman"/>
                      <w:color w:val="auto"/>
                      <w:sz w:val="21"/>
                      <w:szCs w:val="21"/>
                      <w:highlight w:val="none"/>
                      <w:lang w:val="en-US" w:eastAsia="zh-CN"/>
                    </w:rPr>
                    <w:t>预处理车间</w:t>
                  </w:r>
                  <w:r>
                    <w:rPr>
                      <w:rFonts w:hint="default" w:ascii="Times New Roman" w:hAnsi="Times New Roman" w:eastAsia="宋体" w:cs="Times New Roman"/>
                      <w:color w:val="auto"/>
                      <w:sz w:val="21"/>
                      <w:szCs w:val="21"/>
                      <w:highlight w:val="none"/>
                      <w:lang w:val="en-US" w:eastAsia="zh-CN"/>
                    </w:rPr>
                    <w:t>内，</w:t>
                  </w:r>
                  <w:r>
                    <w:rPr>
                      <w:rFonts w:hint="eastAsia"/>
                      <w:color w:val="auto"/>
                      <w:sz w:val="21"/>
                      <w:szCs w:val="21"/>
                      <w:highlight w:val="none"/>
                      <w:lang w:eastAsia="zh-CN"/>
                    </w:rPr>
                    <w:t>不合格矿石原料堆存区</w:t>
                  </w:r>
                  <w:r>
                    <w:rPr>
                      <w:rFonts w:hint="default" w:ascii="Times New Roman" w:hAnsi="Times New Roman" w:eastAsia="宋体" w:cs="Times New Roman"/>
                      <w:color w:val="auto"/>
                      <w:sz w:val="21"/>
                      <w:szCs w:val="21"/>
                      <w:highlight w:val="none"/>
                      <w:lang w:val="en-US" w:eastAsia="zh-CN"/>
                    </w:rPr>
                    <w:t>设置雾炮喷淋，定期洒水抑尘</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封闭</w:t>
                  </w:r>
                  <w:r>
                    <w:rPr>
                      <w:rFonts w:hint="eastAsia" w:eastAsia="宋体" w:cs="Times New Roman"/>
                      <w:color w:val="auto"/>
                      <w:sz w:val="21"/>
                      <w:szCs w:val="21"/>
                      <w:highlight w:val="none"/>
                      <w:lang w:val="en-US" w:eastAsia="zh-CN"/>
                    </w:rPr>
                    <w:t>预处理车间</w:t>
                  </w:r>
                  <w:r>
                    <w:rPr>
                      <w:rFonts w:hint="eastAsia" w:ascii="Times New Roman" w:hAnsi="Times New Roman" w:eastAsia="宋体" w:cs="Times New Roman"/>
                      <w:color w:val="auto"/>
                      <w:sz w:val="21"/>
                      <w:szCs w:val="21"/>
                      <w:highlight w:val="none"/>
                      <w:lang w:val="en-US" w:eastAsia="zh-CN"/>
                    </w:rPr>
                    <w:t>设置全自动自动感应门</w:t>
                  </w:r>
                </w:p>
              </w:tc>
              <w:tc>
                <w:tcPr>
                  <w:tcW w:w="730" w:type="dxa"/>
                  <w:tcBorders>
                    <w:tl2br w:val="nil"/>
                    <w:tr2bl w:val="nil"/>
                  </w:tcBorders>
                  <w:noWrap w:val="0"/>
                  <w:vAlign w:val="center"/>
                </w:tcPr>
                <w:p w14:paraId="031E5EF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间断</w:t>
                  </w:r>
                </w:p>
              </w:tc>
            </w:tr>
            <w:tr w14:paraId="7A3A4F2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1BA78FB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1783" w:type="dxa"/>
                  <w:gridSpan w:val="3"/>
                  <w:tcBorders>
                    <w:tl2br w:val="nil"/>
                    <w:tr2bl w:val="nil"/>
                  </w:tcBorders>
                  <w:noWrap w:val="0"/>
                  <w:vAlign w:val="center"/>
                </w:tcPr>
                <w:p w14:paraId="3ADFA5D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土渣装卸、堆存过程</w:t>
                  </w:r>
                </w:p>
              </w:tc>
              <w:tc>
                <w:tcPr>
                  <w:tcW w:w="945" w:type="dxa"/>
                  <w:tcBorders>
                    <w:tl2br w:val="nil"/>
                    <w:tr2bl w:val="nil"/>
                  </w:tcBorders>
                  <w:noWrap w:val="0"/>
                  <w:vAlign w:val="center"/>
                </w:tcPr>
                <w:p w14:paraId="0BF9C78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颗粒物</w:t>
                  </w:r>
                </w:p>
              </w:tc>
              <w:tc>
                <w:tcPr>
                  <w:tcW w:w="3705" w:type="dxa"/>
                  <w:gridSpan w:val="2"/>
                  <w:vMerge w:val="continue"/>
                  <w:tcBorders>
                    <w:tl2br w:val="nil"/>
                    <w:tr2bl w:val="nil"/>
                  </w:tcBorders>
                  <w:noWrap w:val="0"/>
                  <w:vAlign w:val="center"/>
                </w:tcPr>
                <w:p w14:paraId="55534FD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tcBorders>
                    <w:tl2br w:val="nil"/>
                    <w:tr2bl w:val="nil"/>
                  </w:tcBorders>
                  <w:noWrap w:val="0"/>
                  <w:vAlign w:val="center"/>
                </w:tcPr>
                <w:p w14:paraId="2625ECD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间断</w:t>
                  </w:r>
                </w:p>
              </w:tc>
            </w:tr>
            <w:tr w14:paraId="024DCCE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1" w:hRule="atLeast"/>
                <w:jc w:val="center"/>
              </w:trPr>
              <w:tc>
                <w:tcPr>
                  <w:tcW w:w="496" w:type="dxa"/>
                  <w:tcBorders>
                    <w:tl2br w:val="nil"/>
                    <w:tr2bl w:val="nil"/>
                  </w:tcBorders>
                  <w:noWrap w:val="0"/>
                  <w:vAlign w:val="center"/>
                </w:tcPr>
                <w:p w14:paraId="79E3035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噪声</w:t>
                  </w:r>
                </w:p>
              </w:tc>
              <w:tc>
                <w:tcPr>
                  <w:tcW w:w="1783" w:type="dxa"/>
                  <w:gridSpan w:val="3"/>
                  <w:tcBorders>
                    <w:tl2br w:val="nil"/>
                    <w:tr2bl w:val="nil"/>
                  </w:tcBorders>
                  <w:noWrap w:val="0"/>
                  <w:vAlign w:val="center"/>
                </w:tcPr>
                <w:p w14:paraId="404FB61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产噪设备</w:t>
                  </w:r>
                </w:p>
              </w:tc>
              <w:tc>
                <w:tcPr>
                  <w:tcW w:w="945" w:type="dxa"/>
                  <w:tcBorders>
                    <w:tl2br w:val="nil"/>
                    <w:tr2bl w:val="nil"/>
                  </w:tcBorders>
                  <w:noWrap w:val="0"/>
                  <w:vAlign w:val="center"/>
                </w:tcPr>
                <w:p w14:paraId="5B51D9F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噪声</w:t>
                  </w:r>
                </w:p>
              </w:tc>
              <w:tc>
                <w:tcPr>
                  <w:tcW w:w="3705" w:type="dxa"/>
                  <w:gridSpan w:val="2"/>
                  <w:tcBorders>
                    <w:tl2br w:val="nil"/>
                    <w:tr2bl w:val="nil"/>
                  </w:tcBorders>
                  <w:noWrap w:val="0"/>
                  <w:vAlign w:val="center"/>
                </w:tcPr>
                <w:p w14:paraId="63E2341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选用低噪设备，基础减振、厂房隔声</w:t>
                  </w:r>
                </w:p>
              </w:tc>
              <w:tc>
                <w:tcPr>
                  <w:tcW w:w="730" w:type="dxa"/>
                  <w:tcBorders>
                    <w:tl2br w:val="nil"/>
                    <w:tr2bl w:val="nil"/>
                  </w:tcBorders>
                  <w:noWrap w:val="0"/>
                  <w:vAlign w:val="center"/>
                </w:tcPr>
                <w:p w14:paraId="57BB42A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rPr>
                    <w:t>连续</w:t>
                  </w:r>
                </w:p>
              </w:tc>
            </w:tr>
            <w:tr w14:paraId="71E771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1" w:hRule="atLeast"/>
                <w:jc w:val="center"/>
              </w:trPr>
              <w:tc>
                <w:tcPr>
                  <w:tcW w:w="496" w:type="dxa"/>
                  <w:vMerge w:val="restart"/>
                  <w:tcBorders>
                    <w:tl2br w:val="nil"/>
                    <w:tr2bl w:val="nil"/>
                  </w:tcBorders>
                  <w:noWrap w:val="0"/>
                  <w:vAlign w:val="center"/>
                </w:tcPr>
                <w:p w14:paraId="197FB0A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废水</w:t>
                  </w:r>
                </w:p>
              </w:tc>
              <w:tc>
                <w:tcPr>
                  <w:tcW w:w="1783" w:type="dxa"/>
                  <w:gridSpan w:val="3"/>
                  <w:tcBorders>
                    <w:tl2br w:val="nil"/>
                    <w:tr2bl w:val="nil"/>
                  </w:tcBorders>
                  <w:noWrap w:val="0"/>
                  <w:vAlign w:val="center"/>
                </w:tcPr>
                <w:p w14:paraId="22F306D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生活废水</w:t>
                  </w:r>
                </w:p>
              </w:tc>
              <w:tc>
                <w:tcPr>
                  <w:tcW w:w="945" w:type="dxa"/>
                  <w:tcBorders>
                    <w:tl2br w:val="nil"/>
                    <w:tr2bl w:val="nil"/>
                  </w:tcBorders>
                  <w:noWrap w:val="0"/>
                  <w:vAlign w:val="center"/>
                </w:tcPr>
                <w:p w14:paraId="2E92310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COD、SS</w:t>
                  </w:r>
                </w:p>
              </w:tc>
              <w:tc>
                <w:tcPr>
                  <w:tcW w:w="3705" w:type="dxa"/>
                  <w:gridSpan w:val="2"/>
                  <w:tcBorders>
                    <w:tl2br w:val="nil"/>
                    <w:tr2bl w:val="nil"/>
                  </w:tcBorders>
                  <w:noWrap w:val="0"/>
                  <w:vAlign w:val="center"/>
                </w:tcPr>
                <w:p w14:paraId="3B751A3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水质简单，泼洒地面抑尘，不外排</w:t>
                  </w:r>
                </w:p>
              </w:tc>
              <w:tc>
                <w:tcPr>
                  <w:tcW w:w="730" w:type="dxa"/>
                  <w:tcBorders>
                    <w:tl2br w:val="nil"/>
                    <w:tr2bl w:val="nil"/>
                  </w:tcBorders>
                  <w:noWrap w:val="0"/>
                  <w:vAlign w:val="center"/>
                </w:tcPr>
                <w:p w14:paraId="017CD3D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间断</w:t>
                  </w:r>
                </w:p>
              </w:tc>
            </w:tr>
            <w:tr w14:paraId="02B699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1" w:hRule="atLeast"/>
                <w:jc w:val="center"/>
              </w:trPr>
              <w:tc>
                <w:tcPr>
                  <w:tcW w:w="496" w:type="dxa"/>
                  <w:vMerge w:val="continue"/>
                  <w:tcBorders>
                    <w:tl2br w:val="nil"/>
                    <w:tr2bl w:val="nil"/>
                  </w:tcBorders>
                  <w:noWrap w:val="0"/>
                  <w:vAlign w:val="center"/>
                </w:tcPr>
                <w:p w14:paraId="0A730A2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c>
                <w:tcPr>
                  <w:tcW w:w="1783" w:type="dxa"/>
                  <w:gridSpan w:val="3"/>
                  <w:tcBorders>
                    <w:tl2br w:val="nil"/>
                    <w:tr2bl w:val="nil"/>
                  </w:tcBorders>
                  <w:noWrap w:val="0"/>
                  <w:vAlign w:val="center"/>
                </w:tcPr>
                <w:p w14:paraId="29F4E57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洗车废水</w:t>
                  </w:r>
                </w:p>
              </w:tc>
              <w:tc>
                <w:tcPr>
                  <w:tcW w:w="945" w:type="dxa"/>
                  <w:tcBorders>
                    <w:tl2br w:val="nil"/>
                    <w:tr2bl w:val="nil"/>
                  </w:tcBorders>
                  <w:noWrap w:val="0"/>
                  <w:vAlign w:val="center"/>
                </w:tcPr>
                <w:p w14:paraId="13F8AC6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COD、SS</w:t>
                  </w:r>
                </w:p>
              </w:tc>
              <w:tc>
                <w:tcPr>
                  <w:tcW w:w="3705" w:type="dxa"/>
                  <w:gridSpan w:val="2"/>
                  <w:tcBorders>
                    <w:tl2br w:val="nil"/>
                    <w:tr2bl w:val="nil"/>
                  </w:tcBorders>
                  <w:noWrap w:val="0"/>
                  <w:vAlign w:val="center"/>
                </w:tcPr>
                <w:p w14:paraId="594C1DC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依托现有洗车平台沉淀池、清水池</w:t>
                  </w:r>
                  <w:r>
                    <w:rPr>
                      <w:rFonts w:hint="default" w:ascii="Times New Roman" w:hAnsi="Times New Roman" w:eastAsia="宋体" w:cs="Times New Roman"/>
                      <w:color w:val="auto"/>
                      <w:sz w:val="21"/>
                      <w:szCs w:val="21"/>
                      <w:highlight w:val="none"/>
                      <w:lang w:val="en-US" w:eastAsia="zh-CN"/>
                    </w:rPr>
                    <w:t>循环利用，不外排</w:t>
                  </w:r>
                </w:p>
              </w:tc>
              <w:tc>
                <w:tcPr>
                  <w:tcW w:w="730" w:type="dxa"/>
                  <w:tcBorders>
                    <w:tl2br w:val="nil"/>
                    <w:tr2bl w:val="nil"/>
                  </w:tcBorders>
                  <w:noWrap w:val="0"/>
                  <w:vAlign w:val="center"/>
                </w:tcPr>
                <w:p w14:paraId="6160D06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间断</w:t>
                  </w:r>
                </w:p>
              </w:tc>
            </w:tr>
            <w:tr w14:paraId="79E10B6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05" w:hRule="atLeast"/>
                <w:jc w:val="center"/>
              </w:trPr>
              <w:tc>
                <w:tcPr>
                  <w:tcW w:w="496" w:type="dxa"/>
                  <w:vMerge w:val="restart"/>
                  <w:tcBorders>
                    <w:tl2br w:val="nil"/>
                    <w:tr2bl w:val="nil"/>
                  </w:tcBorders>
                  <w:noWrap w:val="0"/>
                  <w:vAlign w:val="center"/>
                </w:tcPr>
                <w:p w14:paraId="26B27F43">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default"/>
                      <w:color w:val="auto"/>
                      <w:sz w:val="21"/>
                      <w:szCs w:val="21"/>
                      <w:highlight w:val="none"/>
                    </w:rPr>
                    <w:t>固废</w:t>
                  </w:r>
                </w:p>
              </w:tc>
              <w:tc>
                <w:tcPr>
                  <w:tcW w:w="709" w:type="dxa"/>
                  <w:vMerge w:val="restart"/>
                  <w:tcBorders>
                    <w:tl2br w:val="nil"/>
                    <w:tr2bl w:val="nil"/>
                  </w:tcBorders>
                  <w:noWrap w:val="0"/>
                  <w:vAlign w:val="center"/>
                </w:tcPr>
                <w:p w14:paraId="4807A7F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一般固体废物</w:t>
                  </w:r>
                </w:p>
              </w:tc>
              <w:tc>
                <w:tcPr>
                  <w:tcW w:w="1074" w:type="dxa"/>
                  <w:gridSpan w:val="2"/>
                  <w:vMerge w:val="restart"/>
                  <w:tcBorders>
                    <w:tl2br w:val="nil"/>
                    <w:tr2bl w:val="nil"/>
                  </w:tcBorders>
                  <w:noWrap w:val="0"/>
                  <w:vAlign w:val="center"/>
                </w:tcPr>
                <w:p w14:paraId="75FBDEC3">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布袋除尘器</w:t>
                  </w:r>
                </w:p>
              </w:tc>
              <w:tc>
                <w:tcPr>
                  <w:tcW w:w="945" w:type="dxa"/>
                  <w:tcBorders>
                    <w:tl2br w:val="nil"/>
                    <w:tr2bl w:val="nil"/>
                  </w:tcBorders>
                  <w:noWrap w:val="0"/>
                  <w:vAlign w:val="center"/>
                </w:tcPr>
                <w:p w14:paraId="02147F9A">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废布袋</w:t>
                  </w:r>
                </w:p>
              </w:tc>
              <w:tc>
                <w:tcPr>
                  <w:tcW w:w="3705" w:type="dxa"/>
                  <w:gridSpan w:val="2"/>
                  <w:tcBorders>
                    <w:tl2br w:val="nil"/>
                    <w:tr2bl w:val="nil"/>
                  </w:tcBorders>
                  <w:noWrap w:val="0"/>
                  <w:vAlign w:val="center"/>
                </w:tcPr>
                <w:p w14:paraId="491DC2B6">
                  <w:pPr>
                    <w:shd w:val="clear"/>
                    <w:spacing w:line="0" w:lineRule="atLeast"/>
                    <w:ind w:left="0" w:leftChars="0" w:right="0" w:rightChars="0" w:firstLine="0" w:firstLineChars="0"/>
                    <w:jc w:val="center"/>
                    <w:rPr>
                      <w:rFonts w:hint="default"/>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更换后，直接外售废品回收站</w:t>
                  </w:r>
                </w:p>
              </w:tc>
              <w:tc>
                <w:tcPr>
                  <w:tcW w:w="730" w:type="dxa"/>
                  <w:vMerge w:val="restart"/>
                  <w:tcBorders>
                    <w:tl2br w:val="nil"/>
                    <w:tr2bl w:val="nil"/>
                  </w:tcBorders>
                  <w:noWrap w:val="0"/>
                  <w:vAlign w:val="center"/>
                </w:tcPr>
                <w:p w14:paraId="68C9C485">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bookmarkStart w:id="3" w:name="OLE_LINK2"/>
                  <w:r>
                    <w:rPr>
                      <w:rFonts w:hint="eastAsia"/>
                      <w:color w:val="auto"/>
                      <w:sz w:val="21"/>
                      <w:szCs w:val="21"/>
                      <w:highlight w:val="none"/>
                      <w:lang w:val="en-US" w:eastAsia="zh-CN"/>
                    </w:rPr>
                    <w:t>间断</w:t>
                  </w:r>
                  <w:bookmarkEnd w:id="3"/>
                </w:p>
              </w:tc>
            </w:tr>
            <w:tr w14:paraId="0E6838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48309B85">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09" w:type="dxa"/>
                  <w:vMerge w:val="continue"/>
                  <w:tcBorders>
                    <w:tl2br w:val="nil"/>
                    <w:tr2bl w:val="nil"/>
                  </w:tcBorders>
                  <w:noWrap w:val="0"/>
                  <w:vAlign w:val="center"/>
                </w:tcPr>
                <w:p w14:paraId="6476034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c>
                <w:tcPr>
                  <w:tcW w:w="1074" w:type="dxa"/>
                  <w:gridSpan w:val="2"/>
                  <w:vMerge w:val="continue"/>
                  <w:tcBorders>
                    <w:tl2br w:val="nil"/>
                    <w:tr2bl w:val="nil"/>
                  </w:tcBorders>
                  <w:noWrap w:val="0"/>
                  <w:vAlign w:val="center"/>
                </w:tcPr>
                <w:p w14:paraId="1E3B7905">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eastAsia"/>
                      <w:color w:val="auto"/>
                      <w:sz w:val="21"/>
                      <w:szCs w:val="21"/>
                      <w:highlight w:val="none"/>
                      <w:lang w:val="en-US" w:eastAsia="zh-CN"/>
                    </w:rPr>
                  </w:pPr>
                </w:p>
              </w:tc>
              <w:tc>
                <w:tcPr>
                  <w:tcW w:w="945" w:type="dxa"/>
                  <w:tcBorders>
                    <w:tl2br w:val="nil"/>
                    <w:tr2bl w:val="nil"/>
                  </w:tcBorders>
                  <w:noWrap w:val="0"/>
                  <w:vAlign w:val="center"/>
                </w:tcPr>
                <w:p w14:paraId="067D69FC">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eastAsia" w:eastAsia="宋体"/>
                      <w:b w:val="0"/>
                      <w:bCs/>
                      <w:color w:val="auto"/>
                      <w:sz w:val="21"/>
                      <w:szCs w:val="21"/>
                      <w:highlight w:val="none"/>
                      <w:lang w:eastAsia="zh-CN"/>
                    </w:rPr>
                  </w:pPr>
                  <w:r>
                    <w:rPr>
                      <w:rFonts w:hint="default" w:ascii="Times New Roman" w:hAnsi="Times New Roman" w:cs="Times New Roman"/>
                      <w:color w:val="auto"/>
                      <w:sz w:val="21"/>
                      <w:szCs w:val="21"/>
                      <w:highlight w:val="none"/>
                      <w:lang w:val="en-US" w:eastAsia="zh-CN"/>
                    </w:rPr>
                    <w:t>除尘灰</w:t>
                  </w:r>
                </w:p>
              </w:tc>
              <w:tc>
                <w:tcPr>
                  <w:tcW w:w="3705" w:type="dxa"/>
                  <w:gridSpan w:val="2"/>
                  <w:tcBorders>
                    <w:tl2br w:val="nil"/>
                    <w:tr2bl w:val="nil"/>
                  </w:tcBorders>
                  <w:noWrap w:val="0"/>
                  <w:vAlign w:val="center"/>
                </w:tcPr>
                <w:p w14:paraId="078B1A21">
                  <w:pPr>
                    <w:shd w:val="clear"/>
                    <w:spacing w:line="0" w:lineRule="atLeast"/>
                    <w:ind w:left="0" w:leftChars="0" w:right="0" w:rightChars="0" w:firstLine="0" w:firstLineChars="0"/>
                    <w:jc w:val="center"/>
                    <w:rPr>
                      <w:rFonts w:hint="default"/>
                      <w:color w:val="auto"/>
                      <w:sz w:val="21"/>
                      <w:szCs w:val="21"/>
                      <w:highlight w:val="none"/>
                    </w:rPr>
                  </w:pPr>
                  <w:r>
                    <w:rPr>
                      <w:rFonts w:hint="eastAsia" w:cs="Times New Roman"/>
                      <w:b w:val="0"/>
                      <w:bCs/>
                      <w:color w:val="auto"/>
                      <w:sz w:val="21"/>
                      <w:szCs w:val="21"/>
                      <w:highlight w:val="none"/>
                      <w:lang w:val="en-US" w:eastAsia="zh-CN"/>
                    </w:rPr>
                    <w:t>集中</w:t>
                  </w:r>
                  <w:r>
                    <w:rPr>
                      <w:rFonts w:hint="default" w:ascii="Times New Roman" w:hAnsi="Times New Roman" w:eastAsia="宋体" w:cs="Times New Roman"/>
                      <w:b w:val="0"/>
                      <w:bCs/>
                      <w:color w:val="auto"/>
                      <w:sz w:val="21"/>
                      <w:szCs w:val="21"/>
                      <w:highlight w:val="none"/>
                      <w:lang w:val="en-US" w:eastAsia="zh-CN"/>
                    </w:rPr>
                    <w:t>收集</w:t>
                  </w:r>
                  <w:r>
                    <w:rPr>
                      <w:rFonts w:hint="eastAsia" w:cs="Times New Roman"/>
                      <w:b w:val="0"/>
                      <w:bCs/>
                      <w:color w:val="auto"/>
                      <w:sz w:val="21"/>
                      <w:szCs w:val="21"/>
                      <w:highlight w:val="none"/>
                      <w:lang w:val="en-US" w:eastAsia="zh-CN"/>
                    </w:rPr>
                    <w:t>，</w:t>
                  </w:r>
                  <w:r>
                    <w:rPr>
                      <w:rFonts w:hint="eastAsia" w:cs="Times New Roman"/>
                      <w:b w:val="0"/>
                      <w:bCs/>
                      <w:color w:val="auto"/>
                      <w:sz w:val="21"/>
                      <w:szCs w:val="21"/>
                      <w:highlight w:val="none"/>
                      <w:lang w:eastAsia="zh-CN"/>
                    </w:rPr>
                    <w:t>暂存于一般固废暂存间，定期外售水泥厂</w:t>
                  </w:r>
                </w:p>
              </w:tc>
              <w:tc>
                <w:tcPr>
                  <w:tcW w:w="730" w:type="dxa"/>
                  <w:vMerge w:val="continue"/>
                  <w:tcBorders>
                    <w:tl2br w:val="nil"/>
                    <w:tr2bl w:val="nil"/>
                  </w:tcBorders>
                  <w:noWrap w:val="0"/>
                  <w:vAlign w:val="center"/>
                </w:tcPr>
                <w:p w14:paraId="3F4CC2F3">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r>
            <w:tr w14:paraId="19A891A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0E9A0BBD">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09" w:type="dxa"/>
                  <w:vMerge w:val="continue"/>
                  <w:tcBorders>
                    <w:tl2br w:val="nil"/>
                    <w:tr2bl w:val="nil"/>
                  </w:tcBorders>
                  <w:noWrap w:val="0"/>
                  <w:vAlign w:val="center"/>
                </w:tcPr>
                <w:p w14:paraId="55B8119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c>
                <w:tcPr>
                  <w:tcW w:w="1074" w:type="dxa"/>
                  <w:gridSpan w:val="2"/>
                  <w:tcBorders>
                    <w:tl2br w:val="nil"/>
                    <w:tr2bl w:val="nil"/>
                  </w:tcBorders>
                  <w:noWrap w:val="0"/>
                  <w:vAlign w:val="center"/>
                </w:tcPr>
                <w:p w14:paraId="728EBEAA">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洗车平台</w:t>
                  </w:r>
                </w:p>
              </w:tc>
              <w:tc>
                <w:tcPr>
                  <w:tcW w:w="945" w:type="dxa"/>
                  <w:tcBorders>
                    <w:tl2br w:val="nil"/>
                    <w:tr2bl w:val="nil"/>
                  </w:tcBorders>
                  <w:noWrap w:val="0"/>
                  <w:vAlign w:val="center"/>
                </w:tcPr>
                <w:p w14:paraId="12BCA75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b w:val="0"/>
                      <w:bCs/>
                      <w:color w:val="auto"/>
                      <w:sz w:val="21"/>
                      <w:szCs w:val="21"/>
                      <w:highlight w:val="none"/>
                    </w:rPr>
                  </w:pPr>
                  <w:r>
                    <w:rPr>
                      <w:rFonts w:hint="default" w:ascii="Times New Roman" w:hAnsi="Times New Roman" w:cs="Times New Roman"/>
                      <w:color w:val="auto"/>
                      <w:sz w:val="21"/>
                      <w:szCs w:val="21"/>
                      <w:highlight w:val="none"/>
                      <w:lang w:val="en-US" w:eastAsia="zh-CN"/>
                    </w:rPr>
                    <w:t>污泥</w:t>
                  </w:r>
                </w:p>
              </w:tc>
              <w:tc>
                <w:tcPr>
                  <w:tcW w:w="3705" w:type="dxa"/>
                  <w:gridSpan w:val="2"/>
                  <w:tcBorders>
                    <w:tl2br w:val="nil"/>
                    <w:tr2bl w:val="nil"/>
                  </w:tcBorders>
                  <w:noWrap w:val="0"/>
                  <w:vAlign w:val="center"/>
                </w:tcPr>
                <w:p w14:paraId="20F2AF93">
                  <w:pPr>
                    <w:keepNext w:val="0"/>
                    <w:keepLines w:val="0"/>
                    <w:pageBreakBefore w:val="0"/>
                    <w:widowControl w:val="0"/>
                    <w:suppressLineNumbers w:val="0"/>
                    <w:shd w:val="clear"/>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eastAsia" w:ascii="Times New Roman" w:hAnsi="Times New Roman" w:eastAsia="宋体" w:cs="Times New Roman"/>
                      <w:b w:val="0"/>
                      <w:bCs/>
                      <w:color w:val="auto"/>
                      <w:sz w:val="21"/>
                      <w:szCs w:val="21"/>
                      <w:highlight w:val="none"/>
                      <w:lang w:val="en-US" w:eastAsia="zh-CN"/>
                    </w:rPr>
                    <w:t>定期清理，清理后直接</w:t>
                  </w:r>
                  <w:r>
                    <w:rPr>
                      <w:rFonts w:hint="default" w:ascii="Times New Roman" w:hAnsi="Times New Roman" w:eastAsia="宋体" w:cs="Times New Roman"/>
                      <w:b w:val="0"/>
                      <w:bCs/>
                      <w:color w:val="auto"/>
                      <w:sz w:val="21"/>
                      <w:szCs w:val="21"/>
                      <w:highlight w:val="none"/>
                      <w:lang w:val="en-US" w:eastAsia="zh-CN"/>
                    </w:rPr>
                    <w:t>作外售</w:t>
                  </w:r>
                  <w:r>
                    <w:rPr>
                      <w:rFonts w:hint="eastAsia" w:ascii="Times New Roman" w:hAnsi="Times New Roman" w:eastAsia="宋体" w:cs="Times New Roman"/>
                      <w:b w:val="0"/>
                      <w:bCs/>
                      <w:color w:val="auto"/>
                      <w:sz w:val="21"/>
                      <w:szCs w:val="21"/>
                      <w:highlight w:val="none"/>
                      <w:lang w:val="en-US" w:eastAsia="zh-CN"/>
                    </w:rPr>
                    <w:t>水泥厂</w:t>
                  </w:r>
                </w:p>
              </w:tc>
              <w:tc>
                <w:tcPr>
                  <w:tcW w:w="730" w:type="dxa"/>
                  <w:vMerge w:val="continue"/>
                  <w:tcBorders>
                    <w:tl2br w:val="nil"/>
                    <w:tr2bl w:val="nil"/>
                  </w:tcBorders>
                  <w:noWrap w:val="0"/>
                  <w:vAlign w:val="center"/>
                </w:tcPr>
                <w:p w14:paraId="191CD8AE">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r>
            <w:tr w14:paraId="0F0148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591E02B8">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09" w:type="dxa"/>
                  <w:vMerge w:val="continue"/>
                  <w:tcBorders>
                    <w:tl2br w:val="nil"/>
                    <w:tr2bl w:val="nil"/>
                  </w:tcBorders>
                  <w:noWrap w:val="0"/>
                  <w:vAlign w:val="center"/>
                </w:tcPr>
                <w:p w14:paraId="6AE4CD6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c>
                <w:tcPr>
                  <w:tcW w:w="1074" w:type="dxa"/>
                  <w:gridSpan w:val="2"/>
                  <w:tcBorders>
                    <w:tl2br w:val="nil"/>
                    <w:tr2bl w:val="nil"/>
                  </w:tcBorders>
                  <w:noWrap w:val="0"/>
                  <w:vAlign w:val="center"/>
                </w:tcPr>
                <w:p w14:paraId="5585350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筛下料</w:t>
                  </w:r>
                </w:p>
              </w:tc>
              <w:tc>
                <w:tcPr>
                  <w:tcW w:w="945" w:type="dxa"/>
                  <w:tcBorders>
                    <w:tl2br w:val="nil"/>
                    <w:tr2bl w:val="nil"/>
                  </w:tcBorders>
                  <w:noWrap w:val="0"/>
                  <w:vAlign w:val="center"/>
                </w:tcPr>
                <w:p w14:paraId="2F93113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b w:val="0"/>
                      <w:bCs/>
                      <w:color w:val="auto"/>
                      <w:sz w:val="21"/>
                      <w:szCs w:val="21"/>
                      <w:highlight w:val="none"/>
                      <w:lang w:eastAsia="zh-CN"/>
                    </w:rPr>
                  </w:pPr>
                  <w:r>
                    <w:rPr>
                      <w:rFonts w:hint="eastAsia"/>
                      <w:color w:val="auto"/>
                      <w:sz w:val="21"/>
                      <w:szCs w:val="21"/>
                      <w:highlight w:val="none"/>
                      <w:lang w:val="en-US" w:eastAsia="zh-CN"/>
                    </w:rPr>
                    <w:t>土渣</w:t>
                  </w:r>
                </w:p>
              </w:tc>
              <w:tc>
                <w:tcPr>
                  <w:tcW w:w="3705" w:type="dxa"/>
                  <w:gridSpan w:val="2"/>
                  <w:tcBorders>
                    <w:tl2br w:val="nil"/>
                    <w:tr2bl w:val="nil"/>
                  </w:tcBorders>
                  <w:noWrap w:val="0"/>
                  <w:vAlign w:val="center"/>
                </w:tcPr>
                <w:p w14:paraId="73D0554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eastAsia" w:ascii="Times New Roman" w:hAnsi="Times New Roman" w:eastAsia="宋体" w:cs="Times New Roman"/>
                      <w:b w:val="0"/>
                      <w:bCs/>
                      <w:color w:val="auto"/>
                      <w:sz w:val="21"/>
                      <w:szCs w:val="21"/>
                      <w:highlight w:val="none"/>
                      <w:lang w:val="en-US" w:eastAsia="zh-CN"/>
                    </w:rPr>
                    <w:t>暂存于预处理车间土渣储存区，定期外售水泥厂</w:t>
                  </w:r>
                </w:p>
              </w:tc>
              <w:tc>
                <w:tcPr>
                  <w:tcW w:w="730" w:type="dxa"/>
                  <w:vMerge w:val="continue"/>
                  <w:tcBorders>
                    <w:tl2br w:val="nil"/>
                    <w:tr2bl w:val="nil"/>
                  </w:tcBorders>
                  <w:noWrap w:val="0"/>
                  <w:vAlign w:val="center"/>
                </w:tcPr>
                <w:p w14:paraId="6FECFD1F">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r>
            <w:tr w14:paraId="24D12F1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3E5B4AF9">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rPr>
                  </w:pPr>
                </w:p>
              </w:tc>
              <w:tc>
                <w:tcPr>
                  <w:tcW w:w="709" w:type="dxa"/>
                  <w:vMerge w:val="restart"/>
                  <w:tcBorders>
                    <w:tl2br w:val="nil"/>
                    <w:tr2bl w:val="nil"/>
                  </w:tcBorders>
                  <w:noWrap w:val="0"/>
                  <w:vAlign w:val="center"/>
                </w:tcPr>
                <w:p w14:paraId="08E40BD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危险废物</w:t>
                  </w:r>
                </w:p>
              </w:tc>
              <w:tc>
                <w:tcPr>
                  <w:tcW w:w="1074" w:type="dxa"/>
                  <w:gridSpan w:val="2"/>
                  <w:vMerge w:val="restart"/>
                  <w:tcBorders>
                    <w:tl2br w:val="nil"/>
                    <w:tr2bl w:val="nil"/>
                  </w:tcBorders>
                  <w:noWrap w:val="0"/>
                  <w:vAlign w:val="center"/>
                </w:tcPr>
                <w:p w14:paraId="453FEAF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设备维护</w:t>
                  </w:r>
                </w:p>
              </w:tc>
              <w:tc>
                <w:tcPr>
                  <w:tcW w:w="945" w:type="dxa"/>
                  <w:tcBorders>
                    <w:tl2br w:val="nil"/>
                    <w:tr2bl w:val="nil"/>
                  </w:tcBorders>
                  <w:noWrap w:val="0"/>
                  <w:vAlign w:val="center"/>
                </w:tcPr>
                <w:p w14:paraId="650BAF3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废润滑油</w:t>
                  </w:r>
                </w:p>
              </w:tc>
              <w:tc>
                <w:tcPr>
                  <w:tcW w:w="3705" w:type="dxa"/>
                  <w:gridSpan w:val="2"/>
                  <w:vMerge w:val="restart"/>
                  <w:tcBorders>
                    <w:tl2br w:val="nil"/>
                    <w:tr2bl w:val="nil"/>
                  </w:tcBorders>
                  <w:noWrap w:val="0"/>
                  <w:vAlign w:val="center"/>
                </w:tcPr>
                <w:p w14:paraId="6DAEE12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eastAsia"/>
                      <w:color w:val="auto"/>
                      <w:sz w:val="21"/>
                      <w:szCs w:val="21"/>
                      <w:highlight w:val="none"/>
                      <w:lang w:val="en-US" w:eastAsia="zh-CN"/>
                    </w:rPr>
                    <w:t>分类</w:t>
                  </w:r>
                  <w:r>
                    <w:rPr>
                      <w:rFonts w:hint="default"/>
                      <w:color w:val="auto"/>
                      <w:sz w:val="21"/>
                      <w:szCs w:val="21"/>
                      <w:highlight w:val="none"/>
                    </w:rPr>
                    <w:t>暂存于</w:t>
                  </w:r>
                  <w:r>
                    <w:rPr>
                      <w:rFonts w:hint="eastAsia"/>
                      <w:color w:val="auto"/>
                      <w:sz w:val="21"/>
                      <w:szCs w:val="21"/>
                      <w:highlight w:val="none"/>
                      <w:lang w:eastAsia="zh-CN"/>
                    </w:rPr>
                    <w:t>危险废物暂存间</w:t>
                  </w:r>
                  <w:r>
                    <w:rPr>
                      <w:rFonts w:hint="default"/>
                      <w:color w:val="auto"/>
                      <w:sz w:val="21"/>
                      <w:szCs w:val="21"/>
                      <w:highlight w:val="none"/>
                    </w:rPr>
                    <w:t>，定期由有资质的公司进行处置</w:t>
                  </w:r>
                </w:p>
              </w:tc>
              <w:tc>
                <w:tcPr>
                  <w:tcW w:w="730" w:type="dxa"/>
                  <w:vMerge w:val="continue"/>
                  <w:tcBorders>
                    <w:tl2br w:val="nil"/>
                    <w:tr2bl w:val="nil"/>
                  </w:tcBorders>
                  <w:noWrap w:val="0"/>
                  <w:vAlign w:val="center"/>
                </w:tcPr>
                <w:p w14:paraId="19ADCB78">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p>
              </w:tc>
            </w:tr>
            <w:tr w14:paraId="5F1DCBA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7343E906">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rPr>
                  </w:pPr>
                </w:p>
              </w:tc>
              <w:tc>
                <w:tcPr>
                  <w:tcW w:w="709" w:type="dxa"/>
                  <w:vMerge w:val="continue"/>
                  <w:tcBorders>
                    <w:tl2br w:val="nil"/>
                    <w:tr2bl w:val="nil"/>
                  </w:tcBorders>
                  <w:noWrap w:val="0"/>
                  <w:vAlign w:val="center"/>
                </w:tcPr>
                <w:p w14:paraId="5C1F103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c>
                <w:tcPr>
                  <w:tcW w:w="1074" w:type="dxa"/>
                  <w:gridSpan w:val="2"/>
                  <w:vMerge w:val="continue"/>
                  <w:tcBorders>
                    <w:tl2br w:val="nil"/>
                    <w:tr2bl w:val="nil"/>
                  </w:tcBorders>
                  <w:noWrap w:val="0"/>
                  <w:vAlign w:val="center"/>
                </w:tcPr>
                <w:p w14:paraId="45DCC85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p>
              </w:tc>
              <w:tc>
                <w:tcPr>
                  <w:tcW w:w="945" w:type="dxa"/>
                  <w:tcBorders>
                    <w:tl2br w:val="nil"/>
                    <w:tr2bl w:val="nil"/>
                  </w:tcBorders>
                  <w:noWrap w:val="0"/>
                  <w:vAlign w:val="center"/>
                </w:tcPr>
                <w:p w14:paraId="752CA0F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废油桶</w:t>
                  </w:r>
                </w:p>
              </w:tc>
              <w:tc>
                <w:tcPr>
                  <w:tcW w:w="3705" w:type="dxa"/>
                  <w:gridSpan w:val="2"/>
                  <w:vMerge w:val="continue"/>
                  <w:tcBorders>
                    <w:tl2br w:val="nil"/>
                    <w:tr2bl w:val="nil"/>
                  </w:tcBorders>
                  <w:noWrap w:val="0"/>
                  <w:vAlign w:val="center"/>
                </w:tcPr>
                <w:p w14:paraId="160A54D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p>
              </w:tc>
              <w:tc>
                <w:tcPr>
                  <w:tcW w:w="730" w:type="dxa"/>
                  <w:vMerge w:val="continue"/>
                  <w:tcBorders>
                    <w:tl2br w:val="nil"/>
                    <w:tr2bl w:val="nil"/>
                  </w:tcBorders>
                  <w:noWrap w:val="0"/>
                  <w:vAlign w:val="center"/>
                </w:tcPr>
                <w:p w14:paraId="3857B7E0">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p>
              </w:tc>
            </w:tr>
            <w:tr w14:paraId="10775A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13" w:hRule="atLeast"/>
                <w:jc w:val="center"/>
              </w:trPr>
              <w:tc>
                <w:tcPr>
                  <w:tcW w:w="496" w:type="dxa"/>
                  <w:vMerge w:val="continue"/>
                  <w:tcBorders>
                    <w:tl2br w:val="nil"/>
                    <w:tr2bl w:val="nil"/>
                  </w:tcBorders>
                  <w:noWrap w:val="0"/>
                  <w:vAlign w:val="center"/>
                </w:tcPr>
                <w:p w14:paraId="0B524E58">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rPr>
                  </w:pPr>
                </w:p>
              </w:tc>
              <w:tc>
                <w:tcPr>
                  <w:tcW w:w="1783" w:type="dxa"/>
                  <w:gridSpan w:val="3"/>
                  <w:tcBorders>
                    <w:tl2br w:val="nil"/>
                    <w:tr2bl w:val="nil"/>
                  </w:tcBorders>
                  <w:noWrap w:val="0"/>
                  <w:vAlign w:val="center"/>
                </w:tcPr>
                <w:p w14:paraId="0E69496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职工生活</w:t>
                  </w:r>
                </w:p>
              </w:tc>
              <w:tc>
                <w:tcPr>
                  <w:tcW w:w="945" w:type="dxa"/>
                  <w:tcBorders>
                    <w:tl2br w:val="nil"/>
                    <w:tr2bl w:val="nil"/>
                  </w:tcBorders>
                  <w:noWrap w:val="0"/>
                  <w:vAlign w:val="center"/>
                </w:tcPr>
                <w:p w14:paraId="2FCDCF9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生活垃圾</w:t>
                  </w:r>
                </w:p>
              </w:tc>
              <w:tc>
                <w:tcPr>
                  <w:tcW w:w="3705" w:type="dxa"/>
                  <w:gridSpan w:val="2"/>
                  <w:tcBorders>
                    <w:tl2br w:val="nil"/>
                    <w:tr2bl w:val="nil"/>
                  </w:tcBorders>
                  <w:noWrap w:val="0"/>
                  <w:vAlign w:val="center"/>
                </w:tcPr>
                <w:p w14:paraId="6601AA4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rPr>
                  </w:pPr>
                  <w:r>
                    <w:rPr>
                      <w:rFonts w:hint="eastAsia" w:ascii="Times New Roman" w:hAnsi="Times New Roman" w:eastAsia="宋体" w:cs="Times New Roman"/>
                      <w:color w:val="auto"/>
                      <w:sz w:val="21"/>
                      <w:szCs w:val="21"/>
                      <w:highlight w:val="none"/>
                      <w:shd w:val="clear" w:color="auto" w:fill="auto"/>
                      <w:lang w:val="en-US" w:eastAsia="zh-CN"/>
                    </w:rPr>
                    <w:t>袋装化，</w:t>
                  </w:r>
                  <w:r>
                    <w:rPr>
                      <w:rFonts w:hint="default" w:ascii="Times New Roman" w:hAnsi="Times New Roman" w:eastAsia="宋体" w:cs="Times New Roman"/>
                      <w:color w:val="auto"/>
                      <w:sz w:val="21"/>
                      <w:szCs w:val="21"/>
                      <w:highlight w:val="none"/>
                      <w:shd w:val="clear" w:color="auto" w:fill="auto"/>
                      <w:lang w:eastAsia="zh-CN"/>
                    </w:rPr>
                    <w:t>集中收集，送当地环卫部门指定地点</w:t>
                  </w:r>
                  <w:r>
                    <w:rPr>
                      <w:rFonts w:hint="eastAsia" w:cs="Times New Roman"/>
                      <w:color w:val="auto"/>
                      <w:sz w:val="21"/>
                      <w:szCs w:val="21"/>
                      <w:highlight w:val="none"/>
                      <w:shd w:val="clear" w:color="auto" w:fill="auto"/>
                      <w:lang w:val="en-US" w:eastAsia="zh-CN"/>
                    </w:rPr>
                    <w:t>统</w:t>
                  </w:r>
                  <w:r>
                    <w:rPr>
                      <w:rFonts w:hint="default" w:ascii="Times New Roman" w:hAnsi="Times New Roman" w:eastAsia="宋体" w:cs="Times New Roman"/>
                      <w:color w:val="auto"/>
                      <w:sz w:val="21"/>
                      <w:szCs w:val="21"/>
                      <w:highlight w:val="none"/>
                      <w:shd w:val="clear" w:color="auto" w:fill="auto"/>
                      <w:lang w:eastAsia="zh-CN"/>
                    </w:rPr>
                    <w:t>一处理</w:t>
                  </w:r>
                </w:p>
              </w:tc>
              <w:tc>
                <w:tcPr>
                  <w:tcW w:w="730" w:type="dxa"/>
                  <w:tcBorders>
                    <w:tl2br w:val="nil"/>
                    <w:tr2bl w:val="nil"/>
                  </w:tcBorders>
                  <w:noWrap w:val="0"/>
                  <w:vAlign w:val="center"/>
                </w:tcPr>
                <w:p w14:paraId="76641FCB">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间断</w:t>
                  </w:r>
                </w:p>
              </w:tc>
            </w:tr>
          </w:tbl>
          <w:p w14:paraId="349097F7">
            <w:pPr>
              <w:pStyle w:val="15"/>
              <w:shd w:val="clear"/>
              <w:ind w:left="0" w:leftChars="0" w:firstLine="0" w:firstLineChars="0"/>
              <w:rPr>
                <w:rFonts w:hint="default"/>
                <w:color w:val="auto"/>
                <w:lang w:val="en-US" w:eastAsia="zh-CN"/>
              </w:rPr>
            </w:pPr>
          </w:p>
        </w:tc>
      </w:tr>
      <w:tr w14:paraId="51C22A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235" w:hRule="atLeast"/>
          <w:jc w:val="center"/>
        </w:trPr>
        <w:tc>
          <w:tcPr>
            <w:tcW w:w="823" w:type="dxa"/>
            <w:tcBorders>
              <w:tl2br w:val="nil"/>
              <w:tr2bl w:val="nil"/>
            </w:tcBorders>
            <w:noWrap w:val="0"/>
            <w:vAlign w:val="center"/>
          </w:tcPr>
          <w:p w14:paraId="0B145350">
            <w:pPr>
              <w:pStyle w:val="29"/>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4"/>
                <w:szCs w:val="24"/>
                <w:highlight w:val="none"/>
                <w:shd w:val="clear" w:color="auto" w:fill="auto"/>
              </w:rPr>
            </w:pPr>
            <w:r>
              <w:rPr>
                <w:rFonts w:hint="default" w:ascii="Times New Roman" w:hAnsi="Times New Roman" w:eastAsia="宋体" w:cs="Times New Roman"/>
                <w:bCs/>
                <w:color w:val="auto"/>
                <w:kern w:val="2"/>
                <w:sz w:val="24"/>
                <w:szCs w:val="24"/>
                <w:highlight w:val="none"/>
                <w:shd w:val="clear" w:color="auto" w:fill="auto"/>
              </w:rPr>
              <w:t>与项</w:t>
            </w:r>
          </w:p>
          <w:p w14:paraId="40E06596">
            <w:pPr>
              <w:pStyle w:val="29"/>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Cs/>
                <w:color w:val="auto"/>
                <w:kern w:val="2"/>
                <w:sz w:val="24"/>
                <w:szCs w:val="24"/>
                <w:highlight w:val="none"/>
                <w:shd w:val="clear" w:color="auto" w:fill="auto"/>
              </w:rPr>
              <w:t>目有关的原有环境污染问题</w:t>
            </w:r>
          </w:p>
        </w:tc>
        <w:tc>
          <w:tcPr>
            <w:tcW w:w="8342" w:type="dxa"/>
            <w:tcBorders>
              <w:tl2br w:val="nil"/>
              <w:tr2bl w:val="nil"/>
            </w:tcBorders>
            <w:noWrap w:val="0"/>
            <w:vAlign w:val="top"/>
          </w:tcPr>
          <w:p w14:paraId="5FDCCC22">
            <w:pPr>
              <w:shd w:val="clear"/>
              <w:spacing w:line="360" w:lineRule="auto"/>
              <w:ind w:firstLine="482" w:firstLineChars="200"/>
              <w:rPr>
                <w:rFonts w:hint="eastAsia" w:eastAsia="宋体"/>
                <w:b/>
                <w:bCs/>
                <w:color w:val="auto"/>
                <w:lang w:val="en-US" w:eastAsia="zh-CN"/>
              </w:rPr>
            </w:pPr>
            <w:r>
              <w:rPr>
                <w:rFonts w:hint="eastAsia"/>
                <w:b/>
                <w:bCs/>
                <w:color w:val="auto"/>
                <w:lang w:val="en-US" w:eastAsia="zh-CN"/>
              </w:rPr>
              <w:t>1、环保手续履行情况</w:t>
            </w:r>
          </w:p>
          <w:p w14:paraId="7421E384">
            <w:pPr>
              <w:shd w:val="clear"/>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滦县耀隆宝峰矿业有限公司前身为中国耀华玻璃集团公司雷庄矿，秦皇岛耀华玻璃厂雷庄砂岩矿原料加工系统技改工程于1989年1月10日取得了环评批复，于1997年6月5日取得了河北省工业污染源限期治理达标验收书。</w:t>
            </w:r>
          </w:p>
          <w:p w14:paraId="648ECD7A">
            <w:pPr>
              <w:shd w:val="clea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2020年1月20日，《滦县耀隆宝峰矿业有限公司年10万吨精制硅砂加工生产线项目环境影响报告表》通过唐山市生态环境局滦州市分局的审批，审批文号：滦环表[2020]3号，2020年10月30日，《滦县耀隆宝峰矿业有限公司年 10 万吨精制硅砂加工生产线项目》已由建设单位自主组织开展竣工环境保护验收，各项环保设施及措施均落实到位，验收结论为合格。</w:t>
            </w:r>
          </w:p>
          <w:p w14:paraId="2E0EFA9E">
            <w:pPr>
              <w:shd w:val="clea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滦县耀隆宝峰矿业有限公司于2020年5月27日首次取得固定污染源排污登记回执，于2025年1月21日取得固定污染源排污登记回执（变更），</w:t>
            </w:r>
            <w:r>
              <w:rPr>
                <w:rFonts w:hint="eastAsia"/>
                <w:color w:val="auto"/>
                <w:sz w:val="24"/>
                <w:szCs w:val="24"/>
                <w:lang w:val="en-US" w:eastAsia="zh-CN"/>
              </w:rPr>
              <w:t>登记编号91130223593587002W001X，有效期限：2025年01月21日至2030年01月20日。</w:t>
            </w:r>
          </w:p>
          <w:p w14:paraId="1964D1FF">
            <w:pPr>
              <w:shd w:val="clear"/>
              <w:spacing w:line="360" w:lineRule="auto"/>
              <w:ind w:firstLine="480" w:firstLineChars="200"/>
              <w:rPr>
                <w:rFonts w:hint="eastAsia"/>
                <w:color w:val="auto"/>
                <w:sz w:val="24"/>
                <w:szCs w:val="24"/>
              </w:rPr>
            </w:pPr>
            <w:r>
              <w:rPr>
                <w:rFonts w:hint="eastAsia" w:ascii="Times New Roman" w:hAnsi="Times New Roman" w:eastAsia="宋体" w:cs="Times New Roman"/>
                <w:color w:val="auto"/>
                <w:sz w:val="24"/>
                <w:szCs w:val="24"/>
                <w:lang w:val="en-US" w:eastAsia="zh-CN"/>
              </w:rPr>
              <w:t>滦县耀隆宝峰矿业有限公司</w:t>
            </w:r>
            <w:r>
              <w:rPr>
                <w:rFonts w:hint="eastAsia"/>
                <w:color w:val="auto"/>
                <w:sz w:val="24"/>
                <w:szCs w:val="24"/>
                <w:lang w:val="en-US" w:eastAsia="zh-CN"/>
              </w:rPr>
              <w:t>突发环境事件应急预案于2023年6月12日在</w:t>
            </w:r>
            <w:r>
              <w:rPr>
                <w:rFonts w:hint="eastAsia" w:ascii="Times New Roman" w:hAnsi="Times New Roman" w:eastAsia="宋体" w:cs="Times New Roman"/>
                <w:color w:val="auto"/>
                <w:sz w:val="24"/>
                <w:szCs w:val="24"/>
                <w:lang w:val="en-US" w:eastAsia="zh-CN"/>
              </w:rPr>
              <w:t>唐山市生态环境局滦州市分局</w:t>
            </w:r>
            <w:r>
              <w:rPr>
                <w:rFonts w:hint="eastAsia"/>
                <w:color w:val="auto"/>
                <w:sz w:val="24"/>
                <w:szCs w:val="24"/>
                <w:lang w:val="en-US" w:eastAsia="zh-CN"/>
              </w:rPr>
              <w:t>备案，备案编号130223-2023-025-L。</w:t>
            </w:r>
          </w:p>
          <w:p w14:paraId="538C2119">
            <w:pPr>
              <w:shd w:val="clear"/>
              <w:spacing w:line="360" w:lineRule="auto"/>
              <w:ind w:firstLine="482" w:firstLineChars="200"/>
              <w:rPr>
                <w:rFonts w:hint="eastAsia" w:eastAsia="宋体"/>
                <w:b/>
                <w:bCs/>
                <w:color w:val="auto"/>
                <w:sz w:val="24"/>
                <w:szCs w:val="24"/>
                <w:lang w:val="en-US" w:eastAsia="zh-CN"/>
              </w:rPr>
            </w:pPr>
            <w:r>
              <w:rPr>
                <w:rFonts w:hint="eastAsia"/>
                <w:b/>
                <w:bCs/>
                <w:color w:val="auto"/>
                <w:sz w:val="24"/>
                <w:szCs w:val="24"/>
                <w:lang w:val="en-US" w:eastAsia="zh-CN"/>
              </w:rPr>
              <w:t>2、排污情况</w:t>
            </w:r>
          </w:p>
          <w:p w14:paraId="42D6C4B5">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ascii="Times New Roman" w:hAnsi="Times New Roman" w:eastAsia="宋体" w:cs="Times New Roman"/>
                <w:b/>
                <w:bCs/>
                <w:color w:val="auto"/>
                <w:w w:val="100"/>
                <w:kern w:val="2"/>
                <w:sz w:val="24"/>
                <w:szCs w:val="24"/>
                <w:highlight w:val="none"/>
                <w:lang w:val="en-US" w:eastAsia="zh-CN" w:bidi="ar-SA"/>
              </w:rPr>
              <w:t>①废气达标排放分析</w:t>
            </w:r>
          </w:p>
          <w:p w14:paraId="74C803EB">
            <w:pPr>
              <w:keepNext w:val="0"/>
              <w:keepLines w:val="0"/>
              <w:pageBreakBefore w:val="0"/>
              <w:widowControl w:val="0"/>
              <w:suppressLineNumbers w:val="0"/>
              <w:shd w:val="clear"/>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 w:val="0"/>
                <w:bCs/>
                <w:snapToGrid w:val="0"/>
                <w:color w:val="auto"/>
                <w:kern w:val="0"/>
                <w:sz w:val="24"/>
                <w:szCs w:val="24"/>
                <w:highlight w:val="none"/>
                <w:lang w:eastAsia="zh-CN"/>
              </w:rPr>
            </w:pPr>
            <w:r>
              <w:rPr>
                <w:rFonts w:hint="eastAsia" w:ascii="Times New Roman" w:hAnsi="Times New Roman" w:eastAsia="宋体" w:cs="Times New Roman"/>
                <w:b w:val="0"/>
                <w:bCs/>
                <w:snapToGrid w:val="0"/>
                <w:color w:val="auto"/>
                <w:kern w:val="0"/>
                <w:sz w:val="24"/>
                <w:szCs w:val="24"/>
                <w:highlight w:val="none"/>
                <w:lang w:eastAsia="zh-CN"/>
              </w:rPr>
              <w:t>根据唐山市冀唐德普环境检测有限公司出具的</w:t>
            </w:r>
            <w:r>
              <w:rPr>
                <w:rFonts w:hint="eastAsia" w:ascii="Times New Roman" w:hAnsi="Times New Roman" w:cs="Times New Roman"/>
                <w:b w:val="0"/>
                <w:bCs/>
                <w:snapToGrid w:val="0"/>
                <w:color w:val="auto"/>
                <w:kern w:val="0"/>
                <w:sz w:val="24"/>
                <w:szCs w:val="24"/>
                <w:highlight w:val="none"/>
                <w:lang w:eastAsia="zh-CN"/>
              </w:rPr>
              <w:t>监测</w:t>
            </w:r>
            <w:r>
              <w:rPr>
                <w:rFonts w:hint="eastAsia" w:ascii="Times New Roman" w:hAnsi="Times New Roman" w:eastAsia="宋体" w:cs="Times New Roman"/>
                <w:b w:val="0"/>
                <w:bCs/>
                <w:snapToGrid w:val="0"/>
                <w:color w:val="auto"/>
                <w:kern w:val="0"/>
                <w:sz w:val="24"/>
                <w:szCs w:val="24"/>
                <w:highlight w:val="none"/>
                <w:lang w:eastAsia="zh-CN"/>
              </w:rPr>
              <w:t>报告</w:t>
            </w:r>
            <w:r>
              <w:rPr>
                <w:rFonts w:hint="eastAsia" w:ascii="Times New Roman" w:hAnsi="Times New Roman" w:cs="Times New Roman"/>
                <w:b w:val="0"/>
                <w:bCs/>
                <w:snapToGrid w:val="0"/>
                <w:color w:val="auto"/>
                <w:kern w:val="0"/>
                <w:sz w:val="24"/>
                <w:szCs w:val="24"/>
                <w:highlight w:val="none"/>
                <w:lang w:eastAsia="zh-CN"/>
              </w:rPr>
              <w:t>（JTDP自行监测[2023]0053号）</w:t>
            </w:r>
            <w:r>
              <w:rPr>
                <w:rFonts w:hint="eastAsia" w:ascii="Times New Roman" w:hAnsi="Times New Roman" w:eastAsia="宋体" w:cs="Times New Roman"/>
                <w:b w:val="0"/>
                <w:bCs/>
                <w:snapToGrid w:val="0"/>
                <w:color w:val="auto"/>
                <w:kern w:val="0"/>
                <w:sz w:val="24"/>
                <w:szCs w:val="24"/>
                <w:highlight w:val="none"/>
                <w:lang w:eastAsia="zh-CN"/>
              </w:rPr>
              <w:t>，项目现有工程大气污染物排放达标情况如下：</w:t>
            </w:r>
          </w:p>
          <w:p w14:paraId="12350A5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现有工程</w:t>
            </w:r>
            <w:r>
              <w:rPr>
                <w:rFonts w:hint="default" w:ascii="Times New Roman" w:hAnsi="Times New Roman" w:eastAsia="宋体" w:cs="Times New Roman"/>
                <w:b/>
                <w:bCs/>
                <w:color w:val="auto"/>
                <w:spacing w:val="0"/>
                <w:sz w:val="21"/>
                <w:szCs w:val="21"/>
                <w:highlight w:val="none"/>
                <w:lang w:val="en-US" w:eastAsia="zh-CN"/>
              </w:rPr>
              <w:t>废气监测情况表</w:t>
            </w:r>
          </w:p>
          <w:tbl>
            <w:tblPr>
              <w:tblStyle w:val="32"/>
              <w:tblW w:w="0" w:type="auto"/>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479"/>
              <w:gridCol w:w="1444"/>
              <w:gridCol w:w="1400"/>
              <w:gridCol w:w="967"/>
              <w:gridCol w:w="1117"/>
              <w:gridCol w:w="1843"/>
              <w:gridCol w:w="687"/>
            </w:tblGrid>
            <w:tr w14:paraId="59C8135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54" w:hRule="atLeast"/>
                <w:jc w:val="center"/>
              </w:trPr>
              <w:tc>
                <w:tcPr>
                  <w:tcW w:w="479" w:type="dxa"/>
                  <w:tcBorders>
                    <w:tl2br w:val="nil"/>
                    <w:tr2bl w:val="nil"/>
                  </w:tcBorders>
                  <w:noWrap w:val="0"/>
                  <w:vAlign w:val="center"/>
                </w:tcPr>
                <w:p w14:paraId="12C6B604">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444" w:type="dxa"/>
                  <w:tcBorders>
                    <w:tl2br w:val="nil"/>
                    <w:tr2bl w:val="nil"/>
                  </w:tcBorders>
                  <w:noWrap w:val="0"/>
                  <w:vAlign w:val="center"/>
                </w:tcPr>
                <w:p w14:paraId="3493CD74">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排放口</w:t>
                  </w:r>
                </w:p>
              </w:tc>
              <w:tc>
                <w:tcPr>
                  <w:tcW w:w="1400" w:type="dxa"/>
                  <w:tcBorders>
                    <w:tl2br w:val="nil"/>
                    <w:tr2bl w:val="nil"/>
                  </w:tcBorders>
                  <w:noWrap w:val="0"/>
                  <w:vAlign w:val="center"/>
                </w:tcPr>
                <w:p w14:paraId="182A60DC">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污染因子</w:t>
                  </w:r>
                </w:p>
              </w:tc>
              <w:tc>
                <w:tcPr>
                  <w:tcW w:w="967" w:type="dxa"/>
                  <w:tcBorders>
                    <w:tl2br w:val="nil"/>
                    <w:tr2bl w:val="nil"/>
                  </w:tcBorders>
                  <w:noWrap w:val="0"/>
                  <w:vAlign w:val="center"/>
                </w:tcPr>
                <w:p w14:paraId="5F679920">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排放浓度</w:t>
                  </w:r>
                </w:p>
              </w:tc>
              <w:tc>
                <w:tcPr>
                  <w:tcW w:w="1117" w:type="dxa"/>
                  <w:tcBorders>
                    <w:tl2br w:val="nil"/>
                    <w:tr2bl w:val="nil"/>
                  </w:tcBorders>
                  <w:noWrap w:val="0"/>
                  <w:vAlign w:val="center"/>
                </w:tcPr>
                <w:p w14:paraId="2985C174">
                  <w:pPr>
                    <w:keepNext w:val="0"/>
                    <w:keepLines w:val="0"/>
                    <w:widowControl/>
                    <w:suppressLineNumbers w:val="0"/>
                    <w:shd w:val="clear"/>
                    <w:snapToGrid w:val="0"/>
                    <w:spacing w:before="0" w:beforeAutospacing="0" w:after="0" w:afterAutospacing="0" w:line="240" w:lineRule="auto"/>
                    <w:ind w:left="-108" w:leftChars="-45" w:righ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排放标准限值</w:t>
                  </w:r>
                </w:p>
              </w:tc>
              <w:tc>
                <w:tcPr>
                  <w:tcW w:w="1843" w:type="dxa"/>
                  <w:tcBorders>
                    <w:tl2br w:val="nil"/>
                    <w:tr2bl w:val="nil"/>
                  </w:tcBorders>
                  <w:noWrap w:val="0"/>
                  <w:vAlign w:val="center"/>
                </w:tcPr>
                <w:p w14:paraId="132E41FB">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排放标准</w:t>
                  </w:r>
                </w:p>
              </w:tc>
              <w:tc>
                <w:tcPr>
                  <w:tcW w:w="687" w:type="dxa"/>
                  <w:tcBorders>
                    <w:tl2br w:val="nil"/>
                    <w:tr2bl w:val="nil"/>
                  </w:tcBorders>
                  <w:noWrap w:val="0"/>
                  <w:vAlign w:val="center"/>
                </w:tcPr>
                <w:p w14:paraId="13A935D1">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w:t>
                  </w:r>
                </w:p>
                <w:p w14:paraId="1485157E">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情况</w:t>
                  </w:r>
                </w:p>
              </w:tc>
            </w:tr>
            <w:tr w14:paraId="39D1B83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812" w:hRule="atLeast"/>
                <w:jc w:val="center"/>
              </w:trPr>
              <w:tc>
                <w:tcPr>
                  <w:tcW w:w="479" w:type="dxa"/>
                  <w:tcBorders>
                    <w:tl2br w:val="nil"/>
                    <w:tr2bl w:val="nil"/>
                  </w:tcBorders>
                  <w:noWrap w:val="0"/>
                  <w:vAlign w:val="center"/>
                </w:tcPr>
                <w:p w14:paraId="6ECF7E40">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1</w:t>
                  </w:r>
                </w:p>
              </w:tc>
              <w:tc>
                <w:tcPr>
                  <w:tcW w:w="1444" w:type="dxa"/>
                  <w:tcBorders>
                    <w:tl2br w:val="nil"/>
                    <w:tr2bl w:val="nil"/>
                  </w:tcBorders>
                  <w:noWrap w:val="0"/>
                  <w:vAlign w:val="center"/>
                </w:tcPr>
                <w:p w14:paraId="4E11ED82">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颚式破碎+圆锥破碎及各落料点废气处理设施出口</w:t>
                  </w:r>
                  <w:r>
                    <w:rPr>
                      <w:rFonts w:hint="eastAsia" w:ascii="Times New Roman" w:hAnsi="Times New Roman" w:cs="Times New Roman"/>
                      <w:color w:val="auto"/>
                      <w:sz w:val="21"/>
                      <w:szCs w:val="21"/>
                      <w:highlight w:val="none"/>
                      <w:lang w:val="en-US" w:eastAsia="zh-CN"/>
                    </w:rPr>
                    <w:t>（最大值）</w:t>
                  </w:r>
                </w:p>
              </w:tc>
              <w:tc>
                <w:tcPr>
                  <w:tcW w:w="1400" w:type="dxa"/>
                  <w:tcBorders>
                    <w:tl2br w:val="nil"/>
                    <w:tr2bl w:val="nil"/>
                  </w:tcBorders>
                  <w:noWrap w:val="0"/>
                  <w:vAlign w:val="center"/>
                </w:tcPr>
                <w:p w14:paraId="59F9101C">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r>
                    <w:rPr>
                      <w:rFonts w:hint="eastAsia"/>
                      <w:color w:val="auto"/>
                      <w:lang w:val="en-US" w:eastAsia="zh-CN"/>
                    </w:rPr>
                    <w:t>（</w:t>
                  </w:r>
                  <w:r>
                    <w:rPr>
                      <w:rFonts w:hint="default" w:ascii="Times New Roman" w:hAnsi="Times New Roman" w:eastAsia="宋体" w:cs="Times New Roman"/>
                      <w:b w:val="0"/>
                      <w:bCs w:val="0"/>
                      <w:color w:val="auto"/>
                      <w:sz w:val="21"/>
                      <w:szCs w:val="21"/>
                      <w:highlight w:val="none"/>
                    </w:rPr>
                    <w:t>mg/m</w:t>
                  </w:r>
                  <w:r>
                    <w:rPr>
                      <w:rFonts w:hint="default" w:ascii="Times New Roman" w:hAnsi="Times New Roman" w:eastAsia="宋体" w:cs="Times New Roman"/>
                      <w:b w:val="0"/>
                      <w:bCs w:val="0"/>
                      <w:color w:val="auto"/>
                      <w:sz w:val="21"/>
                      <w:szCs w:val="21"/>
                      <w:highlight w:val="none"/>
                      <w:vertAlign w:val="superscript"/>
                    </w:rPr>
                    <w:t>3</w:t>
                  </w:r>
                  <w:r>
                    <w:rPr>
                      <w:rFonts w:hint="eastAsia"/>
                      <w:color w:val="auto"/>
                      <w:lang w:val="en-US" w:eastAsia="zh-CN"/>
                    </w:rPr>
                    <w:t>）</w:t>
                  </w:r>
                </w:p>
              </w:tc>
              <w:tc>
                <w:tcPr>
                  <w:tcW w:w="967" w:type="dxa"/>
                  <w:tcBorders>
                    <w:tl2br w:val="nil"/>
                    <w:tr2bl w:val="nil"/>
                  </w:tcBorders>
                  <w:noWrap w:val="0"/>
                  <w:vAlign w:val="center"/>
                </w:tcPr>
                <w:p w14:paraId="00714B64">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5.6</w:t>
                  </w:r>
                </w:p>
              </w:tc>
              <w:tc>
                <w:tcPr>
                  <w:tcW w:w="1117" w:type="dxa"/>
                  <w:tcBorders>
                    <w:tl2br w:val="nil"/>
                    <w:tr2bl w:val="nil"/>
                  </w:tcBorders>
                  <w:noWrap w:val="0"/>
                  <w:vAlign w:val="center"/>
                </w:tcPr>
                <w:p w14:paraId="29DD6F2E">
                  <w:pPr>
                    <w:keepNext w:val="0"/>
                    <w:keepLines w:val="0"/>
                    <w:widowControl/>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10</w:t>
                  </w:r>
                </w:p>
              </w:tc>
              <w:tc>
                <w:tcPr>
                  <w:tcW w:w="1843" w:type="dxa"/>
                  <w:vMerge w:val="restart"/>
                  <w:tcBorders>
                    <w:tl2br w:val="nil"/>
                    <w:tr2bl w:val="nil"/>
                  </w:tcBorders>
                  <w:noWrap w:val="0"/>
                  <w:vAlign w:val="center"/>
                </w:tcPr>
                <w:p w14:paraId="4860A07F">
                  <w:pPr>
                    <w:keepNext w:val="0"/>
                    <w:keepLines w:val="0"/>
                    <w:widowControl/>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《石灰行业大气污染物排放标准》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DB13/</w:t>
                  </w:r>
                  <w:r>
                    <w:rPr>
                      <w:rFonts w:hint="eastAsia" w:cs="Times New Roman"/>
                      <w:color w:val="auto"/>
                      <w:sz w:val="21"/>
                      <w:szCs w:val="21"/>
                      <w:highlight w:val="none"/>
                      <w:lang w:eastAsia="zh-CN"/>
                    </w:rPr>
                    <w:t>1641-2025）</w:t>
                  </w:r>
                  <w:r>
                    <w:rPr>
                      <w:rFonts w:hint="default" w:ascii="Times New Roman" w:hAnsi="Times New Roman" w:eastAsia="宋体" w:cs="Times New Roman"/>
                      <w:color w:val="auto"/>
                      <w:sz w:val="21"/>
                      <w:szCs w:val="21"/>
                      <w:highlight w:val="none"/>
                      <w:lang w:eastAsia="zh-CN"/>
                    </w:rPr>
                    <w:t>及《2019年“十项重点工作"工作方案》</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唐办发</w:t>
                  </w:r>
                  <w:r>
                    <w:rPr>
                      <w:rFonts w:hint="eastAsia" w:cs="Times New Roman"/>
                      <w:color w:val="auto"/>
                      <w:sz w:val="21"/>
                      <w:szCs w:val="21"/>
                      <w:highlight w:val="none"/>
                      <w:lang w:eastAsia="zh-CN"/>
                    </w:rPr>
                    <w:t>﹝2019﹞</w:t>
                  </w:r>
                  <w:r>
                    <w:rPr>
                      <w:rFonts w:hint="default" w:ascii="Times New Roman" w:hAnsi="Times New Roman" w:eastAsia="宋体" w:cs="Times New Roman"/>
                      <w:color w:val="auto"/>
                      <w:sz w:val="21"/>
                      <w:szCs w:val="21"/>
                      <w:highlight w:val="none"/>
                      <w:lang w:eastAsia="zh-CN"/>
                    </w:rPr>
                    <w:t>3号</w:t>
                  </w:r>
                  <w:r>
                    <w:rPr>
                      <w:rFonts w:hint="eastAsia" w:cs="Times New Roman"/>
                      <w:color w:val="auto"/>
                      <w:sz w:val="21"/>
                      <w:szCs w:val="21"/>
                      <w:highlight w:val="none"/>
                      <w:lang w:eastAsia="zh-CN"/>
                    </w:rPr>
                    <w:t>）</w:t>
                  </w:r>
                </w:p>
              </w:tc>
              <w:tc>
                <w:tcPr>
                  <w:tcW w:w="687" w:type="dxa"/>
                  <w:tcBorders>
                    <w:tl2br w:val="nil"/>
                    <w:tr2bl w:val="nil"/>
                  </w:tcBorders>
                  <w:noWrap w:val="0"/>
                  <w:vAlign w:val="center"/>
                </w:tcPr>
                <w:p w14:paraId="10AAC23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799768C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90" w:hRule="atLeast"/>
                <w:jc w:val="center"/>
              </w:trPr>
              <w:tc>
                <w:tcPr>
                  <w:tcW w:w="479" w:type="dxa"/>
                  <w:tcBorders>
                    <w:tl2br w:val="nil"/>
                    <w:tr2bl w:val="nil"/>
                  </w:tcBorders>
                  <w:noWrap w:val="0"/>
                  <w:vAlign w:val="center"/>
                </w:tcPr>
                <w:p w14:paraId="39A5C2D9">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1444" w:type="dxa"/>
                  <w:tcBorders>
                    <w:tl2br w:val="nil"/>
                    <w:tr2bl w:val="nil"/>
                  </w:tcBorders>
                  <w:noWrap w:val="0"/>
                  <w:vAlign w:val="center"/>
                </w:tcPr>
                <w:p w14:paraId="683917EB">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无组织排放废气</w:t>
                  </w:r>
                  <w:r>
                    <w:rPr>
                      <w:rFonts w:hint="eastAsia" w:ascii="Times New Roman" w:hAnsi="Times New Roman" w:eastAsia="宋体" w:cs="Times New Roman"/>
                      <w:color w:val="auto"/>
                      <w:sz w:val="21"/>
                      <w:szCs w:val="21"/>
                      <w:highlight w:val="none"/>
                      <w:lang w:val="en-US" w:eastAsia="zh-CN"/>
                    </w:rPr>
                    <w:t>（下方向最大值）</w:t>
                  </w:r>
                </w:p>
              </w:tc>
              <w:tc>
                <w:tcPr>
                  <w:tcW w:w="1400" w:type="dxa"/>
                  <w:tcBorders>
                    <w:tl2br w:val="nil"/>
                    <w:tr2bl w:val="nil"/>
                  </w:tcBorders>
                  <w:noWrap w:val="0"/>
                  <w:vAlign w:val="center"/>
                </w:tcPr>
                <w:p w14:paraId="662B54A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eastAsia="zh-CN"/>
                    </w:rPr>
                  </w:pPr>
                  <w:r>
                    <w:rPr>
                      <w:rFonts w:hint="eastAsia" w:cs="Times New Roman"/>
                      <w:b w:val="0"/>
                      <w:bCs w:val="0"/>
                      <w:color w:val="auto"/>
                      <w:sz w:val="21"/>
                      <w:szCs w:val="21"/>
                      <w:highlight w:val="none"/>
                      <w:lang w:eastAsia="zh-CN"/>
                    </w:rPr>
                    <w:t>颗粒物</w:t>
                  </w:r>
                  <w:r>
                    <w:rPr>
                      <w:rFonts w:hint="eastAsia"/>
                      <w:color w:val="auto"/>
                      <w:lang w:val="en-US" w:eastAsia="zh-CN"/>
                    </w:rPr>
                    <w:t>（</w:t>
                  </w:r>
                  <w:r>
                    <w:rPr>
                      <w:rFonts w:hint="default" w:ascii="Times New Roman" w:hAnsi="Times New Roman" w:eastAsia="宋体" w:cs="Times New Roman"/>
                      <w:b w:val="0"/>
                      <w:bCs w:val="0"/>
                      <w:color w:val="auto"/>
                      <w:sz w:val="21"/>
                      <w:szCs w:val="21"/>
                      <w:highlight w:val="none"/>
                    </w:rPr>
                    <w:t>mg/m</w:t>
                  </w:r>
                  <w:r>
                    <w:rPr>
                      <w:rFonts w:hint="default" w:ascii="Times New Roman" w:hAnsi="Times New Roman" w:eastAsia="宋体" w:cs="Times New Roman"/>
                      <w:b w:val="0"/>
                      <w:bCs w:val="0"/>
                      <w:color w:val="auto"/>
                      <w:sz w:val="21"/>
                      <w:szCs w:val="21"/>
                      <w:highlight w:val="none"/>
                      <w:vertAlign w:val="superscript"/>
                    </w:rPr>
                    <w:t>3</w:t>
                  </w:r>
                  <w:r>
                    <w:rPr>
                      <w:rFonts w:hint="eastAsia"/>
                      <w:color w:val="auto"/>
                      <w:lang w:val="en-US" w:eastAsia="zh-CN"/>
                    </w:rPr>
                    <w:t>）</w:t>
                  </w:r>
                </w:p>
              </w:tc>
              <w:tc>
                <w:tcPr>
                  <w:tcW w:w="967" w:type="dxa"/>
                  <w:tcBorders>
                    <w:tl2br w:val="nil"/>
                    <w:tr2bl w:val="nil"/>
                  </w:tcBorders>
                  <w:noWrap w:val="0"/>
                  <w:vAlign w:val="center"/>
                </w:tcPr>
                <w:p w14:paraId="506FC57C">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ascii="Times New Roman" w:hAnsi="Times New Roman" w:cs="Times New Roman"/>
                      <w:color w:val="auto"/>
                      <w:sz w:val="21"/>
                      <w:szCs w:val="21"/>
                      <w:highlight w:val="none"/>
                      <w:lang w:val="en-US" w:eastAsia="zh-CN"/>
                    </w:rPr>
                    <w:t>345</w:t>
                  </w:r>
                </w:p>
              </w:tc>
              <w:tc>
                <w:tcPr>
                  <w:tcW w:w="1117" w:type="dxa"/>
                  <w:tcBorders>
                    <w:tl2br w:val="nil"/>
                    <w:tr2bl w:val="nil"/>
                  </w:tcBorders>
                  <w:noWrap w:val="0"/>
                  <w:vAlign w:val="center"/>
                </w:tcPr>
                <w:p w14:paraId="6EBDC07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0.5</w:t>
                  </w:r>
                </w:p>
              </w:tc>
              <w:tc>
                <w:tcPr>
                  <w:tcW w:w="1843" w:type="dxa"/>
                  <w:vMerge w:val="continue"/>
                  <w:tcBorders>
                    <w:tl2br w:val="nil"/>
                    <w:tr2bl w:val="nil"/>
                  </w:tcBorders>
                  <w:noWrap w:val="0"/>
                  <w:vAlign w:val="center"/>
                </w:tcPr>
                <w:p w14:paraId="233A9B8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aps w:val="0"/>
                      <w:snapToGrid w:val="0"/>
                      <w:color w:val="auto"/>
                      <w:kern w:val="0"/>
                      <w:sz w:val="21"/>
                      <w:szCs w:val="21"/>
                      <w:highlight w:val="none"/>
                      <w:lang w:val="en-US" w:eastAsia="zh-CN" w:bidi="ar-SA"/>
                    </w:rPr>
                  </w:pPr>
                </w:p>
              </w:tc>
              <w:tc>
                <w:tcPr>
                  <w:tcW w:w="687" w:type="dxa"/>
                  <w:tcBorders>
                    <w:tl2br w:val="nil"/>
                    <w:tr2bl w:val="nil"/>
                  </w:tcBorders>
                  <w:noWrap w:val="0"/>
                  <w:vAlign w:val="center"/>
                </w:tcPr>
                <w:p w14:paraId="088C83E0">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14:paraId="65AE2F36">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鄂式破碎机、圆锥破碎机及中间仓均配套设置集气罩，废气经引风管收集后，汇入1套脉冲布袋除尘器处理，处理达标后通过1根21.5m高排气筒（DA001）排放。根据自行监测报告（JTDP自行监测</w:t>
            </w:r>
            <w:r>
              <w:rPr>
                <w:rFonts w:hint="eastAsia" w:cs="Times New Roman"/>
                <w:b w:val="0"/>
                <w:bCs w:val="0"/>
                <w:color w:val="auto"/>
                <w:w w:val="100"/>
                <w:kern w:val="2"/>
                <w:sz w:val="24"/>
                <w:szCs w:val="24"/>
                <w:highlight w:val="none"/>
                <w:lang w:val="en-US" w:eastAsia="zh-CN" w:bidi="ar-SA"/>
              </w:rPr>
              <w:t>[2023]</w:t>
            </w:r>
            <w:r>
              <w:rPr>
                <w:rFonts w:hint="eastAsia" w:ascii="Times New Roman" w:hAnsi="Times New Roman" w:eastAsia="宋体" w:cs="Times New Roman"/>
                <w:b w:val="0"/>
                <w:bCs w:val="0"/>
                <w:color w:val="auto"/>
                <w:w w:val="100"/>
                <w:kern w:val="2"/>
                <w:sz w:val="24"/>
                <w:szCs w:val="24"/>
                <w:highlight w:val="none"/>
                <w:lang w:val="en-US" w:eastAsia="zh-CN" w:bidi="ar-SA"/>
              </w:rPr>
              <w:t>0053号），排气筒（DA001）颗粒物排放浓度满足《石灰行业大气污染物排放标准》（DB13/</w:t>
            </w:r>
            <w:r>
              <w:rPr>
                <w:rFonts w:hint="eastAsia" w:cs="Times New Roman"/>
                <w:b w:val="0"/>
                <w:bCs w:val="0"/>
                <w:color w:val="auto"/>
                <w:w w:val="100"/>
                <w:kern w:val="2"/>
                <w:sz w:val="24"/>
                <w:szCs w:val="24"/>
                <w:highlight w:val="none"/>
                <w:lang w:val="en-US" w:eastAsia="zh-CN" w:bidi="ar-SA"/>
              </w:rPr>
              <w:t>1641-2025</w:t>
            </w:r>
            <w:r>
              <w:rPr>
                <w:rFonts w:hint="eastAsia" w:ascii="Times New Roman" w:hAnsi="Times New Roman" w:eastAsia="宋体" w:cs="Times New Roman"/>
                <w:b w:val="0"/>
                <w:bCs w:val="0"/>
                <w:color w:val="auto"/>
                <w:w w:val="100"/>
                <w:kern w:val="2"/>
                <w:sz w:val="24"/>
                <w:szCs w:val="24"/>
                <w:highlight w:val="none"/>
                <w:lang w:val="en-US" w:eastAsia="zh-CN" w:bidi="ar-SA"/>
              </w:rPr>
              <w:t>）及《2019年“十项重点工作”工作方案》（唐办发〔2019〕3号）相关要求，排放浓度≤10mg/m</w:t>
            </w:r>
            <w:r>
              <w:rPr>
                <w:rFonts w:hint="eastAsia" w:cs="Times New Roman"/>
                <w:b w:val="0"/>
                <w:bCs w:val="0"/>
                <w:color w:val="auto"/>
                <w:w w:val="100"/>
                <w:kern w:val="2"/>
                <w:sz w:val="24"/>
                <w:szCs w:val="24"/>
                <w:highlight w:val="none"/>
                <w:vertAlign w:val="superscript"/>
                <w:lang w:val="en-US" w:eastAsia="zh-CN" w:bidi="ar-SA"/>
              </w:rPr>
              <w:t>3</w:t>
            </w:r>
            <w:r>
              <w:rPr>
                <w:rFonts w:hint="eastAsia" w:ascii="Times New Roman" w:hAnsi="Times New Roman" w:eastAsia="宋体" w:cs="Times New Roman"/>
                <w:b w:val="0"/>
                <w:bCs w:val="0"/>
                <w:color w:val="auto"/>
                <w:w w:val="100"/>
                <w:kern w:val="2"/>
                <w:sz w:val="24"/>
                <w:szCs w:val="24"/>
                <w:highlight w:val="none"/>
                <w:lang w:val="en-US" w:eastAsia="zh-CN" w:bidi="ar-SA"/>
              </w:rPr>
              <w:t>。上料仓布置于封闭通廊内，入料口设置三面封闭入料棚，并配套喷雾抑尘装置；原料库、成品库、中间仓及尾矿砂库均采用全封闭库房形式，库内均设置喷雾抑尘设施；厂区出入口设置车辆冲洗平台，厂区地面全部硬化并配套绿化，物料输送皮带采用全封闭廊道布置。根据自行监测报告（JTDP自行监测</w:t>
            </w:r>
            <w:r>
              <w:rPr>
                <w:rFonts w:hint="eastAsia" w:cs="Times New Roman"/>
                <w:b w:val="0"/>
                <w:bCs w:val="0"/>
                <w:color w:val="auto"/>
                <w:w w:val="100"/>
                <w:kern w:val="2"/>
                <w:sz w:val="24"/>
                <w:szCs w:val="24"/>
                <w:highlight w:val="none"/>
                <w:lang w:val="en-US" w:eastAsia="zh-CN" w:bidi="ar-SA"/>
              </w:rPr>
              <w:t>[2023]</w:t>
            </w:r>
            <w:r>
              <w:rPr>
                <w:rFonts w:hint="eastAsia" w:ascii="Times New Roman" w:hAnsi="Times New Roman" w:eastAsia="宋体" w:cs="Times New Roman"/>
                <w:b w:val="0"/>
                <w:bCs w:val="0"/>
                <w:color w:val="auto"/>
                <w:w w:val="100"/>
                <w:kern w:val="2"/>
                <w:sz w:val="24"/>
                <w:szCs w:val="24"/>
                <w:highlight w:val="none"/>
                <w:lang w:val="en-US" w:eastAsia="zh-CN" w:bidi="ar-SA"/>
              </w:rPr>
              <w:t>0053号），厂界无组织颗粒物排放满足《石灰行业大气污染物排放标准》（DB13/</w:t>
            </w:r>
            <w:r>
              <w:rPr>
                <w:rFonts w:hint="eastAsia" w:cs="Times New Roman"/>
                <w:b w:val="0"/>
                <w:bCs w:val="0"/>
                <w:color w:val="auto"/>
                <w:w w:val="100"/>
                <w:kern w:val="2"/>
                <w:sz w:val="24"/>
                <w:szCs w:val="24"/>
                <w:highlight w:val="none"/>
                <w:lang w:val="en-US" w:eastAsia="zh-CN" w:bidi="ar-SA"/>
              </w:rPr>
              <w:t>1641-2025</w:t>
            </w:r>
            <w:r>
              <w:rPr>
                <w:rFonts w:hint="eastAsia" w:ascii="Times New Roman" w:hAnsi="Times New Roman" w:eastAsia="宋体" w:cs="Times New Roman"/>
                <w:b w:val="0"/>
                <w:bCs w:val="0"/>
                <w:color w:val="auto"/>
                <w:w w:val="100"/>
                <w:kern w:val="2"/>
                <w:sz w:val="24"/>
                <w:szCs w:val="24"/>
                <w:highlight w:val="none"/>
                <w:lang w:val="en-US" w:eastAsia="zh-CN" w:bidi="ar-SA"/>
              </w:rPr>
              <w:t>）及《2019年“十项重点工作”工作方案》（唐办发〔2019〕3号）相关要求，厂界监控浓度≤0.5mg/m</w:t>
            </w:r>
            <w:r>
              <w:rPr>
                <w:rFonts w:hint="eastAsia" w:cs="Times New Roman"/>
                <w:b w:val="0"/>
                <w:bCs w:val="0"/>
                <w:color w:val="auto"/>
                <w:w w:val="100"/>
                <w:kern w:val="2"/>
                <w:sz w:val="24"/>
                <w:szCs w:val="24"/>
                <w:highlight w:val="none"/>
                <w:vertAlign w:val="superscript"/>
                <w:lang w:val="en-US" w:eastAsia="zh-CN" w:bidi="ar-SA"/>
              </w:rPr>
              <w:t>3</w:t>
            </w:r>
            <w:r>
              <w:rPr>
                <w:rFonts w:hint="eastAsia" w:ascii="Times New Roman" w:hAnsi="Times New Roman" w:eastAsia="宋体" w:cs="Times New Roman"/>
                <w:b w:val="0"/>
                <w:bCs w:val="0"/>
                <w:color w:val="auto"/>
                <w:w w:val="100"/>
                <w:kern w:val="2"/>
                <w:sz w:val="24"/>
                <w:szCs w:val="24"/>
                <w:highlight w:val="none"/>
                <w:lang w:val="en-US" w:eastAsia="zh-CN" w:bidi="ar-SA"/>
              </w:rPr>
              <w:t>。</w:t>
            </w:r>
          </w:p>
          <w:p w14:paraId="56D07757">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ascii="Times New Roman" w:hAnsi="Times New Roman" w:eastAsia="宋体" w:cs="Times New Roman"/>
                <w:b/>
                <w:bCs/>
                <w:color w:val="auto"/>
                <w:w w:val="100"/>
                <w:kern w:val="2"/>
                <w:sz w:val="24"/>
                <w:szCs w:val="24"/>
                <w:highlight w:val="none"/>
                <w:lang w:val="en-US" w:eastAsia="zh-CN" w:bidi="ar-SA"/>
              </w:rPr>
              <w:t>②废水达标排放分析</w:t>
            </w:r>
          </w:p>
          <w:p w14:paraId="36DDEE95">
            <w:pPr>
              <w:pStyle w:val="87"/>
              <w:widowControl w:val="0"/>
              <w:numPr>
                <w:ilvl w:val="0"/>
                <w:numId w:val="0"/>
              </w:numPr>
              <w:shd w:val="clear"/>
              <w:adjustRightInd w:val="0"/>
              <w:spacing w:line="360" w:lineRule="auto"/>
              <w:ind w:firstLine="480" w:firstLineChars="200"/>
              <w:jc w:val="both"/>
              <w:rPr>
                <w:rFonts w:hint="default"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现有工程生活污水仅盥洗废水，水质简单，泼洒地面抑尘，不外排；生产废水和洗车废水经沉淀后，循环使用，不外排。</w:t>
            </w:r>
          </w:p>
          <w:p w14:paraId="23BDB547">
            <w:pPr>
              <w:pStyle w:val="87"/>
              <w:widowControl w:val="0"/>
              <w:numPr>
                <w:ilvl w:val="0"/>
                <w:numId w:val="0"/>
              </w:numPr>
              <w:shd w:val="clear"/>
              <w:adjustRightInd w:val="0"/>
              <w:spacing w:line="360" w:lineRule="auto"/>
              <w:ind w:firstLine="482" w:firstLineChars="200"/>
              <w:jc w:val="both"/>
              <w:rPr>
                <w:rFonts w:hint="default" w:ascii="Times New Roman" w:hAnsi="Times New Roman" w:eastAsia="宋体" w:cs="Times New Roman"/>
                <w:b/>
                <w:bCs/>
                <w:color w:val="auto"/>
                <w:w w:val="100"/>
                <w:kern w:val="2"/>
                <w:sz w:val="24"/>
                <w:szCs w:val="24"/>
                <w:highlight w:val="none"/>
                <w:lang w:val="en-US" w:eastAsia="zh-CN" w:bidi="ar-SA"/>
              </w:rPr>
            </w:pPr>
            <w:r>
              <w:rPr>
                <w:rFonts w:hint="eastAsia" w:ascii="Times New Roman" w:hAnsi="Times New Roman" w:eastAsia="宋体" w:cs="Times New Roman"/>
                <w:b/>
                <w:bCs/>
                <w:color w:val="auto"/>
                <w:w w:val="100"/>
                <w:kern w:val="2"/>
                <w:sz w:val="24"/>
                <w:szCs w:val="24"/>
                <w:highlight w:val="none"/>
                <w:lang w:val="en-US" w:eastAsia="zh-CN" w:bidi="ar-SA"/>
              </w:rPr>
              <w:t>③固体废物</w:t>
            </w:r>
          </w:p>
          <w:p w14:paraId="5887B183">
            <w:pPr>
              <w:pStyle w:val="87"/>
              <w:widowControl w:val="0"/>
              <w:numPr>
                <w:ilvl w:val="0"/>
                <w:numId w:val="0"/>
              </w:numPr>
              <w:shd w:val="clear"/>
              <w:adjustRightInd w:val="0"/>
              <w:spacing w:line="360" w:lineRule="auto"/>
              <w:ind w:firstLine="480" w:firstLineChars="200"/>
              <w:jc w:val="both"/>
              <w:rPr>
                <w:rFonts w:hint="eastAsia"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现有工程</w:t>
            </w:r>
            <w:r>
              <w:rPr>
                <w:rFonts w:hint="default" w:ascii="Times New Roman" w:hAnsi="Times New Roman" w:eastAsia="宋体" w:cs="Times New Roman"/>
                <w:b w:val="0"/>
                <w:bCs w:val="0"/>
                <w:color w:val="auto"/>
                <w:w w:val="100"/>
                <w:kern w:val="2"/>
                <w:sz w:val="24"/>
                <w:szCs w:val="24"/>
                <w:highlight w:val="none"/>
                <w:lang w:val="en-US" w:eastAsia="zh-CN" w:bidi="ar-SA"/>
              </w:rPr>
              <w:t>一般固废包括</w:t>
            </w:r>
            <w:r>
              <w:rPr>
                <w:rFonts w:hint="eastAsia" w:ascii="Times New Roman" w:hAnsi="Times New Roman" w:eastAsia="宋体" w:cs="Times New Roman"/>
                <w:b w:val="0"/>
                <w:bCs w:val="0"/>
                <w:color w:val="auto"/>
                <w:w w:val="100"/>
                <w:kern w:val="2"/>
                <w:sz w:val="24"/>
                <w:szCs w:val="24"/>
                <w:highlight w:val="none"/>
                <w:lang w:val="en-US" w:eastAsia="zh-CN" w:bidi="ar-SA"/>
              </w:rPr>
              <w:t>尾矿砂、除尘灰、废布袋、铁精粉</w:t>
            </w:r>
            <w:r>
              <w:rPr>
                <w:rFonts w:hint="eastAsia" w:cs="Times New Roman"/>
                <w:b w:val="0"/>
                <w:bCs w:val="0"/>
                <w:color w:val="auto"/>
                <w:w w:val="100"/>
                <w:kern w:val="2"/>
                <w:sz w:val="24"/>
                <w:szCs w:val="24"/>
                <w:highlight w:val="none"/>
                <w:lang w:val="en-US" w:eastAsia="zh-CN" w:bidi="ar-SA"/>
              </w:rPr>
              <w:t>、洗车平台污泥</w:t>
            </w:r>
            <w:r>
              <w:rPr>
                <w:rFonts w:hint="default" w:ascii="Times New Roman" w:hAnsi="Times New Roman" w:eastAsia="宋体" w:cs="Times New Roman"/>
                <w:b w:val="0"/>
                <w:bCs w:val="0"/>
                <w:color w:val="auto"/>
                <w:w w:val="100"/>
                <w:kern w:val="2"/>
                <w:sz w:val="24"/>
                <w:szCs w:val="24"/>
                <w:highlight w:val="none"/>
                <w:lang w:val="en-US" w:eastAsia="zh-CN" w:bidi="ar-SA"/>
              </w:rPr>
              <w:t>，</w:t>
            </w:r>
            <w:r>
              <w:rPr>
                <w:rFonts w:hint="eastAsia" w:cs="Times New Roman"/>
                <w:b w:val="0"/>
                <w:bCs w:val="0"/>
                <w:color w:val="auto"/>
                <w:w w:val="100"/>
                <w:kern w:val="2"/>
                <w:sz w:val="24"/>
                <w:szCs w:val="24"/>
                <w:highlight w:val="none"/>
                <w:lang w:val="en-US" w:eastAsia="zh-CN" w:bidi="ar-SA"/>
              </w:rPr>
              <w:t>产生量如下：</w:t>
            </w:r>
          </w:p>
          <w:p w14:paraId="0DF70CB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现有工程固体废物产生量及处理措施</w:t>
            </w:r>
          </w:p>
          <w:tbl>
            <w:tblPr>
              <w:tblStyle w:val="33"/>
              <w:tblW w:w="769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524"/>
              <w:gridCol w:w="688"/>
              <w:gridCol w:w="1572"/>
              <w:gridCol w:w="960"/>
              <w:gridCol w:w="2985"/>
              <w:gridCol w:w="967"/>
            </w:tblGrid>
            <w:tr w14:paraId="6F4F16F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2" w:hRule="atLeast"/>
                <w:jc w:val="center"/>
              </w:trPr>
              <w:tc>
                <w:tcPr>
                  <w:tcW w:w="524" w:type="dxa"/>
                  <w:tcBorders>
                    <w:tl2br w:val="nil"/>
                    <w:tr2bl w:val="nil"/>
                  </w:tcBorders>
                  <w:shd w:val="clear" w:color="auto" w:fill="auto"/>
                  <w:vAlign w:val="center"/>
                </w:tcPr>
                <w:p w14:paraId="556A698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eastAsia="zh-CN"/>
                    </w:rPr>
                    <w:t>序号</w:t>
                  </w:r>
                </w:p>
              </w:tc>
              <w:tc>
                <w:tcPr>
                  <w:tcW w:w="688" w:type="dxa"/>
                  <w:tcBorders>
                    <w:tl2br w:val="nil"/>
                    <w:tr2bl w:val="nil"/>
                  </w:tcBorders>
                  <w:vAlign w:val="center"/>
                </w:tcPr>
                <w:p w14:paraId="77C7E2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类型</w:t>
                  </w:r>
                </w:p>
              </w:tc>
              <w:tc>
                <w:tcPr>
                  <w:tcW w:w="1572" w:type="dxa"/>
                  <w:tcBorders>
                    <w:tl2br w:val="nil"/>
                    <w:tr2bl w:val="nil"/>
                  </w:tcBorders>
                  <w:vAlign w:val="center"/>
                </w:tcPr>
                <w:p w14:paraId="4D7663E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名称</w:t>
                  </w:r>
                </w:p>
              </w:tc>
              <w:tc>
                <w:tcPr>
                  <w:tcW w:w="960" w:type="dxa"/>
                  <w:tcBorders>
                    <w:tl2br w:val="nil"/>
                    <w:tr2bl w:val="nil"/>
                  </w:tcBorders>
                  <w:shd w:val="clear" w:color="auto" w:fill="auto"/>
                  <w:vAlign w:val="center"/>
                </w:tcPr>
                <w:p w14:paraId="7FBC1E8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产生量</w:t>
                  </w: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t/a</w:t>
                  </w:r>
                  <w:r>
                    <w:rPr>
                      <w:rFonts w:hint="eastAsia" w:ascii="Times New Roman" w:hAnsi="Times New Roman" w:eastAsia="宋体" w:cs="Times New Roman"/>
                      <w:color w:val="auto"/>
                      <w:sz w:val="21"/>
                      <w:szCs w:val="21"/>
                      <w:highlight w:val="none"/>
                      <w:vertAlign w:val="baseline"/>
                      <w:lang w:eastAsia="zh-CN"/>
                    </w:rPr>
                    <w:t>）</w:t>
                  </w:r>
                </w:p>
              </w:tc>
              <w:tc>
                <w:tcPr>
                  <w:tcW w:w="2985" w:type="dxa"/>
                  <w:tcBorders>
                    <w:tl2br w:val="nil"/>
                    <w:tr2bl w:val="nil"/>
                  </w:tcBorders>
                  <w:shd w:val="clear" w:color="auto" w:fill="auto"/>
                  <w:vAlign w:val="center"/>
                </w:tcPr>
                <w:p w14:paraId="25F125E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处理措施</w:t>
                  </w:r>
                </w:p>
              </w:tc>
              <w:tc>
                <w:tcPr>
                  <w:tcW w:w="967" w:type="dxa"/>
                  <w:tcBorders>
                    <w:tl2br w:val="nil"/>
                    <w:tr2bl w:val="nil"/>
                  </w:tcBorders>
                  <w:shd w:val="clear" w:color="auto" w:fill="auto"/>
                  <w:vAlign w:val="center"/>
                </w:tcPr>
                <w:p w14:paraId="3B5214F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处理量</w:t>
                  </w: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t/a</w:t>
                  </w:r>
                  <w:r>
                    <w:rPr>
                      <w:rFonts w:hint="eastAsia" w:ascii="Times New Roman" w:hAnsi="Times New Roman" w:eastAsia="宋体" w:cs="Times New Roman"/>
                      <w:color w:val="auto"/>
                      <w:sz w:val="21"/>
                      <w:szCs w:val="21"/>
                      <w:highlight w:val="none"/>
                      <w:vertAlign w:val="baseline"/>
                      <w:lang w:eastAsia="zh-CN"/>
                    </w:rPr>
                    <w:t>）</w:t>
                  </w:r>
                </w:p>
              </w:tc>
            </w:tr>
            <w:tr w14:paraId="669DF0B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7939F06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w:t>
                  </w:r>
                </w:p>
              </w:tc>
              <w:tc>
                <w:tcPr>
                  <w:tcW w:w="688" w:type="dxa"/>
                  <w:vMerge w:val="restart"/>
                  <w:tcBorders>
                    <w:tl2br w:val="nil"/>
                    <w:tr2bl w:val="nil"/>
                  </w:tcBorders>
                  <w:vAlign w:val="center"/>
                </w:tcPr>
                <w:p w14:paraId="5FB89E9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一般固体废物</w:t>
                  </w:r>
                </w:p>
              </w:tc>
              <w:tc>
                <w:tcPr>
                  <w:tcW w:w="1572" w:type="dxa"/>
                  <w:tcBorders>
                    <w:tl2br w:val="nil"/>
                    <w:tr2bl w:val="nil"/>
                  </w:tcBorders>
                  <w:vAlign w:val="center"/>
                </w:tcPr>
                <w:p w14:paraId="45B03B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尾矿砂</w:t>
                  </w:r>
                </w:p>
              </w:tc>
              <w:tc>
                <w:tcPr>
                  <w:tcW w:w="960" w:type="dxa"/>
                  <w:tcBorders>
                    <w:tl2br w:val="nil"/>
                    <w:tr2bl w:val="nil"/>
                  </w:tcBorders>
                  <w:shd w:val="clear" w:color="auto" w:fill="auto"/>
                  <w:vAlign w:val="center"/>
                </w:tcPr>
                <w:p w14:paraId="505E8D0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19787.3</w:t>
                  </w:r>
                </w:p>
              </w:tc>
              <w:tc>
                <w:tcPr>
                  <w:tcW w:w="2985" w:type="dxa"/>
                  <w:tcBorders>
                    <w:tl2br w:val="nil"/>
                    <w:tr2bl w:val="nil"/>
                  </w:tcBorders>
                  <w:shd w:val="clear" w:color="auto" w:fill="auto"/>
                  <w:vAlign w:val="center"/>
                </w:tcPr>
                <w:p w14:paraId="576030A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val="0"/>
                      <w:color w:val="auto"/>
                      <w:w w:val="100"/>
                      <w:kern w:val="2"/>
                      <w:sz w:val="21"/>
                      <w:szCs w:val="21"/>
                      <w:highlight w:val="none"/>
                      <w:lang w:val="en-US" w:eastAsia="zh-CN" w:bidi="ar-SA"/>
                    </w:rPr>
                    <w:t>集中收集，</w:t>
                  </w:r>
                  <w:r>
                    <w:rPr>
                      <w:rFonts w:hint="eastAsia" w:cs="Times New Roman"/>
                      <w:b w:val="0"/>
                      <w:bCs/>
                      <w:color w:val="auto"/>
                      <w:sz w:val="21"/>
                      <w:szCs w:val="21"/>
                      <w:highlight w:val="none"/>
                      <w:lang w:eastAsia="zh-CN"/>
                    </w:rPr>
                    <w:t>暂存于一般固废暂存间，</w:t>
                  </w:r>
                  <w:r>
                    <w:rPr>
                      <w:rFonts w:hint="eastAsia" w:cs="Times New Roman"/>
                      <w:b w:val="0"/>
                      <w:bCs w:val="0"/>
                      <w:color w:val="auto"/>
                      <w:w w:val="100"/>
                      <w:kern w:val="2"/>
                      <w:sz w:val="21"/>
                      <w:szCs w:val="21"/>
                      <w:highlight w:val="none"/>
                      <w:lang w:val="en-US" w:eastAsia="zh-CN" w:bidi="ar-SA"/>
                    </w:rPr>
                    <w:t>定期</w:t>
                  </w:r>
                  <w:r>
                    <w:rPr>
                      <w:rFonts w:hint="default" w:ascii="Times New Roman" w:hAnsi="Times New Roman" w:eastAsia="宋体" w:cs="Times New Roman"/>
                      <w:b w:val="0"/>
                      <w:bCs w:val="0"/>
                      <w:color w:val="auto"/>
                      <w:w w:val="100"/>
                      <w:kern w:val="2"/>
                      <w:sz w:val="21"/>
                      <w:szCs w:val="21"/>
                      <w:highlight w:val="none"/>
                      <w:lang w:val="en-US" w:eastAsia="zh-CN" w:bidi="ar-SA"/>
                    </w:rPr>
                    <w:t>外售至水泥厂</w:t>
                  </w:r>
                </w:p>
              </w:tc>
              <w:tc>
                <w:tcPr>
                  <w:tcW w:w="967" w:type="dxa"/>
                  <w:tcBorders>
                    <w:tl2br w:val="nil"/>
                    <w:tr2bl w:val="nil"/>
                  </w:tcBorders>
                  <w:shd w:val="clear" w:color="auto" w:fill="auto"/>
                  <w:vAlign w:val="center"/>
                </w:tcPr>
                <w:p w14:paraId="5A1B1FB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19787.3</w:t>
                  </w:r>
                </w:p>
              </w:tc>
            </w:tr>
            <w:tr w14:paraId="113C7F8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7CF3039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w:t>
                  </w:r>
                </w:p>
              </w:tc>
              <w:tc>
                <w:tcPr>
                  <w:tcW w:w="688" w:type="dxa"/>
                  <w:vMerge w:val="continue"/>
                  <w:tcBorders>
                    <w:tl2br w:val="nil"/>
                    <w:tr2bl w:val="nil"/>
                  </w:tcBorders>
                  <w:vAlign w:val="center"/>
                </w:tcPr>
                <w:p w14:paraId="4EDC99B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1572" w:type="dxa"/>
                  <w:tcBorders>
                    <w:tl2br w:val="nil"/>
                    <w:tr2bl w:val="nil"/>
                  </w:tcBorders>
                  <w:vAlign w:val="center"/>
                </w:tcPr>
                <w:p w14:paraId="3B36A15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除尘灰</w:t>
                  </w:r>
                </w:p>
              </w:tc>
              <w:tc>
                <w:tcPr>
                  <w:tcW w:w="960" w:type="dxa"/>
                  <w:tcBorders>
                    <w:tl2br w:val="nil"/>
                    <w:tr2bl w:val="nil"/>
                  </w:tcBorders>
                  <w:shd w:val="clear" w:color="auto" w:fill="auto"/>
                  <w:vAlign w:val="center"/>
                </w:tcPr>
                <w:p w14:paraId="03DE0CD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92.7</w:t>
                  </w:r>
                </w:p>
              </w:tc>
              <w:tc>
                <w:tcPr>
                  <w:tcW w:w="2985" w:type="dxa"/>
                  <w:tcBorders>
                    <w:tl2br w:val="nil"/>
                    <w:tr2bl w:val="nil"/>
                  </w:tcBorders>
                  <w:shd w:val="clear" w:color="auto" w:fill="auto"/>
                  <w:vAlign w:val="center"/>
                </w:tcPr>
                <w:p w14:paraId="4D8BB18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b w:val="0"/>
                      <w:bCs/>
                      <w:color w:val="auto"/>
                      <w:sz w:val="21"/>
                      <w:szCs w:val="21"/>
                      <w:highlight w:val="none"/>
                      <w:lang w:val="en-US" w:eastAsia="zh-CN"/>
                    </w:rPr>
                    <w:t>集中</w:t>
                  </w:r>
                  <w:r>
                    <w:rPr>
                      <w:rFonts w:hint="default" w:ascii="Times New Roman" w:hAnsi="Times New Roman" w:eastAsia="宋体" w:cs="Times New Roman"/>
                      <w:b w:val="0"/>
                      <w:bCs/>
                      <w:color w:val="auto"/>
                      <w:sz w:val="21"/>
                      <w:szCs w:val="21"/>
                      <w:highlight w:val="none"/>
                      <w:lang w:val="en-US" w:eastAsia="zh-CN"/>
                    </w:rPr>
                    <w:t>收集</w:t>
                  </w:r>
                  <w:r>
                    <w:rPr>
                      <w:rFonts w:hint="eastAsia" w:cs="Times New Roman"/>
                      <w:b w:val="0"/>
                      <w:bCs/>
                      <w:color w:val="auto"/>
                      <w:sz w:val="21"/>
                      <w:szCs w:val="21"/>
                      <w:highlight w:val="none"/>
                      <w:lang w:val="en-US" w:eastAsia="zh-CN"/>
                    </w:rPr>
                    <w:t>，</w:t>
                  </w:r>
                  <w:r>
                    <w:rPr>
                      <w:rFonts w:hint="eastAsia" w:cs="Times New Roman"/>
                      <w:b w:val="0"/>
                      <w:bCs/>
                      <w:color w:val="auto"/>
                      <w:sz w:val="21"/>
                      <w:szCs w:val="21"/>
                      <w:highlight w:val="none"/>
                      <w:lang w:eastAsia="zh-CN"/>
                    </w:rPr>
                    <w:t>暂存于一般固废暂存间，定期外售水泥厂</w:t>
                  </w:r>
                </w:p>
              </w:tc>
              <w:tc>
                <w:tcPr>
                  <w:tcW w:w="967" w:type="dxa"/>
                  <w:tcBorders>
                    <w:tl2br w:val="nil"/>
                    <w:tr2bl w:val="nil"/>
                  </w:tcBorders>
                  <w:shd w:val="clear" w:color="auto" w:fill="auto"/>
                  <w:vAlign w:val="center"/>
                </w:tcPr>
                <w:p w14:paraId="19A44EA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92.7</w:t>
                  </w:r>
                </w:p>
              </w:tc>
            </w:tr>
            <w:tr w14:paraId="29F8BA1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0C3305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3</w:t>
                  </w:r>
                </w:p>
              </w:tc>
              <w:tc>
                <w:tcPr>
                  <w:tcW w:w="688" w:type="dxa"/>
                  <w:vMerge w:val="continue"/>
                  <w:tcBorders>
                    <w:tl2br w:val="nil"/>
                    <w:tr2bl w:val="nil"/>
                  </w:tcBorders>
                  <w:vAlign w:val="center"/>
                </w:tcPr>
                <w:p w14:paraId="070F16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1572" w:type="dxa"/>
                  <w:tcBorders>
                    <w:tl2br w:val="nil"/>
                    <w:tr2bl w:val="nil"/>
                  </w:tcBorders>
                  <w:vAlign w:val="center"/>
                </w:tcPr>
                <w:p w14:paraId="0D737C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w w:val="100"/>
                      <w:kern w:val="2"/>
                      <w:sz w:val="21"/>
                      <w:szCs w:val="21"/>
                      <w:highlight w:val="no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洗车平台污泥</w:t>
                  </w:r>
                </w:p>
              </w:tc>
              <w:tc>
                <w:tcPr>
                  <w:tcW w:w="960" w:type="dxa"/>
                  <w:tcBorders>
                    <w:tl2br w:val="nil"/>
                    <w:tr2bl w:val="nil"/>
                  </w:tcBorders>
                  <w:shd w:val="clear" w:color="auto" w:fill="auto"/>
                  <w:vAlign w:val="center"/>
                </w:tcPr>
                <w:p w14:paraId="279DCBE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10</w:t>
                  </w:r>
                </w:p>
              </w:tc>
              <w:tc>
                <w:tcPr>
                  <w:tcW w:w="2985" w:type="dxa"/>
                  <w:tcBorders>
                    <w:tl2br w:val="nil"/>
                    <w:tr2bl w:val="nil"/>
                  </w:tcBorders>
                  <w:shd w:val="clear" w:color="auto" w:fill="auto"/>
                  <w:vAlign w:val="center"/>
                </w:tcPr>
                <w:p w14:paraId="088F8BA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lang w:val="en-US" w:eastAsia="zh-CN"/>
                    </w:rPr>
                    <w:t>沉淀池污泥定期清理，清理后直接</w:t>
                  </w:r>
                  <w:r>
                    <w:rPr>
                      <w:rFonts w:hint="default" w:ascii="Times New Roman" w:hAnsi="Times New Roman" w:eastAsia="宋体" w:cs="Times New Roman"/>
                      <w:b w:val="0"/>
                      <w:bCs/>
                      <w:color w:val="auto"/>
                      <w:sz w:val="21"/>
                      <w:szCs w:val="21"/>
                      <w:highlight w:val="none"/>
                      <w:lang w:val="en-US" w:eastAsia="zh-CN"/>
                    </w:rPr>
                    <w:t>作外售</w:t>
                  </w:r>
                  <w:r>
                    <w:rPr>
                      <w:rFonts w:hint="eastAsia" w:ascii="Times New Roman" w:hAnsi="Times New Roman" w:eastAsia="宋体" w:cs="Times New Roman"/>
                      <w:b w:val="0"/>
                      <w:bCs/>
                      <w:color w:val="auto"/>
                      <w:sz w:val="21"/>
                      <w:szCs w:val="21"/>
                      <w:highlight w:val="none"/>
                      <w:lang w:val="en-US" w:eastAsia="zh-CN"/>
                    </w:rPr>
                    <w:t>水泥厂</w:t>
                  </w:r>
                </w:p>
              </w:tc>
              <w:tc>
                <w:tcPr>
                  <w:tcW w:w="967" w:type="dxa"/>
                  <w:tcBorders>
                    <w:tl2br w:val="nil"/>
                    <w:tr2bl w:val="nil"/>
                  </w:tcBorders>
                  <w:shd w:val="clear" w:color="auto" w:fill="auto"/>
                  <w:vAlign w:val="center"/>
                </w:tcPr>
                <w:p w14:paraId="3C4A4F3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10</w:t>
                  </w:r>
                </w:p>
              </w:tc>
            </w:tr>
            <w:tr w14:paraId="123C491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5102EF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4</w:t>
                  </w:r>
                </w:p>
              </w:tc>
              <w:tc>
                <w:tcPr>
                  <w:tcW w:w="688" w:type="dxa"/>
                  <w:vMerge w:val="continue"/>
                  <w:tcBorders>
                    <w:tl2br w:val="nil"/>
                    <w:tr2bl w:val="nil"/>
                  </w:tcBorders>
                  <w:vAlign w:val="center"/>
                </w:tcPr>
                <w:p w14:paraId="482809D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1572" w:type="dxa"/>
                  <w:tcBorders>
                    <w:tl2br w:val="nil"/>
                    <w:tr2bl w:val="nil"/>
                  </w:tcBorders>
                  <w:vAlign w:val="center"/>
                </w:tcPr>
                <w:p w14:paraId="3BA034D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废布袋</w:t>
                  </w:r>
                </w:p>
              </w:tc>
              <w:tc>
                <w:tcPr>
                  <w:tcW w:w="960" w:type="dxa"/>
                  <w:tcBorders>
                    <w:tl2br w:val="nil"/>
                    <w:tr2bl w:val="nil"/>
                  </w:tcBorders>
                  <w:shd w:val="clear" w:color="auto" w:fill="auto"/>
                  <w:vAlign w:val="center"/>
                </w:tcPr>
                <w:p w14:paraId="1E66828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w:t>
                  </w:r>
                </w:p>
              </w:tc>
              <w:tc>
                <w:tcPr>
                  <w:tcW w:w="2985" w:type="dxa"/>
                  <w:tcBorders>
                    <w:tl2br w:val="nil"/>
                    <w:tr2bl w:val="nil"/>
                  </w:tcBorders>
                  <w:shd w:val="clear" w:color="auto" w:fill="auto"/>
                  <w:vAlign w:val="center"/>
                </w:tcPr>
                <w:p w14:paraId="4E25F5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废布袋</w:t>
                  </w:r>
                  <w:r>
                    <w:rPr>
                      <w:rFonts w:hint="default" w:ascii="Times New Roman" w:hAnsi="Times New Roman" w:eastAsia="宋体" w:cs="Times New Roman"/>
                      <w:b w:val="0"/>
                      <w:bCs w:val="0"/>
                      <w:color w:val="auto"/>
                      <w:w w:val="100"/>
                      <w:kern w:val="2"/>
                      <w:sz w:val="21"/>
                      <w:szCs w:val="21"/>
                      <w:highlight w:val="none"/>
                      <w:lang w:val="en-US" w:eastAsia="zh-CN" w:bidi="ar-SA"/>
                    </w:rPr>
                    <w:t>更换后，直接外售废品回收站</w:t>
                  </w:r>
                </w:p>
              </w:tc>
              <w:tc>
                <w:tcPr>
                  <w:tcW w:w="967" w:type="dxa"/>
                  <w:tcBorders>
                    <w:tl2br w:val="nil"/>
                    <w:tr2bl w:val="nil"/>
                  </w:tcBorders>
                  <w:shd w:val="clear" w:color="auto" w:fill="auto"/>
                  <w:vAlign w:val="center"/>
                </w:tcPr>
                <w:p w14:paraId="71CC2B6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0.1</w:t>
                  </w:r>
                </w:p>
              </w:tc>
            </w:tr>
            <w:tr w14:paraId="64E9DB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568E2C4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5</w:t>
                  </w:r>
                </w:p>
              </w:tc>
              <w:tc>
                <w:tcPr>
                  <w:tcW w:w="688" w:type="dxa"/>
                  <w:vMerge w:val="continue"/>
                  <w:tcBorders>
                    <w:tl2br w:val="nil"/>
                    <w:tr2bl w:val="nil"/>
                  </w:tcBorders>
                  <w:vAlign w:val="center"/>
                </w:tcPr>
                <w:p w14:paraId="5BBE7A3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1572" w:type="dxa"/>
                  <w:tcBorders>
                    <w:tl2br w:val="nil"/>
                    <w:tr2bl w:val="nil"/>
                  </w:tcBorders>
                  <w:vAlign w:val="center"/>
                </w:tcPr>
                <w:p w14:paraId="5F319D3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w w:val="100"/>
                      <w:kern w:val="2"/>
                      <w:sz w:val="21"/>
                      <w:szCs w:val="21"/>
                      <w:highlight w:val="no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铁精粉</w:t>
                  </w:r>
                </w:p>
              </w:tc>
              <w:tc>
                <w:tcPr>
                  <w:tcW w:w="960" w:type="dxa"/>
                  <w:tcBorders>
                    <w:tl2br w:val="nil"/>
                    <w:tr2bl w:val="nil"/>
                  </w:tcBorders>
                  <w:shd w:val="clear" w:color="auto" w:fill="auto"/>
                  <w:vAlign w:val="center"/>
                </w:tcPr>
                <w:p w14:paraId="6A188EF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120</w:t>
                  </w:r>
                </w:p>
              </w:tc>
              <w:tc>
                <w:tcPr>
                  <w:tcW w:w="2985" w:type="dxa"/>
                  <w:tcBorders>
                    <w:tl2br w:val="nil"/>
                    <w:tr2bl w:val="nil"/>
                  </w:tcBorders>
                  <w:shd w:val="clear" w:color="auto" w:fill="auto"/>
                  <w:vAlign w:val="center"/>
                </w:tcPr>
                <w:p w14:paraId="5E23BBD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val="0"/>
                      <w:color w:val="auto"/>
                      <w:w w:val="100"/>
                      <w:kern w:val="2"/>
                      <w:sz w:val="21"/>
                      <w:szCs w:val="21"/>
                      <w:highlight w:val="none"/>
                      <w:lang w:val="en-US" w:eastAsia="zh-CN" w:bidi="ar-SA"/>
                    </w:rPr>
                    <w:t>集中收集，</w:t>
                  </w:r>
                  <w:r>
                    <w:rPr>
                      <w:rFonts w:hint="eastAsia" w:cs="Times New Roman"/>
                      <w:b w:val="0"/>
                      <w:bCs/>
                      <w:color w:val="auto"/>
                      <w:sz w:val="21"/>
                      <w:szCs w:val="21"/>
                      <w:highlight w:val="none"/>
                      <w:lang w:eastAsia="zh-CN"/>
                    </w:rPr>
                    <w:t>暂存于一般固废暂存间，</w:t>
                  </w:r>
                  <w:r>
                    <w:rPr>
                      <w:rFonts w:hint="eastAsia" w:cs="Times New Roman"/>
                      <w:b w:val="0"/>
                      <w:bCs w:val="0"/>
                      <w:color w:val="auto"/>
                      <w:w w:val="100"/>
                      <w:kern w:val="2"/>
                      <w:sz w:val="21"/>
                      <w:szCs w:val="21"/>
                      <w:highlight w:val="none"/>
                      <w:lang w:val="en-US" w:eastAsia="zh-CN" w:bidi="ar-SA"/>
                    </w:rPr>
                    <w:t>定期</w:t>
                  </w:r>
                  <w:r>
                    <w:rPr>
                      <w:rFonts w:hint="eastAsia" w:ascii="Times New Roman" w:hAnsi="Times New Roman" w:eastAsia="宋体" w:cs="Times New Roman"/>
                      <w:b w:val="0"/>
                      <w:bCs w:val="0"/>
                      <w:color w:val="auto"/>
                      <w:w w:val="100"/>
                      <w:kern w:val="2"/>
                      <w:sz w:val="21"/>
                      <w:szCs w:val="21"/>
                      <w:highlight w:val="none"/>
                      <w:lang w:val="en-US" w:eastAsia="zh-CN" w:bidi="ar-SA"/>
                    </w:rPr>
                    <w:t>外售铁粉厂</w:t>
                  </w:r>
                </w:p>
              </w:tc>
              <w:tc>
                <w:tcPr>
                  <w:tcW w:w="967" w:type="dxa"/>
                  <w:tcBorders>
                    <w:tl2br w:val="nil"/>
                    <w:tr2bl w:val="nil"/>
                  </w:tcBorders>
                  <w:shd w:val="clear" w:color="auto" w:fill="auto"/>
                  <w:vAlign w:val="center"/>
                </w:tcPr>
                <w:p w14:paraId="332F46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120</w:t>
                  </w:r>
                </w:p>
              </w:tc>
            </w:tr>
            <w:tr w14:paraId="5728232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0F65A04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6</w:t>
                  </w:r>
                </w:p>
              </w:tc>
              <w:tc>
                <w:tcPr>
                  <w:tcW w:w="688" w:type="dxa"/>
                  <w:vMerge w:val="restart"/>
                  <w:tcBorders>
                    <w:tl2br w:val="nil"/>
                    <w:tr2bl w:val="nil"/>
                  </w:tcBorders>
                  <w:vAlign w:val="center"/>
                </w:tcPr>
                <w:p w14:paraId="4E9DE59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危险废物</w:t>
                  </w:r>
                </w:p>
              </w:tc>
              <w:tc>
                <w:tcPr>
                  <w:tcW w:w="1572" w:type="dxa"/>
                  <w:tcBorders>
                    <w:tl2br w:val="nil"/>
                    <w:tr2bl w:val="nil"/>
                  </w:tcBorders>
                  <w:vAlign w:val="center"/>
                </w:tcPr>
                <w:p w14:paraId="0E669DF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w w:val="100"/>
                      <w:kern w:val="2"/>
                      <w:sz w:val="21"/>
                      <w:szCs w:val="21"/>
                      <w:highlight w:val="no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废润滑油</w:t>
                  </w:r>
                </w:p>
              </w:tc>
              <w:tc>
                <w:tcPr>
                  <w:tcW w:w="960" w:type="dxa"/>
                  <w:tcBorders>
                    <w:tl2br w:val="nil"/>
                    <w:tr2bl w:val="nil"/>
                  </w:tcBorders>
                  <w:shd w:val="clear" w:color="auto" w:fill="auto"/>
                  <w:vAlign w:val="center"/>
                </w:tcPr>
                <w:p w14:paraId="37135EE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0.3</w:t>
                  </w:r>
                </w:p>
              </w:tc>
              <w:tc>
                <w:tcPr>
                  <w:tcW w:w="2985" w:type="dxa"/>
                  <w:vMerge w:val="restart"/>
                  <w:tcBorders>
                    <w:tl2br w:val="nil"/>
                    <w:tr2bl w:val="nil"/>
                  </w:tcBorders>
                  <w:shd w:val="clear" w:color="auto" w:fill="auto"/>
                  <w:vAlign w:val="center"/>
                </w:tcPr>
                <w:p w14:paraId="672548E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分类</w:t>
                  </w:r>
                  <w:r>
                    <w:rPr>
                      <w:rFonts w:hint="default" w:ascii="Times New Roman" w:hAnsi="Times New Roman" w:eastAsia="宋体" w:cs="Times New Roman"/>
                      <w:b w:val="0"/>
                      <w:bCs w:val="0"/>
                      <w:color w:val="auto"/>
                      <w:w w:val="100"/>
                      <w:kern w:val="2"/>
                      <w:sz w:val="21"/>
                      <w:szCs w:val="21"/>
                      <w:highlight w:val="none"/>
                      <w:lang w:val="en-US" w:eastAsia="zh-CN" w:bidi="ar-SA"/>
                    </w:rPr>
                    <w:t>暂存于</w:t>
                  </w:r>
                  <w:r>
                    <w:rPr>
                      <w:rFonts w:hint="eastAsia" w:ascii="Times New Roman" w:hAnsi="Times New Roman" w:eastAsia="宋体" w:cs="Times New Roman"/>
                      <w:b w:val="0"/>
                      <w:bCs w:val="0"/>
                      <w:color w:val="auto"/>
                      <w:w w:val="100"/>
                      <w:kern w:val="2"/>
                      <w:sz w:val="21"/>
                      <w:szCs w:val="21"/>
                      <w:highlight w:val="none"/>
                      <w:lang w:val="en-US" w:eastAsia="zh-CN" w:bidi="ar-SA"/>
                    </w:rPr>
                    <w:t>危险废物暂存间</w:t>
                  </w:r>
                  <w:r>
                    <w:rPr>
                      <w:rFonts w:hint="default" w:ascii="Times New Roman" w:hAnsi="Times New Roman" w:eastAsia="宋体" w:cs="Times New Roman"/>
                      <w:b w:val="0"/>
                      <w:bCs w:val="0"/>
                      <w:color w:val="auto"/>
                      <w:w w:val="100"/>
                      <w:kern w:val="2"/>
                      <w:sz w:val="21"/>
                      <w:szCs w:val="21"/>
                      <w:highlight w:val="none"/>
                      <w:lang w:val="en-US" w:eastAsia="zh-CN" w:bidi="ar-SA"/>
                    </w:rPr>
                    <w:t>，定期由有资质的公司进行处置</w:t>
                  </w:r>
                </w:p>
              </w:tc>
              <w:tc>
                <w:tcPr>
                  <w:tcW w:w="967" w:type="dxa"/>
                  <w:tcBorders>
                    <w:tl2br w:val="nil"/>
                    <w:tr2bl w:val="nil"/>
                  </w:tcBorders>
                  <w:shd w:val="clear" w:color="auto" w:fill="auto"/>
                  <w:vAlign w:val="center"/>
                </w:tcPr>
                <w:p w14:paraId="6B2237E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0.3</w:t>
                  </w:r>
                </w:p>
              </w:tc>
            </w:tr>
            <w:tr w14:paraId="4C468E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0" w:hRule="atLeast"/>
                <w:jc w:val="center"/>
              </w:trPr>
              <w:tc>
                <w:tcPr>
                  <w:tcW w:w="524" w:type="dxa"/>
                  <w:tcBorders>
                    <w:tl2br w:val="nil"/>
                    <w:tr2bl w:val="nil"/>
                  </w:tcBorders>
                  <w:vAlign w:val="center"/>
                </w:tcPr>
                <w:p w14:paraId="197B378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7</w:t>
                  </w:r>
                </w:p>
              </w:tc>
              <w:tc>
                <w:tcPr>
                  <w:tcW w:w="688" w:type="dxa"/>
                  <w:vMerge w:val="continue"/>
                  <w:tcBorders>
                    <w:tl2br w:val="nil"/>
                    <w:tr2bl w:val="nil"/>
                  </w:tcBorders>
                  <w:vAlign w:val="center"/>
                </w:tcPr>
                <w:p w14:paraId="26F72F1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1572" w:type="dxa"/>
                  <w:tcBorders>
                    <w:tl2br w:val="nil"/>
                    <w:tr2bl w:val="nil"/>
                  </w:tcBorders>
                  <w:vAlign w:val="center"/>
                </w:tcPr>
                <w:p w14:paraId="6AAD2E1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w w:val="100"/>
                      <w:kern w:val="2"/>
                      <w:sz w:val="21"/>
                      <w:szCs w:val="21"/>
                      <w:highlight w:val="no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废油桶</w:t>
                  </w:r>
                </w:p>
              </w:tc>
              <w:tc>
                <w:tcPr>
                  <w:tcW w:w="960" w:type="dxa"/>
                  <w:tcBorders>
                    <w:tl2br w:val="nil"/>
                    <w:tr2bl w:val="nil"/>
                  </w:tcBorders>
                  <w:shd w:val="clear" w:color="auto" w:fill="auto"/>
                  <w:vAlign w:val="center"/>
                </w:tcPr>
                <w:p w14:paraId="3B321D3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0.02</w:t>
                  </w:r>
                </w:p>
              </w:tc>
              <w:tc>
                <w:tcPr>
                  <w:tcW w:w="2985" w:type="dxa"/>
                  <w:vMerge w:val="continue"/>
                  <w:tcBorders>
                    <w:tl2br w:val="nil"/>
                    <w:tr2bl w:val="nil"/>
                  </w:tcBorders>
                  <w:shd w:val="clear" w:color="auto" w:fill="auto"/>
                  <w:vAlign w:val="center"/>
                </w:tcPr>
                <w:p w14:paraId="7D9A0F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967" w:type="dxa"/>
                  <w:tcBorders>
                    <w:tl2br w:val="nil"/>
                    <w:tr2bl w:val="nil"/>
                  </w:tcBorders>
                  <w:shd w:val="clear" w:color="auto" w:fill="auto"/>
                  <w:vAlign w:val="center"/>
                </w:tcPr>
                <w:p w14:paraId="50A3762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0.02</w:t>
                  </w:r>
                </w:p>
              </w:tc>
            </w:tr>
          </w:tbl>
          <w:p w14:paraId="5957555A">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cs="Times New Roman"/>
                <w:b w:val="0"/>
                <w:bCs w:val="0"/>
                <w:color w:val="auto"/>
                <w:w w:val="100"/>
                <w:kern w:val="2"/>
                <w:sz w:val="24"/>
                <w:szCs w:val="24"/>
                <w:highlight w:val="none"/>
                <w:lang w:val="en-US" w:eastAsia="zh-CN" w:bidi="ar-SA"/>
              </w:rPr>
              <w:t>由上表可知，</w:t>
            </w:r>
            <w:r>
              <w:rPr>
                <w:rFonts w:hint="eastAsia" w:ascii="Times New Roman" w:hAnsi="Times New Roman" w:eastAsia="宋体" w:cs="Times New Roman"/>
                <w:b w:val="0"/>
                <w:bCs w:val="0"/>
                <w:color w:val="auto"/>
                <w:w w:val="100"/>
                <w:kern w:val="2"/>
                <w:sz w:val="24"/>
                <w:szCs w:val="24"/>
                <w:highlight w:val="none"/>
                <w:lang w:val="en-US" w:eastAsia="zh-CN" w:bidi="ar-SA"/>
              </w:rPr>
              <w:t>现有工程</w:t>
            </w:r>
            <w:r>
              <w:rPr>
                <w:rFonts w:hint="eastAsia" w:ascii="Times New Roman" w:hAnsi="Times New Roman" w:cs="Times New Roman"/>
                <w:b w:val="0"/>
                <w:bCs w:val="0"/>
                <w:color w:val="auto"/>
                <w:w w:val="100"/>
                <w:kern w:val="2"/>
                <w:sz w:val="24"/>
                <w:szCs w:val="24"/>
                <w:highlight w:val="none"/>
                <w:lang w:val="en-US" w:eastAsia="zh-CN" w:bidi="ar-SA"/>
              </w:rPr>
              <w:t>固体</w:t>
            </w:r>
            <w:r>
              <w:rPr>
                <w:rFonts w:hint="eastAsia" w:ascii="Times New Roman" w:hAnsi="Times New Roman" w:eastAsia="宋体" w:cs="Times New Roman"/>
                <w:b w:val="0"/>
                <w:bCs w:val="0"/>
                <w:color w:val="auto"/>
                <w:w w:val="100"/>
                <w:kern w:val="2"/>
                <w:sz w:val="24"/>
                <w:szCs w:val="24"/>
                <w:highlight w:val="none"/>
                <w:lang w:val="en-US" w:eastAsia="zh-CN" w:bidi="ar-SA"/>
              </w:rPr>
              <w:t>废物处置合理。</w:t>
            </w:r>
          </w:p>
          <w:p w14:paraId="3A796FB8">
            <w:pPr>
              <w:pStyle w:val="87"/>
              <w:widowControl w:val="0"/>
              <w:numPr>
                <w:ilvl w:val="0"/>
                <w:numId w:val="0"/>
              </w:numPr>
              <w:shd w:val="clear"/>
              <w:adjustRightInd w:val="0"/>
              <w:spacing w:line="360" w:lineRule="auto"/>
              <w:ind w:firstLine="422" w:firstLineChars="200"/>
              <w:jc w:val="both"/>
              <w:rPr>
                <w:rFonts w:hint="eastAsia" w:ascii="Times New Roman" w:hAnsi="Times New Roman" w:eastAsia="宋体" w:cs="Times New Roman"/>
                <w:b/>
                <w:bCs/>
                <w:color w:val="auto"/>
                <w:w w:val="100"/>
                <w:kern w:val="2"/>
                <w:sz w:val="21"/>
                <w:szCs w:val="21"/>
                <w:highlight w:val="none"/>
                <w:lang w:val="en-US" w:eastAsia="zh-CN" w:bidi="ar-SA"/>
              </w:rPr>
            </w:pPr>
            <w:r>
              <w:rPr>
                <w:rFonts w:hint="eastAsia" w:ascii="Times New Roman" w:hAnsi="Times New Roman" w:eastAsia="宋体" w:cs="Times New Roman"/>
                <w:b/>
                <w:bCs/>
                <w:color w:val="auto"/>
                <w:w w:val="100"/>
                <w:kern w:val="2"/>
                <w:sz w:val="21"/>
                <w:szCs w:val="21"/>
                <w:highlight w:val="none"/>
                <w:lang w:val="en-US" w:eastAsia="zh-CN" w:bidi="ar-SA"/>
              </w:rPr>
              <w:t>④噪声</w:t>
            </w:r>
          </w:p>
          <w:p w14:paraId="6D805CB3">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根据唐山市冀唐德普环境检测有限公司出具的监测报告（JTDP自行监测[2023]0053号），企业厂界噪声监测结果如下：</w:t>
            </w:r>
          </w:p>
          <w:p w14:paraId="77D14175">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厂界噪声监测情况表</w:t>
            </w:r>
          </w:p>
          <w:tbl>
            <w:tblPr>
              <w:tblStyle w:val="33"/>
              <w:tblW w:w="7730"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266"/>
              <w:gridCol w:w="1266"/>
              <w:gridCol w:w="1266"/>
              <w:gridCol w:w="1400"/>
              <w:gridCol w:w="1133"/>
              <w:gridCol w:w="1399"/>
            </w:tblGrid>
            <w:tr w14:paraId="406B60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67" w:hRule="atLeast"/>
                <w:jc w:val="center"/>
              </w:trPr>
              <w:tc>
                <w:tcPr>
                  <w:tcW w:w="1266" w:type="dxa"/>
                  <w:tcBorders>
                    <w:tl2br w:val="nil"/>
                    <w:tr2bl w:val="nil"/>
                  </w:tcBorders>
                  <w:vAlign w:val="center"/>
                </w:tcPr>
                <w:p w14:paraId="79F5ECD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监测点位</w:t>
                  </w:r>
                </w:p>
              </w:tc>
              <w:tc>
                <w:tcPr>
                  <w:tcW w:w="1266" w:type="dxa"/>
                  <w:tcBorders>
                    <w:tl2br w:val="nil"/>
                    <w:tr2bl w:val="nil"/>
                  </w:tcBorders>
                  <w:vAlign w:val="center"/>
                </w:tcPr>
                <w:p w14:paraId="4F26917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测量时段（</w:t>
                  </w:r>
                  <w:r>
                    <w:rPr>
                      <w:rFonts w:hint="eastAsia" w:ascii="Times New Roman" w:hAnsi="Times New Roman" w:cs="Times New Roman"/>
                      <w:b w:val="0"/>
                      <w:bCs/>
                      <w:snapToGrid w:val="0"/>
                      <w:color w:val="auto"/>
                      <w:kern w:val="0"/>
                      <w:sz w:val="21"/>
                      <w:szCs w:val="21"/>
                      <w:highlight w:val="none"/>
                      <w:vertAlign w:val="baseline"/>
                      <w:lang w:val="en-US" w:eastAsia="zh-CN"/>
                    </w:rPr>
                    <w:t>2023.2.4</w:t>
                  </w:r>
                  <w:r>
                    <w:rPr>
                      <w:rFonts w:hint="eastAsia" w:ascii="Times New Roman" w:hAnsi="Times New Roman" w:cs="Times New Roman"/>
                      <w:b w:val="0"/>
                      <w:bCs/>
                      <w:snapToGrid w:val="0"/>
                      <w:color w:val="auto"/>
                      <w:kern w:val="0"/>
                      <w:sz w:val="21"/>
                      <w:szCs w:val="21"/>
                      <w:highlight w:val="none"/>
                      <w:vertAlign w:val="baseline"/>
                      <w:lang w:eastAsia="zh-CN"/>
                    </w:rPr>
                    <w:t>）</w:t>
                  </w:r>
                </w:p>
              </w:tc>
              <w:tc>
                <w:tcPr>
                  <w:tcW w:w="1266" w:type="dxa"/>
                  <w:tcBorders>
                    <w:tl2br w:val="nil"/>
                    <w:tr2bl w:val="nil"/>
                  </w:tcBorders>
                  <w:vAlign w:val="center"/>
                </w:tcPr>
                <w:p w14:paraId="6090880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测量结果（单位：</w:t>
                  </w:r>
                  <w:r>
                    <w:rPr>
                      <w:rFonts w:hint="eastAsia" w:ascii="Times New Roman" w:hAnsi="Times New Roman" w:cs="Times New Roman"/>
                      <w:b w:val="0"/>
                      <w:bCs/>
                      <w:snapToGrid w:val="0"/>
                      <w:color w:val="auto"/>
                      <w:kern w:val="0"/>
                      <w:sz w:val="21"/>
                      <w:szCs w:val="21"/>
                      <w:highlight w:val="none"/>
                      <w:vertAlign w:val="baseline"/>
                      <w:lang w:val="en-US" w:eastAsia="zh-CN"/>
                    </w:rPr>
                    <w:t>dB（A）</w:t>
                  </w:r>
                  <w:r>
                    <w:rPr>
                      <w:rFonts w:hint="eastAsia" w:ascii="Times New Roman" w:hAnsi="Times New Roman" w:cs="Times New Roman"/>
                      <w:b w:val="0"/>
                      <w:bCs/>
                      <w:snapToGrid w:val="0"/>
                      <w:color w:val="auto"/>
                      <w:kern w:val="0"/>
                      <w:sz w:val="21"/>
                      <w:szCs w:val="21"/>
                      <w:highlight w:val="none"/>
                      <w:vertAlign w:val="baseline"/>
                      <w:lang w:eastAsia="zh-CN"/>
                    </w:rPr>
                    <w:t>）</w:t>
                  </w:r>
                </w:p>
              </w:tc>
              <w:tc>
                <w:tcPr>
                  <w:tcW w:w="1400" w:type="dxa"/>
                  <w:tcBorders>
                    <w:tl2br w:val="nil"/>
                    <w:tr2bl w:val="nil"/>
                  </w:tcBorders>
                  <w:vAlign w:val="center"/>
                </w:tcPr>
                <w:p w14:paraId="238E3A7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排放限值</w:t>
                  </w:r>
                  <w:r>
                    <w:rPr>
                      <w:rFonts w:hint="eastAsia" w:ascii="Times New Roman" w:hAnsi="Times New Roman" w:cs="Times New Roman"/>
                      <w:b w:val="0"/>
                      <w:bCs/>
                      <w:snapToGrid w:val="0"/>
                      <w:color w:val="auto"/>
                      <w:kern w:val="0"/>
                      <w:sz w:val="21"/>
                      <w:szCs w:val="21"/>
                      <w:highlight w:val="none"/>
                      <w:vertAlign w:val="baseline"/>
                      <w:lang w:eastAsia="zh-CN"/>
                    </w:rPr>
                    <w:t>（单位：</w:t>
                  </w:r>
                  <w:r>
                    <w:rPr>
                      <w:rFonts w:hint="eastAsia" w:ascii="Times New Roman" w:hAnsi="Times New Roman" w:cs="Times New Roman"/>
                      <w:b w:val="0"/>
                      <w:bCs/>
                      <w:snapToGrid w:val="0"/>
                      <w:color w:val="auto"/>
                      <w:kern w:val="0"/>
                      <w:sz w:val="21"/>
                      <w:szCs w:val="21"/>
                      <w:highlight w:val="none"/>
                      <w:vertAlign w:val="baseline"/>
                      <w:lang w:val="en-US" w:eastAsia="zh-CN"/>
                    </w:rPr>
                    <w:t>dB（A）</w:t>
                  </w:r>
                  <w:r>
                    <w:rPr>
                      <w:rFonts w:hint="eastAsia" w:ascii="Times New Roman" w:hAnsi="Times New Roman" w:cs="Times New Roman"/>
                      <w:b w:val="0"/>
                      <w:bCs/>
                      <w:snapToGrid w:val="0"/>
                      <w:color w:val="auto"/>
                      <w:kern w:val="0"/>
                      <w:sz w:val="21"/>
                      <w:szCs w:val="21"/>
                      <w:highlight w:val="none"/>
                      <w:vertAlign w:val="baseline"/>
                      <w:lang w:eastAsia="zh-CN"/>
                    </w:rPr>
                    <w:t>）</w:t>
                  </w:r>
                </w:p>
              </w:tc>
              <w:tc>
                <w:tcPr>
                  <w:tcW w:w="1133" w:type="dxa"/>
                  <w:tcBorders>
                    <w:tl2br w:val="nil"/>
                    <w:tr2bl w:val="nil"/>
                  </w:tcBorders>
                  <w:vAlign w:val="center"/>
                </w:tcPr>
                <w:p w14:paraId="1C54269B">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default" w:ascii="Times New Roman" w:hAnsi="Times New Roman" w:cs="Times New Roman"/>
                      <w:b w:val="0"/>
                      <w:bCs/>
                      <w:color w:val="auto"/>
                      <w:sz w:val="21"/>
                      <w:szCs w:val="21"/>
                      <w:highlight w:val="none"/>
                      <w:vertAlign w:val="baseline"/>
                      <w:lang w:eastAsia="zh-CN"/>
                    </w:rPr>
                    <w:t>达标情况</w:t>
                  </w:r>
                </w:p>
              </w:tc>
              <w:tc>
                <w:tcPr>
                  <w:tcW w:w="1399" w:type="dxa"/>
                  <w:tcBorders>
                    <w:tl2br w:val="nil"/>
                    <w:tr2bl w:val="nil"/>
                  </w:tcBorders>
                  <w:vAlign w:val="center"/>
                </w:tcPr>
                <w:p w14:paraId="6619502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default" w:ascii="Times New Roman" w:hAnsi="Times New Roman" w:cs="Times New Roman"/>
                      <w:b w:val="0"/>
                      <w:bCs/>
                      <w:color w:val="auto"/>
                      <w:sz w:val="21"/>
                      <w:szCs w:val="21"/>
                      <w:highlight w:val="none"/>
                      <w:vertAlign w:val="baseline"/>
                      <w:lang w:eastAsia="zh-CN"/>
                    </w:rPr>
                    <w:t>执行标准</w:t>
                  </w:r>
                </w:p>
              </w:tc>
            </w:tr>
            <w:tr w14:paraId="20B17A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2142C5B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东厂界</w:t>
                  </w:r>
                </w:p>
              </w:tc>
              <w:tc>
                <w:tcPr>
                  <w:tcW w:w="1266" w:type="dxa"/>
                  <w:tcBorders>
                    <w:tl2br w:val="nil"/>
                    <w:tr2bl w:val="nil"/>
                  </w:tcBorders>
                  <w:vAlign w:val="center"/>
                </w:tcPr>
                <w:p w14:paraId="794EC720">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昼间</w:t>
                  </w:r>
                </w:p>
              </w:tc>
              <w:tc>
                <w:tcPr>
                  <w:tcW w:w="1266" w:type="dxa"/>
                  <w:tcBorders>
                    <w:tl2br w:val="nil"/>
                    <w:tr2bl w:val="nil"/>
                  </w:tcBorders>
                  <w:vAlign w:val="center"/>
                </w:tcPr>
                <w:p w14:paraId="130051D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52</w:t>
                  </w:r>
                </w:p>
              </w:tc>
              <w:tc>
                <w:tcPr>
                  <w:tcW w:w="1400" w:type="dxa"/>
                  <w:tcBorders>
                    <w:tl2br w:val="nil"/>
                    <w:tr2bl w:val="nil"/>
                  </w:tcBorders>
                  <w:vAlign w:val="center"/>
                </w:tcPr>
                <w:p w14:paraId="6DDF1CD4">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60</w:t>
                  </w:r>
                </w:p>
              </w:tc>
              <w:tc>
                <w:tcPr>
                  <w:tcW w:w="1133" w:type="dxa"/>
                  <w:tcBorders>
                    <w:tl2br w:val="nil"/>
                    <w:tr2bl w:val="nil"/>
                  </w:tcBorders>
                  <w:vAlign w:val="center"/>
                </w:tcPr>
                <w:p w14:paraId="650253A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restart"/>
                  <w:tcBorders>
                    <w:tl2br w:val="nil"/>
                    <w:tr2bl w:val="nil"/>
                  </w:tcBorders>
                  <w:vAlign w:val="center"/>
                </w:tcPr>
                <w:p w14:paraId="2C1F71F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default" w:ascii="Times New Roman" w:hAnsi="Times New Roman" w:cs="Times New Roman"/>
                      <w:b w:val="0"/>
                      <w:bCs/>
                      <w:color w:val="auto"/>
                      <w:sz w:val="21"/>
                      <w:szCs w:val="21"/>
                      <w:highlight w:val="none"/>
                      <w:vertAlign w:val="baseline"/>
                      <w:lang w:eastAsia="zh-CN"/>
                    </w:rPr>
                    <w:t>《工业企业厂界噪声排放标准》（</w:t>
                  </w:r>
                  <w:r>
                    <w:rPr>
                      <w:rFonts w:hint="default" w:ascii="Times New Roman" w:hAnsi="Times New Roman" w:cs="Times New Roman"/>
                      <w:b w:val="0"/>
                      <w:bCs/>
                      <w:color w:val="auto"/>
                      <w:sz w:val="21"/>
                      <w:szCs w:val="21"/>
                      <w:highlight w:val="none"/>
                      <w:vertAlign w:val="baseline"/>
                      <w:lang w:val="en-US" w:eastAsia="zh-CN"/>
                    </w:rPr>
                    <w:t>GB12348-2008</w:t>
                  </w:r>
                  <w:r>
                    <w:rPr>
                      <w:rFonts w:hint="default" w:ascii="Times New Roman" w:hAnsi="Times New Roman" w:cs="Times New Roman"/>
                      <w:b w:val="0"/>
                      <w:bCs/>
                      <w:color w:val="auto"/>
                      <w:sz w:val="21"/>
                      <w:szCs w:val="21"/>
                      <w:highlight w:val="none"/>
                      <w:vertAlign w:val="baseline"/>
                      <w:lang w:eastAsia="zh-CN"/>
                    </w:rPr>
                    <w:t>）</w:t>
                  </w:r>
                  <w:r>
                    <w:rPr>
                      <w:rFonts w:hint="eastAsia" w:ascii="Times New Roman" w:hAnsi="Times New Roman" w:cs="Times New Roman"/>
                      <w:b w:val="0"/>
                      <w:bCs/>
                      <w:color w:val="auto"/>
                      <w:sz w:val="21"/>
                      <w:szCs w:val="21"/>
                      <w:highlight w:val="none"/>
                      <w:vertAlign w:val="baseline"/>
                      <w:lang w:val="en-US" w:eastAsia="zh-CN"/>
                    </w:rPr>
                    <w:t>2</w:t>
                  </w:r>
                  <w:r>
                    <w:rPr>
                      <w:rFonts w:hint="default" w:ascii="Times New Roman" w:hAnsi="Times New Roman" w:cs="Times New Roman"/>
                      <w:b w:val="0"/>
                      <w:bCs/>
                      <w:color w:val="auto"/>
                      <w:sz w:val="21"/>
                      <w:szCs w:val="21"/>
                      <w:highlight w:val="none"/>
                      <w:vertAlign w:val="baseline"/>
                      <w:lang w:val="en-US" w:eastAsia="zh-CN"/>
                    </w:rPr>
                    <w:t>类标准</w:t>
                  </w:r>
                </w:p>
              </w:tc>
            </w:tr>
            <w:tr w14:paraId="40DE3EF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continue"/>
                  <w:tcBorders>
                    <w:tl2br w:val="nil"/>
                    <w:tr2bl w:val="nil"/>
                  </w:tcBorders>
                  <w:vAlign w:val="center"/>
                </w:tcPr>
                <w:p w14:paraId="2CAF75E0">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c>
                <w:tcPr>
                  <w:tcW w:w="1266" w:type="dxa"/>
                  <w:tcBorders>
                    <w:tl2br w:val="nil"/>
                    <w:tr2bl w:val="nil"/>
                  </w:tcBorders>
                  <w:vAlign w:val="center"/>
                </w:tcPr>
                <w:p w14:paraId="1E390AD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夜间</w:t>
                  </w:r>
                </w:p>
              </w:tc>
              <w:tc>
                <w:tcPr>
                  <w:tcW w:w="1266" w:type="dxa"/>
                  <w:tcBorders>
                    <w:tl2br w:val="nil"/>
                    <w:tr2bl w:val="nil"/>
                  </w:tcBorders>
                  <w:vAlign w:val="center"/>
                </w:tcPr>
                <w:p w14:paraId="477ACCC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46</w:t>
                  </w:r>
                </w:p>
              </w:tc>
              <w:tc>
                <w:tcPr>
                  <w:tcW w:w="1400" w:type="dxa"/>
                  <w:tcBorders>
                    <w:tl2br w:val="nil"/>
                    <w:tr2bl w:val="nil"/>
                  </w:tcBorders>
                  <w:vAlign w:val="center"/>
                </w:tcPr>
                <w:p w14:paraId="14EECCC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50</w:t>
                  </w:r>
                </w:p>
              </w:tc>
              <w:tc>
                <w:tcPr>
                  <w:tcW w:w="1133" w:type="dxa"/>
                  <w:tcBorders>
                    <w:tl2br w:val="nil"/>
                    <w:tr2bl w:val="nil"/>
                  </w:tcBorders>
                  <w:vAlign w:val="center"/>
                </w:tcPr>
                <w:p w14:paraId="113F525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326A249E">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r w14:paraId="64E1B55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2BA4FFB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南厂界</w:t>
                  </w:r>
                </w:p>
              </w:tc>
              <w:tc>
                <w:tcPr>
                  <w:tcW w:w="1266" w:type="dxa"/>
                  <w:tcBorders>
                    <w:tl2br w:val="nil"/>
                    <w:tr2bl w:val="nil"/>
                  </w:tcBorders>
                  <w:vAlign w:val="center"/>
                </w:tcPr>
                <w:p w14:paraId="33CC78C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昼间</w:t>
                  </w:r>
                </w:p>
              </w:tc>
              <w:tc>
                <w:tcPr>
                  <w:tcW w:w="1266" w:type="dxa"/>
                  <w:tcBorders>
                    <w:tl2br w:val="nil"/>
                    <w:tr2bl w:val="nil"/>
                  </w:tcBorders>
                  <w:vAlign w:val="center"/>
                </w:tcPr>
                <w:p w14:paraId="791AE52D">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53</w:t>
                  </w:r>
                </w:p>
              </w:tc>
              <w:tc>
                <w:tcPr>
                  <w:tcW w:w="1400" w:type="dxa"/>
                  <w:tcBorders>
                    <w:tl2br w:val="nil"/>
                    <w:tr2bl w:val="nil"/>
                  </w:tcBorders>
                  <w:vAlign w:val="center"/>
                </w:tcPr>
                <w:p w14:paraId="618F95E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val="en-US" w:eastAsia="zh-CN"/>
                    </w:rPr>
                    <w:t>60</w:t>
                  </w:r>
                </w:p>
              </w:tc>
              <w:tc>
                <w:tcPr>
                  <w:tcW w:w="1133" w:type="dxa"/>
                  <w:tcBorders>
                    <w:tl2br w:val="nil"/>
                    <w:tr2bl w:val="nil"/>
                  </w:tcBorders>
                  <w:vAlign w:val="center"/>
                </w:tcPr>
                <w:p w14:paraId="27680DC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2120C7C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r w14:paraId="51923C4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continue"/>
                  <w:tcBorders>
                    <w:tl2br w:val="nil"/>
                    <w:tr2bl w:val="nil"/>
                  </w:tcBorders>
                  <w:vAlign w:val="center"/>
                </w:tcPr>
                <w:p w14:paraId="603034D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c>
                <w:tcPr>
                  <w:tcW w:w="1266" w:type="dxa"/>
                  <w:tcBorders>
                    <w:tl2br w:val="nil"/>
                    <w:tr2bl w:val="nil"/>
                  </w:tcBorders>
                  <w:vAlign w:val="center"/>
                </w:tcPr>
                <w:p w14:paraId="79E4D9E5">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夜间</w:t>
                  </w:r>
                </w:p>
              </w:tc>
              <w:tc>
                <w:tcPr>
                  <w:tcW w:w="1266" w:type="dxa"/>
                  <w:tcBorders>
                    <w:tl2br w:val="nil"/>
                    <w:tr2bl w:val="nil"/>
                  </w:tcBorders>
                  <w:vAlign w:val="center"/>
                </w:tcPr>
                <w:p w14:paraId="401A8AC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47</w:t>
                  </w:r>
                </w:p>
              </w:tc>
              <w:tc>
                <w:tcPr>
                  <w:tcW w:w="1400" w:type="dxa"/>
                  <w:tcBorders>
                    <w:tl2br w:val="nil"/>
                    <w:tr2bl w:val="nil"/>
                  </w:tcBorders>
                  <w:vAlign w:val="center"/>
                </w:tcPr>
                <w:p w14:paraId="650C41A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val="en-US" w:eastAsia="zh-CN"/>
                    </w:rPr>
                    <w:t>50</w:t>
                  </w:r>
                </w:p>
              </w:tc>
              <w:tc>
                <w:tcPr>
                  <w:tcW w:w="1133" w:type="dxa"/>
                  <w:tcBorders>
                    <w:tl2br w:val="nil"/>
                    <w:tr2bl w:val="nil"/>
                  </w:tcBorders>
                  <w:vAlign w:val="center"/>
                </w:tcPr>
                <w:p w14:paraId="5883BB2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4365E5E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r w14:paraId="424DC4B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2657E034">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西厂界</w:t>
                  </w:r>
                </w:p>
              </w:tc>
              <w:tc>
                <w:tcPr>
                  <w:tcW w:w="1266" w:type="dxa"/>
                  <w:tcBorders>
                    <w:tl2br w:val="nil"/>
                    <w:tr2bl w:val="nil"/>
                  </w:tcBorders>
                  <w:vAlign w:val="center"/>
                </w:tcPr>
                <w:p w14:paraId="3BD15A3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昼间</w:t>
                  </w:r>
                </w:p>
              </w:tc>
              <w:tc>
                <w:tcPr>
                  <w:tcW w:w="1266" w:type="dxa"/>
                  <w:tcBorders>
                    <w:tl2br w:val="nil"/>
                    <w:tr2bl w:val="nil"/>
                  </w:tcBorders>
                  <w:vAlign w:val="center"/>
                </w:tcPr>
                <w:p w14:paraId="52447233">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54</w:t>
                  </w:r>
                </w:p>
              </w:tc>
              <w:tc>
                <w:tcPr>
                  <w:tcW w:w="1400" w:type="dxa"/>
                  <w:tcBorders>
                    <w:tl2br w:val="nil"/>
                    <w:tr2bl w:val="nil"/>
                  </w:tcBorders>
                  <w:vAlign w:val="center"/>
                </w:tcPr>
                <w:p w14:paraId="7F7888CA">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val="en-US" w:eastAsia="zh-CN"/>
                    </w:rPr>
                    <w:t>60</w:t>
                  </w:r>
                </w:p>
              </w:tc>
              <w:tc>
                <w:tcPr>
                  <w:tcW w:w="1133" w:type="dxa"/>
                  <w:tcBorders>
                    <w:tl2br w:val="nil"/>
                    <w:tr2bl w:val="nil"/>
                  </w:tcBorders>
                  <w:vAlign w:val="center"/>
                </w:tcPr>
                <w:p w14:paraId="2563128A">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37F68ABE">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r w14:paraId="5B3E414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continue"/>
                  <w:tcBorders>
                    <w:tl2br w:val="nil"/>
                    <w:tr2bl w:val="nil"/>
                  </w:tcBorders>
                  <w:vAlign w:val="center"/>
                </w:tcPr>
                <w:p w14:paraId="2C5D587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c>
                <w:tcPr>
                  <w:tcW w:w="1266" w:type="dxa"/>
                  <w:tcBorders>
                    <w:tl2br w:val="nil"/>
                    <w:tr2bl w:val="nil"/>
                  </w:tcBorders>
                  <w:vAlign w:val="center"/>
                </w:tcPr>
                <w:p w14:paraId="7A04935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夜间</w:t>
                  </w:r>
                </w:p>
              </w:tc>
              <w:tc>
                <w:tcPr>
                  <w:tcW w:w="1266" w:type="dxa"/>
                  <w:tcBorders>
                    <w:tl2br w:val="nil"/>
                    <w:tr2bl w:val="nil"/>
                  </w:tcBorders>
                  <w:vAlign w:val="center"/>
                </w:tcPr>
                <w:p w14:paraId="0D11178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47</w:t>
                  </w:r>
                </w:p>
              </w:tc>
              <w:tc>
                <w:tcPr>
                  <w:tcW w:w="1400" w:type="dxa"/>
                  <w:tcBorders>
                    <w:tl2br w:val="nil"/>
                    <w:tr2bl w:val="nil"/>
                  </w:tcBorders>
                  <w:vAlign w:val="center"/>
                </w:tcPr>
                <w:p w14:paraId="259CB00D">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val="en-US" w:eastAsia="zh-CN"/>
                    </w:rPr>
                    <w:t>50</w:t>
                  </w:r>
                </w:p>
              </w:tc>
              <w:tc>
                <w:tcPr>
                  <w:tcW w:w="1133" w:type="dxa"/>
                  <w:tcBorders>
                    <w:tl2br w:val="nil"/>
                    <w:tr2bl w:val="nil"/>
                  </w:tcBorders>
                  <w:vAlign w:val="center"/>
                </w:tcPr>
                <w:p w14:paraId="3F9B9450">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2BDDB3A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r w14:paraId="0D7DBAE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4A92340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auto"/>
                      <w:kern w:val="0"/>
                      <w:sz w:val="21"/>
                      <w:szCs w:val="21"/>
                      <w:highlight w:val="none"/>
                      <w:vertAlign w:val="baseline"/>
                      <w:lang w:eastAsia="zh-CN"/>
                    </w:rPr>
                  </w:pPr>
                  <w:r>
                    <w:rPr>
                      <w:rFonts w:hint="eastAsia" w:ascii="Times New Roman" w:hAnsi="Times New Roman" w:cs="Times New Roman"/>
                      <w:b w:val="0"/>
                      <w:bCs/>
                      <w:snapToGrid w:val="0"/>
                      <w:color w:val="auto"/>
                      <w:kern w:val="0"/>
                      <w:sz w:val="21"/>
                      <w:szCs w:val="21"/>
                      <w:highlight w:val="none"/>
                      <w:vertAlign w:val="baseline"/>
                      <w:lang w:eastAsia="zh-CN"/>
                    </w:rPr>
                    <w:t>北厂界</w:t>
                  </w:r>
                </w:p>
              </w:tc>
              <w:tc>
                <w:tcPr>
                  <w:tcW w:w="1266" w:type="dxa"/>
                  <w:tcBorders>
                    <w:tl2br w:val="nil"/>
                    <w:tr2bl w:val="nil"/>
                  </w:tcBorders>
                  <w:vAlign w:val="center"/>
                </w:tcPr>
                <w:p w14:paraId="6ED1E79F">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昼间</w:t>
                  </w:r>
                </w:p>
              </w:tc>
              <w:tc>
                <w:tcPr>
                  <w:tcW w:w="1266" w:type="dxa"/>
                  <w:tcBorders>
                    <w:tl2br w:val="nil"/>
                    <w:tr2bl w:val="nil"/>
                  </w:tcBorders>
                  <w:vAlign w:val="center"/>
                </w:tcPr>
                <w:p w14:paraId="3F3B887F">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53</w:t>
                  </w:r>
                </w:p>
              </w:tc>
              <w:tc>
                <w:tcPr>
                  <w:tcW w:w="1400" w:type="dxa"/>
                  <w:tcBorders>
                    <w:tl2br w:val="nil"/>
                    <w:tr2bl w:val="nil"/>
                  </w:tcBorders>
                  <w:vAlign w:val="center"/>
                </w:tcPr>
                <w:p w14:paraId="7DFB4341">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val="en-US" w:eastAsia="zh-CN"/>
                    </w:rPr>
                    <w:t>60</w:t>
                  </w:r>
                </w:p>
              </w:tc>
              <w:tc>
                <w:tcPr>
                  <w:tcW w:w="1133" w:type="dxa"/>
                  <w:tcBorders>
                    <w:tl2br w:val="nil"/>
                    <w:tr2bl w:val="nil"/>
                  </w:tcBorders>
                  <w:vAlign w:val="center"/>
                </w:tcPr>
                <w:p w14:paraId="4351AEF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700043FE">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r w14:paraId="5DE872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06" w:hRule="atLeast"/>
                <w:jc w:val="center"/>
              </w:trPr>
              <w:tc>
                <w:tcPr>
                  <w:tcW w:w="1266" w:type="dxa"/>
                  <w:vMerge w:val="continue"/>
                  <w:tcBorders>
                    <w:tl2br w:val="nil"/>
                    <w:tr2bl w:val="nil"/>
                  </w:tcBorders>
                  <w:vAlign w:val="center"/>
                </w:tcPr>
                <w:p w14:paraId="2C135603">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c>
                <w:tcPr>
                  <w:tcW w:w="1266" w:type="dxa"/>
                  <w:tcBorders>
                    <w:tl2br w:val="nil"/>
                    <w:tr2bl w:val="nil"/>
                  </w:tcBorders>
                  <w:vAlign w:val="center"/>
                </w:tcPr>
                <w:p w14:paraId="0F7B367F">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夜间</w:t>
                  </w:r>
                </w:p>
              </w:tc>
              <w:tc>
                <w:tcPr>
                  <w:tcW w:w="1266" w:type="dxa"/>
                  <w:tcBorders>
                    <w:tl2br w:val="nil"/>
                    <w:tr2bl w:val="nil"/>
                  </w:tcBorders>
                  <w:vAlign w:val="center"/>
                </w:tcPr>
                <w:p w14:paraId="04F51EB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lang w:val="en-US" w:eastAsia="zh-CN"/>
                    </w:rPr>
                  </w:pPr>
                  <w:r>
                    <w:rPr>
                      <w:rFonts w:hint="eastAsia" w:ascii="Times New Roman" w:hAnsi="Times New Roman" w:cs="Times New Roman"/>
                      <w:b w:val="0"/>
                      <w:bCs/>
                      <w:snapToGrid w:val="0"/>
                      <w:color w:val="auto"/>
                      <w:kern w:val="0"/>
                      <w:sz w:val="21"/>
                      <w:szCs w:val="21"/>
                      <w:highlight w:val="none"/>
                      <w:vertAlign w:val="baseline"/>
                      <w:lang w:val="en-US" w:eastAsia="zh-CN"/>
                    </w:rPr>
                    <w:t>46</w:t>
                  </w:r>
                </w:p>
              </w:tc>
              <w:tc>
                <w:tcPr>
                  <w:tcW w:w="1400" w:type="dxa"/>
                  <w:tcBorders>
                    <w:tl2br w:val="nil"/>
                    <w:tr2bl w:val="nil"/>
                  </w:tcBorders>
                  <w:vAlign w:val="center"/>
                </w:tcPr>
                <w:p w14:paraId="30435C7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val="en-US" w:eastAsia="zh-CN"/>
                    </w:rPr>
                    <w:t>50</w:t>
                  </w:r>
                </w:p>
              </w:tc>
              <w:tc>
                <w:tcPr>
                  <w:tcW w:w="1133" w:type="dxa"/>
                  <w:tcBorders>
                    <w:tl2br w:val="nil"/>
                    <w:tr2bl w:val="nil"/>
                  </w:tcBorders>
                  <w:vAlign w:val="center"/>
                </w:tcPr>
                <w:p w14:paraId="296F91E5">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r>
                    <w:rPr>
                      <w:rFonts w:hint="eastAsia" w:ascii="Times New Roman" w:hAnsi="Times New Roman" w:cs="Times New Roman"/>
                      <w:b w:val="0"/>
                      <w:bCs/>
                      <w:snapToGrid w:val="0"/>
                      <w:color w:val="auto"/>
                      <w:kern w:val="0"/>
                      <w:sz w:val="21"/>
                      <w:szCs w:val="21"/>
                      <w:highlight w:val="none"/>
                      <w:vertAlign w:val="baseline"/>
                      <w:lang w:eastAsia="zh-CN"/>
                    </w:rPr>
                    <w:t>达标</w:t>
                  </w:r>
                </w:p>
              </w:tc>
              <w:tc>
                <w:tcPr>
                  <w:tcW w:w="1399" w:type="dxa"/>
                  <w:vMerge w:val="continue"/>
                  <w:tcBorders>
                    <w:tl2br w:val="nil"/>
                    <w:tr2bl w:val="nil"/>
                  </w:tcBorders>
                  <w:vAlign w:val="center"/>
                </w:tcPr>
                <w:p w14:paraId="03C98961">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vertAlign w:val="baseline"/>
                    </w:rPr>
                  </w:pPr>
                </w:p>
              </w:tc>
            </w:tr>
          </w:tbl>
          <w:p w14:paraId="1F4E7E51">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eastAsia="宋体" w:cs="Times New Roman"/>
                <w:color w:val="auto"/>
                <w:w w:val="100"/>
                <w:kern w:val="2"/>
                <w:sz w:val="24"/>
                <w:szCs w:val="24"/>
                <w:highlight w:val="none"/>
                <w:lang w:val="en-US" w:eastAsia="zh-CN" w:bidi="ar-SA"/>
              </w:rPr>
              <w:t>由上表可知</w:t>
            </w:r>
            <w:r>
              <w:rPr>
                <w:rFonts w:hint="default" w:ascii="Times New Roman" w:hAnsi="Times New Roman" w:eastAsia="宋体" w:cs="Times New Roman"/>
                <w:color w:val="auto"/>
                <w:w w:val="100"/>
                <w:kern w:val="2"/>
                <w:sz w:val="24"/>
                <w:szCs w:val="24"/>
                <w:highlight w:val="none"/>
                <w:lang w:val="en-US" w:eastAsia="zh-CN" w:bidi="ar-SA"/>
              </w:rPr>
              <w:t>，企业厂界噪声满足</w:t>
            </w:r>
            <w:r>
              <w:rPr>
                <w:rFonts w:hint="default" w:ascii="Times New Roman" w:hAnsi="Times New Roman" w:eastAsia="宋体" w:cs="Times New Roman"/>
                <w:color w:val="auto"/>
                <w:w w:val="100"/>
                <w:kern w:val="2"/>
                <w:sz w:val="24"/>
                <w:szCs w:val="24"/>
                <w:highlight w:val="none"/>
                <w:lang w:val="zh-CN" w:eastAsia="zh-CN" w:bidi="ar-SA"/>
              </w:rPr>
              <w:t>《工业企业厂界环境噪声排放标准》</w:t>
            </w:r>
            <w:r>
              <w:rPr>
                <w:rFonts w:hint="eastAsia" w:cs="Times New Roman"/>
                <w:color w:val="auto"/>
                <w:w w:val="100"/>
                <w:kern w:val="2"/>
                <w:sz w:val="24"/>
                <w:szCs w:val="24"/>
                <w:highlight w:val="none"/>
                <w:lang w:val="zh-CN" w:eastAsia="zh-CN" w:bidi="ar-SA"/>
              </w:rPr>
              <w:t>（</w:t>
            </w:r>
            <w:r>
              <w:rPr>
                <w:rFonts w:hint="default" w:ascii="Times New Roman" w:hAnsi="Times New Roman" w:eastAsia="宋体" w:cs="Times New Roman"/>
                <w:color w:val="auto"/>
                <w:w w:val="100"/>
                <w:kern w:val="2"/>
                <w:sz w:val="24"/>
                <w:szCs w:val="24"/>
                <w:highlight w:val="none"/>
                <w:lang w:val="zh-CN" w:eastAsia="zh-CN" w:bidi="ar-SA"/>
              </w:rPr>
              <w:t>GB12348-2008</w:t>
            </w:r>
            <w:r>
              <w:rPr>
                <w:rFonts w:hint="eastAsia" w:cs="Times New Roman"/>
                <w:color w:val="auto"/>
                <w:w w:val="100"/>
                <w:kern w:val="2"/>
                <w:sz w:val="24"/>
                <w:szCs w:val="24"/>
                <w:highlight w:val="none"/>
                <w:lang w:val="zh-CN" w:eastAsia="zh-CN" w:bidi="ar-SA"/>
              </w:rPr>
              <w:t>）</w:t>
            </w:r>
            <w:r>
              <w:rPr>
                <w:rFonts w:hint="default" w:ascii="Times New Roman" w:hAnsi="Times New Roman" w:eastAsia="宋体" w:cs="Times New Roman"/>
                <w:color w:val="auto"/>
                <w:w w:val="100"/>
                <w:kern w:val="2"/>
                <w:sz w:val="24"/>
                <w:szCs w:val="24"/>
                <w:highlight w:val="none"/>
                <w:lang w:val="en-US" w:eastAsia="zh-CN" w:bidi="ar-SA"/>
              </w:rPr>
              <w:t>中</w:t>
            </w:r>
            <w:r>
              <w:rPr>
                <w:rFonts w:hint="eastAsia" w:ascii="Times New Roman" w:hAnsi="Times New Roman" w:cs="Times New Roman"/>
                <w:color w:val="auto"/>
                <w:w w:val="100"/>
                <w:kern w:val="2"/>
                <w:sz w:val="24"/>
                <w:szCs w:val="24"/>
                <w:highlight w:val="none"/>
                <w:lang w:val="en-US" w:eastAsia="zh-CN" w:bidi="ar-SA"/>
              </w:rPr>
              <w:t>2</w:t>
            </w:r>
            <w:r>
              <w:rPr>
                <w:rFonts w:hint="default" w:ascii="Times New Roman" w:hAnsi="Times New Roman" w:eastAsia="宋体" w:cs="Times New Roman"/>
                <w:color w:val="auto"/>
                <w:w w:val="100"/>
                <w:kern w:val="2"/>
                <w:sz w:val="24"/>
                <w:szCs w:val="24"/>
                <w:highlight w:val="none"/>
                <w:lang w:val="en-US" w:eastAsia="zh-CN" w:bidi="ar-SA"/>
              </w:rPr>
              <w:t>类标准要求。</w:t>
            </w:r>
          </w:p>
          <w:p w14:paraId="0F201602">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cs="Times New Roman"/>
                <w:b/>
                <w:bCs/>
                <w:color w:val="auto"/>
                <w:w w:val="100"/>
                <w:kern w:val="2"/>
                <w:sz w:val="24"/>
                <w:szCs w:val="24"/>
                <w:highlight w:val="none"/>
                <w:lang w:val="en-US" w:eastAsia="zh-CN" w:bidi="ar-SA"/>
              </w:rPr>
              <w:t>3</w:t>
            </w:r>
            <w:r>
              <w:rPr>
                <w:rFonts w:hint="eastAsia" w:ascii="Times New Roman" w:hAnsi="Times New Roman" w:eastAsia="宋体" w:cs="Times New Roman"/>
                <w:b/>
                <w:bCs/>
                <w:color w:val="auto"/>
                <w:w w:val="100"/>
                <w:kern w:val="2"/>
                <w:sz w:val="24"/>
                <w:szCs w:val="24"/>
                <w:highlight w:val="none"/>
                <w:lang w:val="en-US" w:eastAsia="zh-CN" w:bidi="ar-SA"/>
              </w:rPr>
              <w:t>、现有工程污染物排放量</w:t>
            </w:r>
          </w:p>
          <w:p w14:paraId="2692C303">
            <w:pPr>
              <w:pStyle w:val="87"/>
              <w:widowControl w:val="0"/>
              <w:numPr>
                <w:ilvl w:val="0"/>
                <w:numId w:val="0"/>
              </w:numPr>
              <w:shd w:val="clear"/>
              <w:adjustRightInd w:val="0"/>
              <w:spacing w:line="360" w:lineRule="auto"/>
              <w:ind w:firstLine="480" w:firstLineChars="200"/>
              <w:jc w:val="both"/>
              <w:rPr>
                <w:rFonts w:hint="eastAsia" w:ascii="Times New Roman" w:hAnsi="Times New Roman" w:cs="Times New Roman"/>
                <w:b w:val="0"/>
                <w:bCs w:val="0"/>
                <w:color w:val="auto"/>
                <w:w w:val="100"/>
                <w:kern w:val="2"/>
                <w:sz w:val="24"/>
                <w:szCs w:val="24"/>
                <w:highlight w:val="none"/>
                <w:lang w:val="en-US" w:eastAsia="zh-CN" w:bidi="ar-SA"/>
              </w:rPr>
            </w:pPr>
            <w:r>
              <w:rPr>
                <w:rFonts w:hint="eastAsia" w:ascii="Times New Roman" w:hAnsi="Times New Roman" w:cs="Times New Roman"/>
                <w:b w:val="0"/>
                <w:bCs w:val="0"/>
                <w:color w:val="auto"/>
                <w:w w:val="100"/>
                <w:kern w:val="2"/>
                <w:sz w:val="24"/>
                <w:szCs w:val="24"/>
                <w:highlight w:val="none"/>
                <w:lang w:val="en-US" w:eastAsia="zh-CN" w:bidi="ar-SA"/>
              </w:rPr>
              <w:t>企业排放的污染物主要为颗粒物，根据企业监测报告，计算现有工程有组织排放量为：</w:t>
            </w:r>
          </w:p>
          <w:p w14:paraId="5E219E65">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cs="Times New Roman"/>
                <w:b w:val="0"/>
                <w:bCs w:val="0"/>
                <w:color w:val="auto"/>
                <w:w w:val="100"/>
                <w:kern w:val="2"/>
                <w:sz w:val="24"/>
                <w:szCs w:val="24"/>
                <w:highlight w:val="none"/>
                <w:lang w:val="en-US" w:eastAsia="zh-CN" w:bidi="ar-SA"/>
              </w:rPr>
              <w:t>0.103kg/h×</w:t>
            </w:r>
            <w:r>
              <w:rPr>
                <w:rFonts w:hint="eastAsia" w:cs="Times New Roman"/>
                <w:b w:val="0"/>
                <w:bCs w:val="0"/>
                <w:color w:val="auto"/>
                <w:w w:val="100"/>
                <w:kern w:val="2"/>
                <w:sz w:val="24"/>
                <w:szCs w:val="24"/>
                <w:highlight w:val="none"/>
                <w:lang w:val="en-US" w:eastAsia="zh-CN" w:bidi="ar-SA"/>
              </w:rPr>
              <w:t>3000</w:t>
            </w:r>
            <w:r>
              <w:rPr>
                <w:rFonts w:hint="eastAsia" w:ascii="Times New Roman" w:hAnsi="Times New Roman" w:cs="Times New Roman"/>
                <w:b w:val="0"/>
                <w:bCs w:val="0"/>
                <w:color w:val="auto"/>
                <w:w w:val="100"/>
                <w:kern w:val="2"/>
                <w:sz w:val="24"/>
                <w:szCs w:val="24"/>
                <w:highlight w:val="none"/>
                <w:lang w:val="en-US" w:eastAsia="zh-CN" w:bidi="ar-SA"/>
              </w:rPr>
              <w:t>h/a÷80%×10</w:t>
            </w:r>
            <w:r>
              <w:rPr>
                <w:rFonts w:hint="eastAsia" w:ascii="Times New Roman" w:hAnsi="Times New Roman" w:cs="Times New Roman"/>
                <w:b w:val="0"/>
                <w:bCs w:val="0"/>
                <w:color w:val="auto"/>
                <w:w w:val="100"/>
                <w:kern w:val="2"/>
                <w:sz w:val="24"/>
                <w:szCs w:val="24"/>
                <w:highlight w:val="none"/>
                <w:vertAlign w:val="superscript"/>
                <w:lang w:val="en-US" w:eastAsia="zh-CN" w:bidi="ar-SA"/>
              </w:rPr>
              <w:t>-3</w:t>
            </w:r>
            <w:r>
              <w:rPr>
                <w:rFonts w:hint="eastAsia" w:ascii="Times New Roman" w:hAnsi="Times New Roman" w:cs="Times New Roman"/>
                <w:b w:val="0"/>
                <w:bCs w:val="0"/>
                <w:color w:val="auto"/>
                <w:w w:val="100"/>
                <w:kern w:val="2"/>
                <w:sz w:val="24"/>
                <w:szCs w:val="24"/>
                <w:highlight w:val="none"/>
                <w:lang w:val="en-US" w:eastAsia="zh-CN" w:bidi="ar-SA"/>
              </w:rPr>
              <w:t>=0.</w:t>
            </w:r>
            <w:r>
              <w:rPr>
                <w:rFonts w:hint="eastAsia" w:cs="Times New Roman"/>
                <w:b w:val="0"/>
                <w:bCs w:val="0"/>
                <w:color w:val="auto"/>
                <w:w w:val="100"/>
                <w:kern w:val="2"/>
                <w:sz w:val="24"/>
                <w:szCs w:val="24"/>
                <w:highlight w:val="none"/>
                <w:lang w:val="en-US" w:eastAsia="zh-CN" w:bidi="ar-SA"/>
              </w:rPr>
              <w:t>386</w:t>
            </w:r>
            <w:r>
              <w:rPr>
                <w:rFonts w:hint="eastAsia" w:ascii="Times New Roman" w:hAnsi="Times New Roman" w:cs="Times New Roman"/>
                <w:b w:val="0"/>
                <w:bCs w:val="0"/>
                <w:color w:val="auto"/>
                <w:w w:val="100"/>
                <w:kern w:val="2"/>
                <w:sz w:val="24"/>
                <w:szCs w:val="24"/>
                <w:highlight w:val="none"/>
                <w:lang w:val="en-US" w:eastAsia="zh-CN" w:bidi="ar-SA"/>
              </w:rPr>
              <w:t>t/a</w:t>
            </w:r>
          </w:p>
          <w:p w14:paraId="3CACC3DE">
            <w:pPr>
              <w:pStyle w:val="87"/>
              <w:widowControl w:val="0"/>
              <w:numPr>
                <w:ilvl w:val="0"/>
                <w:numId w:val="0"/>
              </w:numPr>
              <w:shd w:val="clear"/>
              <w:adjustRightInd w:val="0"/>
              <w:spacing w:line="360" w:lineRule="auto"/>
              <w:ind w:firstLine="480" w:firstLineChars="200"/>
              <w:jc w:val="both"/>
              <w:rPr>
                <w:rFonts w:hint="default"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备注：计算公式为污染物排放速率×年排放时间÷生产工况系数，其中污染物排放速率选取监测报告中最大值。</w:t>
            </w:r>
            <w:r>
              <w:rPr>
                <w:rFonts w:hint="eastAsia" w:cs="Times New Roman"/>
                <w:b w:val="0"/>
                <w:bCs w:val="0"/>
                <w:color w:val="auto"/>
                <w:w w:val="100"/>
                <w:kern w:val="2"/>
                <w:sz w:val="24"/>
                <w:szCs w:val="24"/>
                <w:highlight w:val="none"/>
                <w:lang w:val="en-US" w:eastAsia="zh-CN" w:bidi="ar-SA"/>
              </w:rPr>
              <w:t>企业现有工程破碎工序年工作时间3000h。</w:t>
            </w:r>
          </w:p>
          <w:p w14:paraId="7BC8C589">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现有工程颗粒物许可总量控制指标为1.14t/a，项目实际有组织颗粒物排放量为0.386t/a，排放量小于核定总量指标，满足污染物总量控制相关要求。</w:t>
            </w:r>
          </w:p>
          <w:p w14:paraId="0AA19207">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本项目无组织颗粒物排放量参照《滦县耀隆宝峰矿业有限公司年产 10 万吨精制硅砂加工生产线项目环境影响报告表》核算，根据原有环评文件污染源分析结果，项目厂区无组织颗粒物废气排放量为0.174t/a。</w:t>
            </w:r>
          </w:p>
          <w:p w14:paraId="2CECE5A5">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cs="Times New Roman"/>
                <w:b/>
                <w:bCs/>
                <w:color w:val="auto"/>
                <w:w w:val="100"/>
                <w:kern w:val="2"/>
                <w:sz w:val="24"/>
                <w:szCs w:val="24"/>
                <w:highlight w:val="none"/>
                <w:lang w:val="en-US" w:eastAsia="zh-CN" w:bidi="ar-SA"/>
              </w:rPr>
              <w:t>4</w:t>
            </w:r>
            <w:r>
              <w:rPr>
                <w:rFonts w:hint="eastAsia" w:ascii="Times New Roman" w:hAnsi="Times New Roman" w:eastAsia="宋体" w:cs="Times New Roman"/>
                <w:b/>
                <w:bCs/>
                <w:color w:val="auto"/>
                <w:w w:val="100"/>
                <w:kern w:val="2"/>
                <w:sz w:val="24"/>
                <w:szCs w:val="24"/>
                <w:highlight w:val="none"/>
                <w:lang w:val="en-US" w:eastAsia="zh-CN" w:bidi="ar-SA"/>
              </w:rPr>
              <w:t>、排污口规范化</w:t>
            </w:r>
          </w:p>
          <w:p w14:paraId="7AC33A4C">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现有工程设置废气排放口</w:t>
            </w:r>
            <w:r>
              <w:rPr>
                <w:rFonts w:hint="eastAsia" w:cs="Times New Roman"/>
                <w:b w:val="0"/>
                <w:bCs w:val="0"/>
                <w:color w:val="auto"/>
                <w:w w:val="100"/>
                <w:kern w:val="2"/>
                <w:sz w:val="24"/>
                <w:szCs w:val="24"/>
                <w:highlight w:val="none"/>
                <w:lang w:val="en-US" w:eastAsia="zh-CN" w:bidi="ar-SA"/>
              </w:rPr>
              <w:t>1</w:t>
            </w:r>
            <w:r>
              <w:rPr>
                <w:rFonts w:hint="eastAsia" w:ascii="Times New Roman" w:hAnsi="Times New Roman" w:eastAsia="宋体" w:cs="Times New Roman"/>
                <w:b w:val="0"/>
                <w:bCs w:val="0"/>
                <w:color w:val="auto"/>
                <w:w w:val="100"/>
                <w:kern w:val="2"/>
                <w:sz w:val="24"/>
                <w:szCs w:val="24"/>
                <w:highlight w:val="none"/>
                <w:lang w:val="en-US" w:eastAsia="zh-CN" w:bidi="ar-SA"/>
              </w:rPr>
              <w:t>个，现有工程按照相关要求对废气排放口进行了规范化设置，满足相关要求。</w:t>
            </w:r>
          </w:p>
          <w:p w14:paraId="587AF05F">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p>
          <w:p w14:paraId="1F044230">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p>
          <w:p w14:paraId="7284CE4A">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p>
          <w:p w14:paraId="7616A0BB">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p>
          <w:p w14:paraId="3642EF02">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00"/>
            </w:tblGrid>
            <w:tr w14:paraId="6BF1C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7" w:hRule="atLeast"/>
                <w:jc w:val="center"/>
              </w:trPr>
              <w:tc>
                <w:tcPr>
                  <w:tcW w:w="6000" w:type="dxa"/>
                  <w:tcBorders>
                    <w:tl2br w:val="nil"/>
                    <w:tr2bl w:val="nil"/>
                  </w:tcBorders>
                </w:tcPr>
                <w:p w14:paraId="4FBBC1B2">
                  <w:pPr>
                    <w:pStyle w:val="87"/>
                    <w:widowControl w:val="0"/>
                    <w:numPr>
                      <w:ilvl w:val="0"/>
                      <w:numId w:val="0"/>
                    </w:numPr>
                    <w:shd w:val="clear"/>
                    <w:adjustRightInd w:val="0"/>
                    <w:spacing w:line="360" w:lineRule="auto"/>
                    <w:jc w:val="both"/>
                    <w:rPr>
                      <w:rFonts w:hint="eastAsia" w:ascii="Times New Roman" w:hAnsi="Times New Roman" w:eastAsia="宋体" w:cs="Times New Roman"/>
                      <w:b w:val="0"/>
                      <w:bCs w:val="0"/>
                      <w:color w:val="auto"/>
                      <w:w w:val="100"/>
                      <w:kern w:val="2"/>
                      <w:sz w:val="24"/>
                      <w:szCs w:val="24"/>
                      <w:highlight w:val="none"/>
                      <w:vertAlign w:val="baseline"/>
                      <w:lang w:val="en-US" w:eastAsia="zh-CN" w:bidi="ar-SA"/>
                    </w:rPr>
                  </w:pPr>
                  <w:r>
                    <w:rPr>
                      <w:color w:val="auto"/>
                    </w:rPr>
                    <w:drawing>
                      <wp:inline distT="0" distB="0" distL="114300" distR="114300">
                        <wp:extent cx="3590925" cy="2310765"/>
                        <wp:effectExtent l="0" t="0" r="9525" b="13335"/>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pic:cNvPicPr>
                                  <a:picLocks noChangeAspect="1"/>
                                </pic:cNvPicPr>
                              </pic:nvPicPr>
                              <pic:blipFill>
                                <a:blip r:embed="rId16"/>
                                <a:stretch>
                                  <a:fillRect/>
                                </a:stretch>
                              </pic:blipFill>
                              <pic:spPr>
                                <a:xfrm>
                                  <a:off x="0" y="0"/>
                                  <a:ext cx="3590925" cy="2310765"/>
                                </a:xfrm>
                                <a:prstGeom prst="rect">
                                  <a:avLst/>
                                </a:prstGeom>
                                <a:noFill/>
                                <a:ln>
                                  <a:noFill/>
                                </a:ln>
                              </pic:spPr>
                            </pic:pic>
                          </a:graphicData>
                        </a:graphic>
                      </wp:inline>
                    </w:drawing>
                  </w:r>
                </w:p>
              </w:tc>
            </w:tr>
          </w:tbl>
          <w:p w14:paraId="0CA544C5">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auto"/>
                <w:sz w:val="21"/>
                <w:szCs w:val="21"/>
                <w:lang w:val="en-US" w:eastAsia="zh-CN"/>
              </w:rPr>
            </w:pPr>
            <w:r>
              <w:rPr>
                <w:rFonts w:hint="eastAsia"/>
                <w:b/>
                <w:bCs/>
                <w:color w:val="auto"/>
                <w:sz w:val="21"/>
                <w:szCs w:val="21"/>
                <w:lang w:val="en-US" w:eastAsia="zh-CN"/>
              </w:rPr>
              <w:t>现有工程排污口规范化</w:t>
            </w:r>
          </w:p>
          <w:p w14:paraId="369E5434">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cs="Times New Roman"/>
                <w:b/>
                <w:bCs/>
                <w:color w:val="auto"/>
                <w:w w:val="100"/>
                <w:kern w:val="2"/>
                <w:sz w:val="24"/>
                <w:szCs w:val="24"/>
                <w:highlight w:val="none"/>
                <w:lang w:val="en-US" w:eastAsia="zh-CN" w:bidi="ar-SA"/>
              </w:rPr>
              <w:t>5</w:t>
            </w:r>
            <w:r>
              <w:rPr>
                <w:rFonts w:hint="eastAsia" w:ascii="Times New Roman" w:hAnsi="Times New Roman" w:eastAsia="宋体" w:cs="Times New Roman"/>
                <w:b/>
                <w:bCs/>
                <w:color w:val="auto"/>
                <w:w w:val="100"/>
                <w:kern w:val="2"/>
                <w:sz w:val="24"/>
                <w:szCs w:val="24"/>
                <w:highlight w:val="none"/>
                <w:lang w:val="en-US" w:eastAsia="zh-CN" w:bidi="ar-SA"/>
              </w:rPr>
              <w:t>、自行监测计划和执行报告落实情况</w:t>
            </w:r>
          </w:p>
          <w:p w14:paraId="78EBA051">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本项目现有工程属于排污许可登记管理类别，无执行报告要求。现有工程已按相关要求制定自行监测方案，并按方案开展定期监测，监测结果均记录存档。</w:t>
            </w:r>
          </w:p>
          <w:p w14:paraId="63338F81">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cs="Times New Roman"/>
                <w:b/>
                <w:bCs/>
                <w:color w:val="auto"/>
                <w:w w:val="100"/>
                <w:kern w:val="2"/>
                <w:sz w:val="24"/>
                <w:szCs w:val="24"/>
                <w:highlight w:val="none"/>
                <w:lang w:val="en-US" w:eastAsia="zh-CN" w:bidi="ar-SA"/>
              </w:rPr>
              <w:t>6</w:t>
            </w:r>
            <w:r>
              <w:rPr>
                <w:rFonts w:hint="eastAsia" w:ascii="Times New Roman" w:hAnsi="Times New Roman" w:eastAsia="宋体" w:cs="Times New Roman"/>
                <w:b/>
                <w:bCs/>
                <w:color w:val="auto"/>
                <w:w w:val="100"/>
                <w:kern w:val="2"/>
                <w:sz w:val="24"/>
                <w:szCs w:val="24"/>
                <w:highlight w:val="none"/>
                <w:lang w:val="en-US" w:eastAsia="zh-CN" w:bidi="ar-SA"/>
              </w:rPr>
              <w:t>、防渗措施</w:t>
            </w:r>
          </w:p>
          <w:p w14:paraId="15691BCE">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危废间</w:t>
            </w:r>
            <w:r>
              <w:rPr>
                <w:rFonts w:hint="eastAsia" w:cs="Times New Roman"/>
                <w:b w:val="0"/>
                <w:bCs w:val="0"/>
                <w:color w:val="auto"/>
                <w:w w:val="100"/>
                <w:kern w:val="2"/>
                <w:sz w:val="24"/>
                <w:szCs w:val="24"/>
                <w:highlight w:val="none"/>
                <w:lang w:val="en-US" w:eastAsia="zh-CN" w:bidi="ar-SA"/>
              </w:rPr>
              <w:t>：</w:t>
            </w:r>
            <w:r>
              <w:rPr>
                <w:rFonts w:hint="eastAsia" w:ascii="Times New Roman" w:hAnsi="Times New Roman" w:eastAsia="宋体" w:cs="Times New Roman"/>
                <w:b w:val="0"/>
                <w:bCs w:val="0"/>
                <w:color w:val="auto"/>
                <w:w w:val="100"/>
                <w:kern w:val="2"/>
                <w:sz w:val="24"/>
                <w:szCs w:val="24"/>
                <w:highlight w:val="none"/>
                <w:lang w:val="en-US" w:eastAsia="zh-CN" w:bidi="ar-SA"/>
              </w:rPr>
              <w:t>底层采用防渗混凝土，表层采用玻璃钢防渗层，渗透系数≤1</w:t>
            </w:r>
            <w:r>
              <w:rPr>
                <w:rFonts w:hint="eastAsia" w:cs="Times New Roman"/>
                <w:b w:val="0"/>
                <w:bCs w:val="0"/>
                <w:color w:val="auto"/>
                <w:w w:val="100"/>
                <w:kern w:val="2"/>
                <w:sz w:val="24"/>
                <w:szCs w:val="24"/>
                <w:highlight w:val="none"/>
                <w:lang w:val="en-US" w:eastAsia="zh-CN" w:bidi="ar-SA"/>
              </w:rPr>
              <w:t>×</w:t>
            </w:r>
            <w:r>
              <w:rPr>
                <w:rFonts w:hint="eastAsia" w:ascii="Times New Roman" w:hAnsi="Times New Roman" w:eastAsia="宋体" w:cs="Times New Roman"/>
                <w:b w:val="0"/>
                <w:bCs w:val="0"/>
                <w:color w:val="auto"/>
                <w:w w:val="100"/>
                <w:kern w:val="2"/>
                <w:sz w:val="24"/>
                <w:szCs w:val="24"/>
                <w:highlight w:val="none"/>
                <w:lang w:val="en-US" w:eastAsia="zh-CN" w:bidi="ar-SA"/>
              </w:rPr>
              <w:t>10</w:t>
            </w:r>
            <w:r>
              <w:rPr>
                <w:rFonts w:hint="eastAsia" w:cs="Times New Roman"/>
                <w:b w:val="0"/>
                <w:bCs w:val="0"/>
                <w:color w:val="auto"/>
                <w:w w:val="100"/>
                <w:kern w:val="2"/>
                <w:sz w:val="24"/>
                <w:szCs w:val="24"/>
                <w:highlight w:val="none"/>
                <w:vertAlign w:val="superscript"/>
                <w:lang w:val="en-US" w:eastAsia="zh-CN" w:bidi="ar-SA"/>
              </w:rPr>
              <w:t>-</w:t>
            </w:r>
            <w:r>
              <w:rPr>
                <w:rFonts w:hint="eastAsia" w:ascii="Times New Roman" w:hAnsi="Times New Roman" w:eastAsia="宋体" w:cs="Times New Roman"/>
                <w:b w:val="0"/>
                <w:bCs w:val="0"/>
                <w:color w:val="auto"/>
                <w:w w:val="100"/>
                <w:kern w:val="2"/>
                <w:sz w:val="24"/>
                <w:szCs w:val="24"/>
                <w:highlight w:val="none"/>
                <w:vertAlign w:val="superscript"/>
                <w:lang w:val="en-US" w:eastAsia="zh-CN" w:bidi="ar-SA"/>
              </w:rPr>
              <w:t>10</w:t>
            </w:r>
            <w:r>
              <w:rPr>
                <w:rFonts w:hint="eastAsia" w:ascii="Times New Roman" w:hAnsi="Times New Roman" w:eastAsia="宋体" w:cs="Times New Roman"/>
                <w:b w:val="0"/>
                <w:bCs w:val="0"/>
                <w:color w:val="auto"/>
                <w:w w:val="100"/>
                <w:kern w:val="2"/>
                <w:sz w:val="24"/>
                <w:szCs w:val="24"/>
                <w:highlight w:val="none"/>
                <w:lang w:val="en-US" w:eastAsia="zh-CN" w:bidi="ar-SA"/>
              </w:rPr>
              <w:t>cm/s</w:t>
            </w:r>
            <w:r>
              <w:rPr>
                <w:rFonts w:hint="eastAsia" w:cs="Times New Roman"/>
                <w:b w:val="0"/>
                <w:bCs w:val="0"/>
                <w:color w:val="auto"/>
                <w:w w:val="100"/>
                <w:kern w:val="2"/>
                <w:sz w:val="24"/>
                <w:szCs w:val="24"/>
                <w:highlight w:val="none"/>
                <w:lang w:val="en-US" w:eastAsia="zh-CN" w:bidi="ar-SA"/>
              </w:rPr>
              <w:t>；</w:t>
            </w:r>
            <w:r>
              <w:rPr>
                <w:rFonts w:hint="eastAsia" w:ascii="Times New Roman" w:hAnsi="Times New Roman" w:eastAsia="宋体" w:cs="Times New Roman"/>
                <w:b w:val="0"/>
                <w:bCs w:val="0"/>
                <w:color w:val="auto"/>
                <w:w w:val="100"/>
                <w:kern w:val="2"/>
                <w:sz w:val="24"/>
                <w:szCs w:val="24"/>
                <w:highlight w:val="none"/>
                <w:lang w:val="en-US" w:eastAsia="zh-CN" w:bidi="ar-SA"/>
              </w:rPr>
              <w:t>地面与裙角</w:t>
            </w:r>
            <w:r>
              <w:rPr>
                <w:rFonts w:hint="eastAsia" w:cs="Times New Roman"/>
                <w:b w:val="0"/>
                <w:bCs w:val="0"/>
                <w:color w:val="auto"/>
                <w:w w:val="100"/>
                <w:kern w:val="2"/>
                <w:sz w:val="24"/>
                <w:szCs w:val="24"/>
                <w:highlight w:val="none"/>
                <w:lang w:val="en-US" w:eastAsia="zh-CN" w:bidi="ar-SA"/>
              </w:rPr>
              <w:t>采用</w:t>
            </w:r>
            <w:r>
              <w:rPr>
                <w:rFonts w:hint="eastAsia" w:ascii="Times New Roman" w:hAnsi="Times New Roman" w:eastAsia="宋体" w:cs="Times New Roman"/>
                <w:b w:val="0"/>
                <w:bCs w:val="0"/>
                <w:color w:val="auto"/>
                <w:w w:val="100"/>
                <w:kern w:val="2"/>
                <w:sz w:val="24"/>
                <w:szCs w:val="24"/>
                <w:highlight w:val="none"/>
                <w:lang w:val="en-US" w:eastAsia="zh-CN" w:bidi="ar-SA"/>
              </w:rPr>
              <w:t>坚固、防渗的材料建造，建筑材料与危险废物相容。</w:t>
            </w:r>
          </w:p>
          <w:p w14:paraId="39AB1DCF">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原料库、成品库、中间仓、破碎间、联合车间地面采用水泥硬化地面，渗透系数≤10</w:t>
            </w:r>
            <w:r>
              <w:rPr>
                <w:rFonts w:hint="eastAsia" w:cs="Times New Roman"/>
                <w:b w:val="0"/>
                <w:bCs w:val="0"/>
                <w:color w:val="auto"/>
                <w:w w:val="100"/>
                <w:kern w:val="2"/>
                <w:sz w:val="24"/>
                <w:szCs w:val="24"/>
                <w:highlight w:val="none"/>
                <w:vertAlign w:val="superscript"/>
                <w:lang w:val="en-US" w:eastAsia="zh-CN" w:bidi="ar-SA"/>
              </w:rPr>
              <w:t>-7</w:t>
            </w:r>
            <w:r>
              <w:rPr>
                <w:rFonts w:hint="eastAsia" w:ascii="Times New Roman" w:hAnsi="Times New Roman" w:eastAsia="宋体" w:cs="Times New Roman"/>
                <w:b w:val="0"/>
                <w:bCs w:val="0"/>
                <w:color w:val="auto"/>
                <w:w w:val="100"/>
                <w:kern w:val="2"/>
                <w:sz w:val="24"/>
                <w:szCs w:val="24"/>
                <w:highlight w:val="none"/>
                <w:lang w:val="en-US" w:eastAsia="zh-CN" w:bidi="ar-SA"/>
              </w:rPr>
              <w:t>cm/s</w:t>
            </w:r>
            <w:r>
              <w:rPr>
                <w:rFonts w:hint="eastAsia" w:cs="Times New Roman"/>
                <w:b w:val="0"/>
                <w:bCs w:val="0"/>
                <w:color w:val="auto"/>
                <w:w w:val="100"/>
                <w:kern w:val="2"/>
                <w:sz w:val="24"/>
                <w:szCs w:val="24"/>
                <w:highlight w:val="none"/>
                <w:lang w:val="en-US" w:eastAsia="zh-CN" w:bidi="ar-SA"/>
              </w:rPr>
              <w:t>；</w:t>
            </w:r>
            <w:r>
              <w:rPr>
                <w:rFonts w:hint="eastAsia" w:ascii="Times New Roman" w:hAnsi="Times New Roman" w:eastAsia="宋体" w:cs="Times New Roman"/>
                <w:b w:val="0"/>
                <w:bCs w:val="0"/>
                <w:color w:val="auto"/>
                <w:w w:val="100"/>
                <w:kern w:val="2"/>
                <w:sz w:val="24"/>
                <w:szCs w:val="24"/>
                <w:highlight w:val="none"/>
                <w:lang w:val="en-US" w:eastAsia="zh-CN" w:bidi="ar-SA"/>
              </w:rPr>
              <w:t>应急池，洗车平台清水池、导流沟采用抗渗混凝土一体浇筑，并进行耐腐蚀处理，渗透系数≤10</w:t>
            </w:r>
            <w:r>
              <w:rPr>
                <w:rFonts w:hint="eastAsia" w:cs="Times New Roman"/>
                <w:b w:val="0"/>
                <w:bCs w:val="0"/>
                <w:color w:val="auto"/>
                <w:w w:val="100"/>
                <w:kern w:val="2"/>
                <w:sz w:val="24"/>
                <w:szCs w:val="24"/>
                <w:highlight w:val="none"/>
                <w:vertAlign w:val="superscript"/>
                <w:lang w:val="en-US" w:eastAsia="zh-CN" w:bidi="ar-SA"/>
              </w:rPr>
              <w:t>-7</w:t>
            </w:r>
            <w:r>
              <w:rPr>
                <w:rFonts w:hint="eastAsia" w:ascii="Times New Roman" w:hAnsi="Times New Roman" w:eastAsia="宋体" w:cs="Times New Roman"/>
                <w:b w:val="0"/>
                <w:bCs w:val="0"/>
                <w:color w:val="auto"/>
                <w:w w:val="100"/>
                <w:kern w:val="2"/>
                <w:sz w:val="24"/>
                <w:szCs w:val="24"/>
                <w:highlight w:val="none"/>
                <w:lang w:val="en-US" w:eastAsia="zh-CN" w:bidi="ar-SA"/>
              </w:rPr>
              <w:t>cm/s。</w:t>
            </w:r>
          </w:p>
          <w:p w14:paraId="44AB659E">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auto"/>
                <w:w w:val="100"/>
                <w:kern w:val="2"/>
                <w:sz w:val="24"/>
                <w:szCs w:val="24"/>
                <w:highlight w:val="none"/>
                <w:lang w:val="en-US" w:eastAsia="zh-CN" w:bidi="ar-SA"/>
              </w:rPr>
            </w:pPr>
            <w:r>
              <w:rPr>
                <w:rFonts w:hint="eastAsia" w:cs="Times New Roman"/>
                <w:b/>
                <w:bCs/>
                <w:color w:val="auto"/>
                <w:w w:val="100"/>
                <w:kern w:val="2"/>
                <w:sz w:val="24"/>
                <w:szCs w:val="24"/>
                <w:highlight w:val="none"/>
                <w:lang w:val="en-US" w:eastAsia="zh-CN" w:bidi="ar-SA"/>
              </w:rPr>
              <w:t>7</w:t>
            </w:r>
            <w:r>
              <w:rPr>
                <w:rFonts w:hint="eastAsia" w:ascii="Times New Roman" w:hAnsi="Times New Roman" w:eastAsia="宋体" w:cs="Times New Roman"/>
                <w:b/>
                <w:bCs/>
                <w:color w:val="auto"/>
                <w:w w:val="100"/>
                <w:kern w:val="2"/>
                <w:sz w:val="24"/>
                <w:szCs w:val="24"/>
                <w:highlight w:val="none"/>
                <w:lang w:val="en-US" w:eastAsia="zh-CN" w:bidi="ar-SA"/>
              </w:rPr>
              <w:t>、与该项目有关的主要环境问题及整改措施</w:t>
            </w:r>
          </w:p>
          <w:p w14:paraId="3325C4E3">
            <w:pPr>
              <w:pStyle w:val="87"/>
              <w:widowControl w:val="0"/>
              <w:numPr>
                <w:ilvl w:val="0"/>
                <w:numId w:val="0"/>
              </w:numPr>
              <w:shd w:val="clear"/>
              <w:adjustRightInd w:val="0"/>
              <w:spacing w:line="360" w:lineRule="auto"/>
              <w:ind w:firstLine="480" w:firstLineChars="200"/>
              <w:jc w:val="both"/>
              <w:rPr>
                <w:rFonts w:hint="default" w:ascii="Times New Roman" w:hAnsi="Times New Roman" w:eastAsia="宋体" w:cs="Times New Roman"/>
                <w:b w:val="0"/>
                <w:bCs w:val="0"/>
                <w:color w:val="auto"/>
                <w:w w:val="100"/>
                <w:kern w:val="2"/>
                <w:sz w:val="24"/>
                <w:szCs w:val="24"/>
                <w:highlight w:val="none"/>
                <w:lang w:val="en-US" w:eastAsia="zh-CN" w:bidi="ar-SA"/>
              </w:rPr>
            </w:pPr>
            <w:r>
              <w:rPr>
                <w:rFonts w:hint="eastAsia" w:ascii="Times New Roman" w:hAnsi="Times New Roman" w:eastAsia="宋体" w:cs="Times New Roman"/>
                <w:b w:val="0"/>
                <w:bCs w:val="0"/>
                <w:color w:val="auto"/>
                <w:w w:val="100"/>
                <w:kern w:val="2"/>
                <w:sz w:val="24"/>
                <w:szCs w:val="24"/>
                <w:highlight w:val="none"/>
                <w:lang w:val="en-US" w:eastAsia="zh-CN" w:bidi="ar-SA"/>
              </w:rPr>
              <w:t>经现场核查与资料梳理，现有工程未发现存在主要环境问题，现有环保措施均满足相关要求，无需另行制定整改措施。</w:t>
            </w:r>
          </w:p>
          <w:p w14:paraId="3DB6D84D">
            <w:pPr>
              <w:shd w:val="clear"/>
              <w:rPr>
                <w:rFonts w:hint="default"/>
                <w:color w:val="auto"/>
                <w:lang w:val="en-US" w:eastAsia="zh-CN"/>
              </w:rPr>
            </w:pPr>
          </w:p>
          <w:p w14:paraId="5029839C">
            <w:pPr>
              <w:shd w:val="clear"/>
              <w:rPr>
                <w:rFonts w:hint="default"/>
                <w:color w:val="auto"/>
                <w:lang w:val="en-US" w:eastAsia="zh-CN"/>
              </w:rPr>
            </w:pPr>
          </w:p>
          <w:p w14:paraId="0F443133">
            <w:pPr>
              <w:pStyle w:val="15"/>
              <w:shd w:val="clear"/>
              <w:rPr>
                <w:rFonts w:hint="default"/>
                <w:color w:val="auto"/>
                <w:lang w:val="en-US" w:eastAsia="zh-CN"/>
              </w:rPr>
            </w:pPr>
          </w:p>
          <w:p w14:paraId="2BD71FA9">
            <w:pPr>
              <w:shd w:val="clear"/>
              <w:ind w:left="0" w:leftChars="0" w:firstLine="0" w:firstLineChars="0"/>
              <w:rPr>
                <w:rFonts w:hint="default"/>
                <w:color w:val="auto"/>
                <w:lang w:val="en-US" w:eastAsia="zh-CN"/>
              </w:rPr>
            </w:pPr>
          </w:p>
        </w:tc>
      </w:tr>
    </w:tbl>
    <w:p w14:paraId="63295557">
      <w:pPr>
        <w:shd w:val="clear"/>
        <w:rPr>
          <w:rFonts w:hint="default" w:ascii="Times New Roman" w:hAnsi="Times New Roman" w:cs="Times New Roman"/>
          <w:color w:val="auto"/>
          <w:highlight w:val="none"/>
        </w:rPr>
        <w:sectPr>
          <w:pgSz w:w="11906" w:h="16838"/>
          <w:pgMar w:top="1440" w:right="1191" w:bottom="132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highlight w:val="none"/>
        </w:rPr>
        <w:br w:type="page"/>
      </w:r>
    </w:p>
    <w:p w14:paraId="24503B0C">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32"/>
        <w:tblW w:w="914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0"/>
        <w:gridCol w:w="8346"/>
      </w:tblGrid>
      <w:tr w14:paraId="5ECE3A3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370" w:hRule="atLeast"/>
          <w:jc w:val="center"/>
        </w:trPr>
        <w:tc>
          <w:tcPr>
            <w:tcW w:w="800" w:type="dxa"/>
            <w:tcBorders>
              <w:tl2br w:val="nil"/>
              <w:tr2bl w:val="nil"/>
            </w:tcBorders>
            <w:noWrap w:val="0"/>
            <w:vAlign w:val="center"/>
          </w:tcPr>
          <w:p w14:paraId="1E0A01F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区域</w:t>
            </w:r>
          </w:p>
          <w:p w14:paraId="6641586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w:t>
            </w:r>
          </w:p>
          <w:p w14:paraId="1A1FAE7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质量</w:t>
            </w:r>
          </w:p>
          <w:p w14:paraId="40AB9A5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现状</w:t>
            </w:r>
          </w:p>
        </w:tc>
        <w:tc>
          <w:tcPr>
            <w:tcW w:w="8346" w:type="dxa"/>
            <w:tcBorders>
              <w:tl2br w:val="nil"/>
              <w:tr2bl w:val="nil"/>
            </w:tcBorders>
            <w:noWrap w:val="0"/>
            <w:vAlign w:val="center"/>
          </w:tcPr>
          <w:p w14:paraId="2201F6A9">
            <w:pPr>
              <w:keepNext w:val="0"/>
              <w:keepLines w:val="0"/>
              <w:pageBreakBefore w:val="0"/>
              <w:widowControl w:val="0"/>
              <w:numPr>
                <w:ilvl w:val="0"/>
                <w:numId w:val="12"/>
              </w:numPr>
              <w:shd w:val="clear"/>
              <w:kinsoku/>
              <w:wordWrap/>
              <w:overflowPunct/>
              <w:topLinePunct w:val="0"/>
              <w:autoSpaceDE/>
              <w:autoSpaceDN/>
              <w:bidi w:val="0"/>
              <w:adjustRightInd/>
              <w:snapToGrid/>
              <w:ind w:firstLine="482" w:firstLineChars="200"/>
              <w:jc w:val="left"/>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环境空气</w:t>
            </w:r>
          </w:p>
          <w:p w14:paraId="62AA5C7F">
            <w:pPr>
              <w:keepNext w:val="0"/>
              <w:keepLines w:val="0"/>
              <w:pageBreakBefore w:val="0"/>
              <w:widowControl w:val="0"/>
              <w:shd w:val="clear"/>
              <w:kinsoku/>
              <w:wordWrap/>
              <w:overflowPunct/>
              <w:topLinePunct w:val="0"/>
              <w:autoSpaceDE/>
              <w:autoSpaceDN/>
              <w:bidi w:val="0"/>
              <w:adjustRightInd w:val="0"/>
              <w:snapToGrid w:val="0"/>
              <w:spacing w:line="480" w:lineRule="exact"/>
              <w:ind w:firstLine="480" w:firstLineChars="200"/>
              <w:textAlignment w:val="auto"/>
              <w:rPr>
                <w:rFonts w:hint="eastAsia" w:eastAsia="宋体"/>
                <w:color w:val="auto"/>
                <w:sz w:val="24"/>
                <w:szCs w:val="24"/>
                <w:lang w:eastAsia="zh-CN"/>
              </w:rPr>
            </w:pPr>
            <w:r>
              <w:rPr>
                <w:rFonts w:hint="eastAsia"/>
                <w:color w:val="auto"/>
                <w:sz w:val="24"/>
                <w:szCs w:val="24"/>
              </w:rPr>
              <w:t>⑴</w:t>
            </w:r>
            <w:r>
              <w:rPr>
                <w:rFonts w:hint="eastAsia"/>
                <w:color w:val="auto"/>
                <w:sz w:val="24"/>
                <w:szCs w:val="24"/>
                <w:lang w:eastAsia="zh-CN"/>
              </w:rPr>
              <w:t>项目所在区域环境质量达标情况</w:t>
            </w:r>
          </w:p>
          <w:p w14:paraId="143F1FB5">
            <w:pPr>
              <w:keepNext w:val="0"/>
              <w:keepLines w:val="0"/>
              <w:pageBreakBefore w:val="0"/>
              <w:widowControl w:val="0"/>
              <w:shd w:val="clear"/>
              <w:kinsoku/>
              <w:wordWrap/>
              <w:overflowPunct/>
              <w:topLinePunct w:val="0"/>
              <w:autoSpaceDE/>
              <w:autoSpaceDN/>
              <w:bidi w:val="0"/>
              <w:adjustRightInd w:val="0"/>
              <w:snapToGrid w:val="0"/>
              <w:spacing w:line="480" w:lineRule="exact"/>
              <w:ind w:firstLine="480" w:firstLineChars="200"/>
              <w:textAlignment w:val="auto"/>
              <w:rPr>
                <w:color w:val="auto"/>
                <w:sz w:val="24"/>
                <w:szCs w:val="24"/>
              </w:rPr>
            </w:pPr>
            <w:r>
              <w:rPr>
                <w:color w:val="auto"/>
                <w:sz w:val="24"/>
                <w:szCs w:val="24"/>
              </w:rPr>
              <w:t>根据</w:t>
            </w:r>
            <w:r>
              <w:rPr>
                <w:rFonts w:hint="eastAsia"/>
                <w:color w:val="auto"/>
                <w:sz w:val="24"/>
                <w:szCs w:val="24"/>
              </w:rPr>
              <w:t>202</w:t>
            </w:r>
            <w:r>
              <w:rPr>
                <w:rFonts w:hint="eastAsia"/>
                <w:color w:val="auto"/>
                <w:sz w:val="24"/>
                <w:szCs w:val="24"/>
                <w:lang w:val="en-US" w:eastAsia="zh-CN"/>
              </w:rPr>
              <w:t>5</w:t>
            </w:r>
            <w:r>
              <w:rPr>
                <w:rFonts w:hint="eastAsia"/>
                <w:color w:val="auto"/>
                <w:sz w:val="24"/>
                <w:szCs w:val="24"/>
              </w:rPr>
              <w:t>年5月</w:t>
            </w:r>
            <w:r>
              <w:rPr>
                <w:color w:val="auto"/>
                <w:sz w:val="24"/>
                <w:szCs w:val="24"/>
              </w:rPr>
              <w:t>唐山市生态环境局发布的《202</w:t>
            </w:r>
            <w:r>
              <w:rPr>
                <w:rFonts w:hint="eastAsia"/>
                <w:color w:val="auto"/>
                <w:sz w:val="24"/>
                <w:szCs w:val="24"/>
                <w:lang w:val="en-US" w:eastAsia="zh-CN"/>
              </w:rPr>
              <w:t>4</w:t>
            </w:r>
            <w:r>
              <w:rPr>
                <w:color w:val="auto"/>
                <w:sz w:val="24"/>
                <w:szCs w:val="24"/>
              </w:rPr>
              <w:t>年唐山市</w:t>
            </w:r>
            <w:r>
              <w:rPr>
                <w:rFonts w:hint="eastAsia"/>
                <w:color w:val="auto"/>
                <w:sz w:val="24"/>
                <w:szCs w:val="24"/>
                <w:lang w:eastAsia="zh-CN"/>
              </w:rPr>
              <w:t>生态</w:t>
            </w:r>
            <w:r>
              <w:rPr>
                <w:color w:val="auto"/>
                <w:sz w:val="24"/>
                <w:szCs w:val="24"/>
              </w:rPr>
              <w:t>环境状况公报》显示</w:t>
            </w:r>
            <w:r>
              <w:rPr>
                <w:rFonts w:hint="eastAsia"/>
                <w:color w:val="auto"/>
                <w:sz w:val="24"/>
                <w:szCs w:val="24"/>
              </w:rPr>
              <w:t>，</w:t>
            </w:r>
            <w:r>
              <w:rPr>
                <w:color w:val="auto"/>
                <w:sz w:val="24"/>
                <w:szCs w:val="24"/>
              </w:rPr>
              <w:t>202</w:t>
            </w:r>
            <w:r>
              <w:rPr>
                <w:rFonts w:hint="eastAsia"/>
                <w:color w:val="auto"/>
                <w:sz w:val="24"/>
                <w:szCs w:val="24"/>
                <w:lang w:val="en-US" w:eastAsia="zh-CN"/>
              </w:rPr>
              <w:t>4</w:t>
            </w:r>
            <w:r>
              <w:rPr>
                <w:color w:val="auto"/>
                <w:sz w:val="24"/>
                <w:szCs w:val="24"/>
              </w:rPr>
              <w:t>年全市优良天数2</w:t>
            </w:r>
            <w:r>
              <w:rPr>
                <w:rFonts w:hint="eastAsia"/>
                <w:color w:val="auto"/>
                <w:sz w:val="24"/>
                <w:szCs w:val="24"/>
                <w:lang w:val="en-US" w:eastAsia="zh-CN"/>
              </w:rPr>
              <w:t>77</w:t>
            </w:r>
            <w:r>
              <w:rPr>
                <w:color w:val="auto"/>
                <w:sz w:val="24"/>
                <w:szCs w:val="24"/>
              </w:rPr>
              <w:t>天</w:t>
            </w:r>
            <w:r>
              <w:rPr>
                <w:rFonts w:hint="eastAsia"/>
                <w:color w:val="auto"/>
                <w:sz w:val="24"/>
                <w:szCs w:val="24"/>
              </w:rPr>
              <w:t>，</w:t>
            </w:r>
            <w:r>
              <w:rPr>
                <w:color w:val="auto"/>
                <w:sz w:val="24"/>
                <w:szCs w:val="24"/>
              </w:rPr>
              <w:t>重度污染以上天数</w:t>
            </w:r>
            <w:r>
              <w:rPr>
                <w:rFonts w:hint="eastAsia"/>
                <w:color w:val="auto"/>
                <w:sz w:val="24"/>
                <w:szCs w:val="24"/>
                <w:lang w:val="en-US" w:eastAsia="zh-CN"/>
              </w:rPr>
              <w:t>2</w:t>
            </w:r>
            <w:r>
              <w:rPr>
                <w:color w:val="auto"/>
                <w:sz w:val="24"/>
                <w:szCs w:val="24"/>
              </w:rPr>
              <w:t>天</w:t>
            </w:r>
            <w:r>
              <w:rPr>
                <w:rFonts w:hint="eastAsia"/>
                <w:color w:val="auto"/>
                <w:sz w:val="24"/>
                <w:szCs w:val="24"/>
              </w:rPr>
              <w:t>，</w:t>
            </w:r>
            <w:r>
              <w:rPr>
                <w:color w:val="auto"/>
                <w:sz w:val="24"/>
                <w:szCs w:val="24"/>
              </w:rPr>
              <w:t>优良天数比例为</w:t>
            </w:r>
            <w:r>
              <w:rPr>
                <w:rFonts w:hint="eastAsia"/>
                <w:color w:val="auto"/>
                <w:sz w:val="24"/>
                <w:szCs w:val="24"/>
                <w:lang w:val="en-US" w:eastAsia="zh-CN"/>
              </w:rPr>
              <w:t>75.7</w:t>
            </w:r>
            <w:r>
              <w:rPr>
                <w:color w:val="auto"/>
                <w:sz w:val="24"/>
                <w:szCs w:val="24"/>
              </w:rPr>
              <w:t>%。202</w:t>
            </w:r>
            <w:r>
              <w:rPr>
                <w:rFonts w:hint="eastAsia"/>
                <w:color w:val="auto"/>
                <w:sz w:val="24"/>
                <w:szCs w:val="24"/>
                <w:lang w:val="en-US" w:eastAsia="zh-CN"/>
              </w:rPr>
              <w:t>4</w:t>
            </w:r>
            <w:r>
              <w:rPr>
                <w:rFonts w:hint="eastAsia"/>
                <w:color w:val="auto"/>
                <w:sz w:val="24"/>
                <w:szCs w:val="24"/>
              </w:rPr>
              <w:t>年</w:t>
            </w:r>
            <w:r>
              <w:rPr>
                <w:color w:val="auto"/>
                <w:sz w:val="24"/>
                <w:szCs w:val="24"/>
              </w:rPr>
              <w:t>全市空气质量综合指数4</w:t>
            </w:r>
            <w:r>
              <w:rPr>
                <w:rFonts w:hint="eastAsia"/>
                <w:color w:val="auto"/>
                <w:sz w:val="24"/>
                <w:szCs w:val="24"/>
                <w:lang w:val="en-US" w:eastAsia="zh-CN"/>
              </w:rPr>
              <w:t>.26</w:t>
            </w:r>
            <w:r>
              <w:rPr>
                <w:color w:val="auto"/>
                <w:sz w:val="24"/>
                <w:szCs w:val="24"/>
              </w:rPr>
              <w:t xml:space="preserve">。 </w:t>
            </w:r>
          </w:p>
          <w:p w14:paraId="61C0413B">
            <w:pPr>
              <w:keepNext w:val="0"/>
              <w:keepLines w:val="0"/>
              <w:pageBreakBefore w:val="0"/>
              <w:widowControl w:val="0"/>
              <w:shd w:val="clear"/>
              <w:kinsoku/>
              <w:wordWrap/>
              <w:overflowPunct/>
              <w:topLinePunct w:val="0"/>
              <w:autoSpaceDE/>
              <w:autoSpaceDN/>
              <w:bidi w:val="0"/>
              <w:adjustRightInd w:val="0"/>
              <w:snapToGrid w:val="0"/>
              <w:spacing w:line="480" w:lineRule="exact"/>
              <w:ind w:firstLine="480" w:firstLineChars="200"/>
              <w:textAlignment w:val="auto"/>
              <w:rPr>
                <w:color w:val="auto"/>
                <w:sz w:val="24"/>
                <w:szCs w:val="24"/>
              </w:rPr>
            </w:pPr>
            <w:r>
              <w:rPr>
                <w:rFonts w:hint="eastAsia"/>
                <w:color w:val="auto"/>
                <w:sz w:val="24"/>
                <w:szCs w:val="24"/>
              </w:rPr>
              <w:t>202</w:t>
            </w:r>
            <w:r>
              <w:rPr>
                <w:rFonts w:hint="eastAsia"/>
                <w:color w:val="auto"/>
                <w:sz w:val="24"/>
                <w:szCs w:val="24"/>
                <w:lang w:val="en-US" w:eastAsia="zh-CN"/>
              </w:rPr>
              <w:t>4</w:t>
            </w:r>
            <w:r>
              <w:rPr>
                <w:rFonts w:hint="eastAsia"/>
                <w:color w:val="auto"/>
                <w:sz w:val="24"/>
                <w:szCs w:val="24"/>
              </w:rPr>
              <w:t>年，</w:t>
            </w:r>
            <w:r>
              <w:rPr>
                <w:color w:val="auto"/>
                <w:sz w:val="24"/>
                <w:szCs w:val="24"/>
              </w:rPr>
              <w:t>全市细颗粒物（PM</w:t>
            </w:r>
            <w:r>
              <w:rPr>
                <w:color w:val="auto"/>
                <w:sz w:val="24"/>
                <w:szCs w:val="24"/>
                <w:vertAlign w:val="subscript"/>
              </w:rPr>
              <w:t>2.5</w:t>
            </w:r>
            <w:r>
              <w:rPr>
                <w:color w:val="auto"/>
                <w:sz w:val="24"/>
                <w:szCs w:val="24"/>
              </w:rPr>
              <w:t>）年均浓度为</w:t>
            </w:r>
            <w:r>
              <w:rPr>
                <w:rFonts w:hint="eastAsia"/>
                <w:color w:val="auto"/>
                <w:sz w:val="24"/>
                <w:szCs w:val="24"/>
                <w:lang w:val="en-US" w:eastAsia="zh-CN"/>
              </w:rPr>
              <w:t>37</w:t>
            </w:r>
            <w:r>
              <w:rPr>
                <w:color w:val="auto"/>
                <w:sz w:val="24"/>
                <w:szCs w:val="24"/>
              </w:rPr>
              <w:t>μg/m</w:t>
            </w:r>
            <w:r>
              <w:rPr>
                <w:color w:val="auto"/>
                <w:sz w:val="24"/>
                <w:szCs w:val="24"/>
                <w:vertAlign w:val="superscript"/>
              </w:rPr>
              <w:t>3</w:t>
            </w:r>
            <w:r>
              <w:rPr>
                <w:rFonts w:hint="eastAsia"/>
                <w:color w:val="auto"/>
                <w:sz w:val="24"/>
                <w:szCs w:val="24"/>
              </w:rPr>
              <w:t>，</w:t>
            </w:r>
            <w:r>
              <w:rPr>
                <w:color w:val="auto"/>
                <w:sz w:val="24"/>
                <w:szCs w:val="24"/>
              </w:rPr>
              <w:t>可吸入颗粒物（PM</w:t>
            </w:r>
            <w:r>
              <w:rPr>
                <w:color w:val="auto"/>
                <w:sz w:val="24"/>
                <w:szCs w:val="24"/>
                <w:vertAlign w:val="subscript"/>
              </w:rPr>
              <w:t>10</w:t>
            </w:r>
            <w:r>
              <w:rPr>
                <w:color w:val="auto"/>
                <w:sz w:val="24"/>
                <w:szCs w:val="24"/>
              </w:rPr>
              <w:t>）年均浓度为</w:t>
            </w:r>
            <w:r>
              <w:rPr>
                <w:rFonts w:hint="eastAsia"/>
                <w:color w:val="auto"/>
                <w:sz w:val="24"/>
                <w:szCs w:val="24"/>
                <w:lang w:val="en-US" w:eastAsia="zh-CN"/>
              </w:rPr>
              <w:t>68</w:t>
            </w:r>
            <w:r>
              <w:rPr>
                <w:color w:val="auto"/>
                <w:sz w:val="24"/>
                <w:szCs w:val="24"/>
              </w:rPr>
              <w:t>μg/m</w:t>
            </w:r>
            <w:r>
              <w:rPr>
                <w:color w:val="auto"/>
                <w:sz w:val="24"/>
                <w:szCs w:val="24"/>
                <w:vertAlign w:val="superscript"/>
              </w:rPr>
              <w:t>3</w:t>
            </w:r>
            <w:r>
              <w:rPr>
                <w:rFonts w:hint="eastAsia"/>
                <w:color w:val="auto"/>
                <w:sz w:val="24"/>
                <w:szCs w:val="24"/>
              </w:rPr>
              <w:t>，</w:t>
            </w:r>
            <w:r>
              <w:rPr>
                <w:color w:val="auto"/>
                <w:sz w:val="24"/>
                <w:szCs w:val="24"/>
              </w:rPr>
              <w:t>二氧化硫（SO</w:t>
            </w:r>
            <w:r>
              <w:rPr>
                <w:color w:val="auto"/>
                <w:sz w:val="24"/>
                <w:szCs w:val="24"/>
                <w:vertAlign w:val="subscript"/>
              </w:rPr>
              <w:t>2</w:t>
            </w:r>
            <w:r>
              <w:rPr>
                <w:color w:val="auto"/>
                <w:sz w:val="24"/>
                <w:szCs w:val="24"/>
              </w:rPr>
              <w:t>）年均浓度为</w:t>
            </w:r>
            <w:r>
              <w:rPr>
                <w:rFonts w:hint="eastAsia"/>
                <w:color w:val="auto"/>
                <w:sz w:val="24"/>
                <w:szCs w:val="24"/>
              </w:rPr>
              <w:t>7</w:t>
            </w:r>
            <w:r>
              <w:rPr>
                <w:color w:val="auto"/>
                <w:sz w:val="24"/>
                <w:szCs w:val="24"/>
              </w:rPr>
              <w:t>μg/m</w:t>
            </w:r>
            <w:r>
              <w:rPr>
                <w:color w:val="auto"/>
                <w:sz w:val="24"/>
                <w:szCs w:val="24"/>
                <w:vertAlign w:val="superscript"/>
              </w:rPr>
              <w:t>3</w:t>
            </w:r>
            <w:r>
              <w:rPr>
                <w:rFonts w:hint="eastAsia"/>
                <w:color w:val="auto"/>
                <w:sz w:val="24"/>
                <w:szCs w:val="24"/>
              </w:rPr>
              <w:t>，</w:t>
            </w:r>
            <w:r>
              <w:rPr>
                <w:color w:val="auto"/>
                <w:sz w:val="24"/>
                <w:szCs w:val="24"/>
              </w:rPr>
              <w:t>二氧化氮（NO</w:t>
            </w:r>
            <w:r>
              <w:rPr>
                <w:color w:val="auto"/>
                <w:sz w:val="24"/>
                <w:szCs w:val="24"/>
                <w:vertAlign w:val="subscript"/>
              </w:rPr>
              <w:t>2</w:t>
            </w:r>
            <w:r>
              <w:rPr>
                <w:color w:val="auto"/>
                <w:sz w:val="24"/>
                <w:szCs w:val="24"/>
              </w:rPr>
              <w:t>）年均浓度为</w:t>
            </w:r>
            <w:r>
              <w:rPr>
                <w:rFonts w:hint="eastAsia"/>
                <w:color w:val="auto"/>
                <w:sz w:val="24"/>
                <w:szCs w:val="24"/>
                <w:lang w:val="en-US" w:eastAsia="zh-CN"/>
              </w:rPr>
              <w:t>27</w:t>
            </w:r>
            <w:r>
              <w:rPr>
                <w:color w:val="auto"/>
                <w:sz w:val="24"/>
                <w:szCs w:val="24"/>
              </w:rPr>
              <w:t>μg/m</w:t>
            </w:r>
            <w:r>
              <w:rPr>
                <w:color w:val="auto"/>
                <w:sz w:val="24"/>
                <w:szCs w:val="24"/>
                <w:vertAlign w:val="superscript"/>
              </w:rPr>
              <w:t>3</w:t>
            </w:r>
            <w:r>
              <w:rPr>
                <w:rFonts w:hint="eastAsia"/>
                <w:color w:val="auto"/>
                <w:sz w:val="24"/>
                <w:szCs w:val="24"/>
              </w:rPr>
              <w:t>，</w:t>
            </w:r>
            <w:r>
              <w:rPr>
                <w:color w:val="auto"/>
                <w:sz w:val="24"/>
                <w:szCs w:val="24"/>
              </w:rPr>
              <w:t>一氧化碳（CO）日均值第95百分位浓度平均为</w:t>
            </w:r>
            <w:r>
              <w:rPr>
                <w:rFonts w:hint="eastAsia"/>
                <w:color w:val="auto"/>
                <w:sz w:val="24"/>
                <w:szCs w:val="24"/>
                <w:lang w:val="en-US" w:eastAsia="zh-CN"/>
              </w:rPr>
              <w:t>1.3</w:t>
            </w:r>
            <w:r>
              <w:rPr>
                <w:color w:val="auto"/>
                <w:sz w:val="24"/>
                <w:szCs w:val="24"/>
              </w:rPr>
              <w:t>mg/m</w:t>
            </w:r>
            <w:r>
              <w:rPr>
                <w:color w:val="auto"/>
                <w:sz w:val="24"/>
                <w:szCs w:val="24"/>
                <w:vertAlign w:val="superscript"/>
              </w:rPr>
              <w:t>3</w:t>
            </w:r>
            <w:r>
              <w:rPr>
                <w:rFonts w:hint="eastAsia"/>
                <w:color w:val="auto"/>
                <w:sz w:val="24"/>
                <w:szCs w:val="24"/>
              </w:rPr>
              <w:t>，</w:t>
            </w:r>
            <w:r>
              <w:rPr>
                <w:color w:val="auto"/>
                <w:sz w:val="24"/>
                <w:szCs w:val="24"/>
              </w:rPr>
              <w:t>臭氧（O</w:t>
            </w:r>
            <w:r>
              <w:rPr>
                <w:color w:val="auto"/>
                <w:sz w:val="24"/>
                <w:szCs w:val="24"/>
                <w:vertAlign w:val="subscript"/>
              </w:rPr>
              <w:t>3</w:t>
            </w:r>
            <w:r>
              <w:rPr>
                <w:color w:val="auto"/>
                <w:sz w:val="24"/>
                <w:szCs w:val="24"/>
              </w:rPr>
              <w:t>）日最大8小时平均第90百分位浓度平均为</w:t>
            </w:r>
            <w:r>
              <w:rPr>
                <w:rFonts w:hint="eastAsia"/>
                <w:color w:val="auto"/>
                <w:sz w:val="24"/>
                <w:szCs w:val="24"/>
                <w:lang w:val="en-US" w:eastAsia="zh-CN"/>
              </w:rPr>
              <w:t>178</w:t>
            </w:r>
            <w:r>
              <w:rPr>
                <w:color w:val="auto"/>
                <w:sz w:val="24"/>
                <w:szCs w:val="24"/>
              </w:rPr>
              <w:t>μg/m</w:t>
            </w:r>
            <w:r>
              <w:rPr>
                <w:color w:val="auto"/>
                <w:sz w:val="24"/>
                <w:szCs w:val="24"/>
                <w:vertAlign w:val="superscript"/>
              </w:rPr>
              <w:t>3</w:t>
            </w:r>
            <w:r>
              <w:rPr>
                <w:color w:val="auto"/>
                <w:sz w:val="24"/>
                <w:szCs w:val="24"/>
              </w:rPr>
              <w:t>。具体情况见下表。</w:t>
            </w:r>
          </w:p>
          <w:p w14:paraId="02A9141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20</w:t>
            </w:r>
            <w:r>
              <w:rPr>
                <w:rFonts w:hint="eastAsia" w:ascii="Times New Roman" w:hAnsi="Times New Roman" w:eastAsia="宋体" w:cs="Times New Roman"/>
                <w:b/>
                <w:bCs/>
                <w:color w:val="auto"/>
                <w:spacing w:val="0"/>
                <w:sz w:val="21"/>
                <w:szCs w:val="21"/>
                <w:highlight w:val="none"/>
                <w:lang w:val="en-US" w:eastAsia="zh-CN"/>
              </w:rPr>
              <w:t>24</w:t>
            </w:r>
            <w:r>
              <w:rPr>
                <w:rFonts w:hint="default" w:ascii="Times New Roman" w:hAnsi="Times New Roman" w:eastAsia="宋体" w:cs="Times New Roman"/>
                <w:b/>
                <w:bCs/>
                <w:color w:val="auto"/>
                <w:spacing w:val="0"/>
                <w:sz w:val="21"/>
                <w:szCs w:val="21"/>
                <w:highlight w:val="none"/>
                <w:lang w:val="en-US" w:eastAsia="zh-CN"/>
              </w:rPr>
              <w:t>年</w:t>
            </w:r>
            <w:r>
              <w:rPr>
                <w:rFonts w:hint="eastAsia" w:ascii="Times New Roman" w:hAnsi="Times New Roman" w:eastAsia="宋体" w:cs="Times New Roman"/>
                <w:b/>
                <w:bCs/>
                <w:color w:val="auto"/>
                <w:spacing w:val="0"/>
                <w:sz w:val="21"/>
                <w:szCs w:val="21"/>
                <w:highlight w:val="none"/>
                <w:lang w:val="en-US" w:eastAsia="zh-CN"/>
              </w:rPr>
              <w:t>区域</w:t>
            </w:r>
            <w:r>
              <w:rPr>
                <w:rFonts w:hint="default" w:ascii="Times New Roman" w:hAnsi="Times New Roman" w:eastAsia="宋体" w:cs="Times New Roman"/>
                <w:b/>
                <w:bCs/>
                <w:color w:val="auto"/>
                <w:spacing w:val="0"/>
                <w:sz w:val="21"/>
                <w:szCs w:val="21"/>
                <w:highlight w:val="none"/>
                <w:lang w:val="en-US" w:eastAsia="zh-CN"/>
              </w:rPr>
              <w:t>环境空气质量年均浓度值情况表</w:t>
            </w:r>
            <w:r>
              <w:rPr>
                <w:rFonts w:hint="eastAsia" w:ascii="Times New Roman" w:hAnsi="Times New Roman" w:eastAsia="宋体" w:cs="Times New Roman"/>
                <w:b/>
                <w:bCs/>
                <w:color w:val="auto"/>
                <w:spacing w:val="0"/>
                <w:sz w:val="21"/>
                <w:szCs w:val="21"/>
                <w:highlight w:val="none"/>
                <w:lang w:val="en-US" w:eastAsia="zh-CN"/>
              </w:rPr>
              <w:t xml:space="preserve"> </w:t>
            </w:r>
            <w:r>
              <w:rPr>
                <w:rFonts w:hint="default" w:ascii="Times New Roman" w:hAnsi="Times New Roman" w:eastAsia="宋体" w:cs="Times New Roman"/>
                <w:b/>
                <w:bCs/>
                <w:color w:val="auto"/>
                <w:spacing w:val="0"/>
                <w:sz w:val="21"/>
                <w:szCs w:val="21"/>
                <w:highlight w:val="none"/>
                <w:lang w:val="en-US" w:eastAsia="zh-CN"/>
              </w:rPr>
              <w:t>（单位：μg /m</w:t>
            </w:r>
            <w:r>
              <w:rPr>
                <w:rFonts w:hint="default" w:ascii="Times New Roman" w:hAnsi="Times New Roman" w:eastAsia="宋体" w:cs="Times New Roman"/>
                <w:b/>
                <w:bCs/>
                <w:color w:val="auto"/>
                <w:spacing w:val="0"/>
                <w:sz w:val="21"/>
                <w:szCs w:val="21"/>
                <w:highlight w:val="none"/>
                <w:vertAlign w:val="superscript"/>
                <w:lang w:val="en-US" w:eastAsia="zh-CN"/>
              </w:rPr>
              <w:t>3</w:t>
            </w:r>
            <w:r>
              <w:rPr>
                <w:rFonts w:hint="default" w:ascii="Times New Roman" w:hAnsi="Times New Roman" w:eastAsia="宋体" w:cs="Times New Roman"/>
                <w:b/>
                <w:bCs/>
                <w:color w:val="auto"/>
                <w:spacing w:val="0"/>
                <w:sz w:val="21"/>
                <w:szCs w:val="21"/>
                <w:highlight w:val="none"/>
                <w:lang w:val="en-US" w:eastAsia="zh-CN"/>
              </w:rPr>
              <w:t>,CO为mg/m</w:t>
            </w:r>
            <w:r>
              <w:rPr>
                <w:rFonts w:hint="default" w:ascii="Times New Roman" w:hAnsi="Times New Roman" w:eastAsia="宋体" w:cs="Times New Roman"/>
                <w:b/>
                <w:bCs/>
                <w:color w:val="auto"/>
                <w:spacing w:val="0"/>
                <w:sz w:val="21"/>
                <w:szCs w:val="21"/>
                <w:highlight w:val="none"/>
                <w:vertAlign w:val="superscript"/>
                <w:lang w:val="en-US" w:eastAsia="zh-CN"/>
              </w:rPr>
              <w:t>3</w:t>
            </w:r>
            <w:r>
              <w:rPr>
                <w:rFonts w:hint="eastAsia" w:ascii="Times New Roman" w:hAnsi="Times New Roman" w:eastAsia="宋体" w:cs="Times New Roman"/>
                <w:b/>
                <w:bCs/>
                <w:color w:val="auto"/>
                <w:spacing w:val="0"/>
                <w:sz w:val="21"/>
                <w:szCs w:val="21"/>
                <w:highlight w:val="none"/>
                <w:lang w:val="en-US" w:eastAsia="zh-CN"/>
              </w:rPr>
              <w:t>）</w:t>
            </w:r>
          </w:p>
          <w:tbl>
            <w:tblPr>
              <w:tblStyle w:val="32"/>
              <w:tblW w:w="4787"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546"/>
              <w:gridCol w:w="685"/>
              <w:gridCol w:w="722"/>
              <w:gridCol w:w="837"/>
              <w:gridCol w:w="694"/>
              <w:gridCol w:w="1511"/>
              <w:gridCol w:w="1761"/>
            </w:tblGrid>
            <w:tr w14:paraId="2407ABC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803" w:hRule="atLeast"/>
                <w:tblHeader/>
                <w:jc w:val="center"/>
              </w:trPr>
              <w:tc>
                <w:tcPr>
                  <w:tcW w:w="996" w:type="pct"/>
                  <w:tcBorders>
                    <w:tl2br w:val="nil"/>
                    <w:tr2bl w:val="nil"/>
                  </w:tcBorders>
                  <w:noWrap w:val="0"/>
                  <w:vAlign w:val="center"/>
                </w:tcPr>
                <w:p w14:paraId="498C0D6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指标</w:t>
                  </w:r>
                </w:p>
              </w:tc>
              <w:tc>
                <w:tcPr>
                  <w:tcW w:w="441" w:type="pct"/>
                  <w:tcBorders>
                    <w:tl2br w:val="nil"/>
                    <w:tr2bl w:val="nil"/>
                  </w:tcBorders>
                  <w:noWrap w:val="0"/>
                  <w:vAlign w:val="center"/>
                </w:tcPr>
                <w:p w14:paraId="2D59578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SO</w:t>
                  </w:r>
                  <w:r>
                    <w:rPr>
                      <w:color w:val="auto"/>
                      <w:sz w:val="21"/>
                      <w:szCs w:val="21"/>
                      <w:vertAlign w:val="subscript"/>
                    </w:rPr>
                    <w:t>2</w:t>
                  </w:r>
                </w:p>
              </w:tc>
              <w:tc>
                <w:tcPr>
                  <w:tcW w:w="465" w:type="pct"/>
                  <w:tcBorders>
                    <w:tl2br w:val="nil"/>
                    <w:tr2bl w:val="nil"/>
                  </w:tcBorders>
                  <w:noWrap w:val="0"/>
                  <w:vAlign w:val="center"/>
                </w:tcPr>
                <w:p w14:paraId="027BEA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NO</w:t>
                  </w:r>
                  <w:r>
                    <w:rPr>
                      <w:color w:val="auto"/>
                      <w:sz w:val="21"/>
                      <w:szCs w:val="21"/>
                      <w:vertAlign w:val="subscript"/>
                    </w:rPr>
                    <w:t>2</w:t>
                  </w:r>
                </w:p>
              </w:tc>
              <w:tc>
                <w:tcPr>
                  <w:tcW w:w="539" w:type="pct"/>
                  <w:tcBorders>
                    <w:tl2br w:val="nil"/>
                    <w:tr2bl w:val="nil"/>
                  </w:tcBorders>
                  <w:noWrap w:val="0"/>
                  <w:vAlign w:val="center"/>
                </w:tcPr>
                <w:p w14:paraId="051613B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PM</w:t>
                  </w:r>
                  <w:r>
                    <w:rPr>
                      <w:color w:val="auto"/>
                      <w:sz w:val="21"/>
                      <w:szCs w:val="21"/>
                      <w:vertAlign w:val="subscript"/>
                    </w:rPr>
                    <w:t>10</w:t>
                  </w:r>
                </w:p>
              </w:tc>
              <w:tc>
                <w:tcPr>
                  <w:tcW w:w="447" w:type="pct"/>
                  <w:tcBorders>
                    <w:tl2br w:val="nil"/>
                    <w:tr2bl w:val="nil"/>
                  </w:tcBorders>
                  <w:noWrap w:val="0"/>
                  <w:vAlign w:val="center"/>
                </w:tcPr>
                <w:p w14:paraId="4FE167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PM</w:t>
                  </w:r>
                  <w:r>
                    <w:rPr>
                      <w:color w:val="auto"/>
                      <w:sz w:val="21"/>
                      <w:szCs w:val="21"/>
                      <w:vertAlign w:val="subscript"/>
                    </w:rPr>
                    <w:t>2.5</w:t>
                  </w:r>
                </w:p>
              </w:tc>
              <w:tc>
                <w:tcPr>
                  <w:tcW w:w="974" w:type="pct"/>
                  <w:tcBorders>
                    <w:tl2br w:val="nil"/>
                    <w:tr2bl w:val="nil"/>
                  </w:tcBorders>
                  <w:noWrap w:val="0"/>
                  <w:vAlign w:val="center"/>
                </w:tcPr>
                <w:p w14:paraId="4F44972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CO</w:t>
                  </w:r>
                  <w:r>
                    <w:rPr>
                      <w:rFonts w:hint="eastAsia"/>
                      <w:color w:val="auto"/>
                      <w:sz w:val="21"/>
                      <w:szCs w:val="21"/>
                    </w:rPr>
                    <w:t>（日均值第95百分位浓度平均）</w:t>
                  </w:r>
                </w:p>
              </w:tc>
              <w:tc>
                <w:tcPr>
                  <w:tcW w:w="1135" w:type="pct"/>
                  <w:tcBorders>
                    <w:tl2br w:val="nil"/>
                    <w:tr2bl w:val="nil"/>
                  </w:tcBorders>
                  <w:noWrap w:val="0"/>
                  <w:vAlign w:val="center"/>
                </w:tcPr>
                <w:p w14:paraId="36F439F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O</w:t>
                  </w:r>
                  <w:r>
                    <w:rPr>
                      <w:color w:val="auto"/>
                      <w:sz w:val="21"/>
                      <w:szCs w:val="21"/>
                      <w:vertAlign w:val="subscript"/>
                    </w:rPr>
                    <w:t>3</w:t>
                  </w:r>
                  <w:r>
                    <w:rPr>
                      <w:rFonts w:hint="eastAsia"/>
                      <w:color w:val="auto"/>
                      <w:sz w:val="21"/>
                      <w:szCs w:val="21"/>
                    </w:rPr>
                    <w:t>（日最大8小时平均第90百分位浓度）</w:t>
                  </w:r>
                </w:p>
              </w:tc>
            </w:tr>
            <w:tr w14:paraId="2113755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6" w:hRule="atLeast"/>
                <w:tblHeader/>
                <w:jc w:val="center"/>
              </w:trPr>
              <w:tc>
                <w:tcPr>
                  <w:tcW w:w="996" w:type="pct"/>
                  <w:tcBorders>
                    <w:tl2br w:val="nil"/>
                    <w:tr2bl w:val="nil"/>
                  </w:tcBorders>
                  <w:noWrap w:val="0"/>
                  <w:vAlign w:val="center"/>
                </w:tcPr>
                <w:p w14:paraId="14126C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202</w:t>
                  </w:r>
                  <w:r>
                    <w:rPr>
                      <w:rFonts w:hint="eastAsia"/>
                      <w:color w:val="auto"/>
                      <w:sz w:val="21"/>
                      <w:szCs w:val="21"/>
                      <w:lang w:val="en-US" w:eastAsia="zh-CN"/>
                    </w:rPr>
                    <w:t>4</w:t>
                  </w:r>
                  <w:r>
                    <w:rPr>
                      <w:color w:val="auto"/>
                      <w:sz w:val="21"/>
                      <w:szCs w:val="21"/>
                    </w:rPr>
                    <w:t>平均值</w:t>
                  </w:r>
                </w:p>
              </w:tc>
              <w:tc>
                <w:tcPr>
                  <w:tcW w:w="441" w:type="pct"/>
                  <w:tcBorders>
                    <w:tl2br w:val="nil"/>
                    <w:tr2bl w:val="nil"/>
                  </w:tcBorders>
                  <w:noWrap w:val="0"/>
                  <w:vAlign w:val="center"/>
                </w:tcPr>
                <w:p w14:paraId="7D1C866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rPr>
                  </w:pPr>
                  <w:r>
                    <w:rPr>
                      <w:rFonts w:hint="eastAsia"/>
                      <w:color w:val="auto"/>
                      <w:sz w:val="21"/>
                      <w:szCs w:val="21"/>
                    </w:rPr>
                    <w:t>7</w:t>
                  </w:r>
                </w:p>
              </w:tc>
              <w:tc>
                <w:tcPr>
                  <w:tcW w:w="465" w:type="pct"/>
                  <w:tcBorders>
                    <w:tl2br w:val="nil"/>
                    <w:tr2bl w:val="nil"/>
                  </w:tcBorders>
                  <w:noWrap w:val="0"/>
                  <w:vAlign w:val="center"/>
                </w:tcPr>
                <w:p w14:paraId="5C58840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27</w:t>
                  </w:r>
                </w:p>
              </w:tc>
              <w:tc>
                <w:tcPr>
                  <w:tcW w:w="539" w:type="pct"/>
                  <w:tcBorders>
                    <w:tl2br w:val="nil"/>
                    <w:tr2bl w:val="nil"/>
                  </w:tcBorders>
                  <w:noWrap w:val="0"/>
                  <w:vAlign w:val="center"/>
                </w:tcPr>
                <w:p w14:paraId="10273D2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68</w:t>
                  </w:r>
                </w:p>
              </w:tc>
              <w:tc>
                <w:tcPr>
                  <w:tcW w:w="447" w:type="pct"/>
                  <w:tcBorders>
                    <w:tl2br w:val="nil"/>
                    <w:tr2bl w:val="nil"/>
                  </w:tcBorders>
                  <w:noWrap w:val="0"/>
                  <w:vAlign w:val="center"/>
                </w:tcPr>
                <w:p w14:paraId="318001D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37</w:t>
                  </w:r>
                </w:p>
              </w:tc>
              <w:tc>
                <w:tcPr>
                  <w:tcW w:w="974" w:type="pct"/>
                  <w:tcBorders>
                    <w:tl2br w:val="nil"/>
                    <w:tr2bl w:val="nil"/>
                  </w:tcBorders>
                  <w:noWrap w:val="0"/>
                  <w:vAlign w:val="center"/>
                </w:tcPr>
                <w:p w14:paraId="430E762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1.3</w:t>
                  </w:r>
                </w:p>
              </w:tc>
              <w:tc>
                <w:tcPr>
                  <w:tcW w:w="1135" w:type="pct"/>
                  <w:tcBorders>
                    <w:tl2br w:val="nil"/>
                    <w:tr2bl w:val="nil"/>
                  </w:tcBorders>
                  <w:noWrap w:val="0"/>
                  <w:vAlign w:val="center"/>
                </w:tcPr>
                <w:p w14:paraId="38D9C0C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178</w:t>
                  </w:r>
                </w:p>
              </w:tc>
            </w:tr>
            <w:tr w14:paraId="2CDEE7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6" w:hRule="atLeast"/>
                <w:tblHeader/>
                <w:jc w:val="center"/>
              </w:trPr>
              <w:tc>
                <w:tcPr>
                  <w:tcW w:w="996" w:type="pct"/>
                  <w:tcBorders>
                    <w:tl2br w:val="nil"/>
                    <w:tr2bl w:val="nil"/>
                  </w:tcBorders>
                  <w:noWrap w:val="0"/>
                  <w:vAlign w:val="center"/>
                </w:tcPr>
                <w:p w14:paraId="045167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年均值标准</w:t>
                  </w:r>
                </w:p>
              </w:tc>
              <w:tc>
                <w:tcPr>
                  <w:tcW w:w="441" w:type="pct"/>
                  <w:tcBorders>
                    <w:tl2br w:val="nil"/>
                    <w:tr2bl w:val="nil"/>
                  </w:tcBorders>
                  <w:noWrap w:val="0"/>
                  <w:vAlign w:val="center"/>
                </w:tcPr>
                <w:p w14:paraId="1F84AE3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60</w:t>
                  </w:r>
                </w:p>
              </w:tc>
              <w:tc>
                <w:tcPr>
                  <w:tcW w:w="465" w:type="pct"/>
                  <w:tcBorders>
                    <w:tl2br w:val="nil"/>
                    <w:tr2bl w:val="nil"/>
                  </w:tcBorders>
                  <w:noWrap w:val="0"/>
                  <w:vAlign w:val="center"/>
                </w:tcPr>
                <w:p w14:paraId="4B1454B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40</w:t>
                  </w:r>
                </w:p>
              </w:tc>
              <w:tc>
                <w:tcPr>
                  <w:tcW w:w="539" w:type="pct"/>
                  <w:tcBorders>
                    <w:tl2br w:val="nil"/>
                    <w:tr2bl w:val="nil"/>
                  </w:tcBorders>
                  <w:noWrap w:val="0"/>
                  <w:vAlign w:val="center"/>
                </w:tcPr>
                <w:p w14:paraId="0719CC3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rPr>
                  </w:pPr>
                  <w:r>
                    <w:rPr>
                      <w:rFonts w:hint="eastAsia"/>
                      <w:color w:val="auto"/>
                      <w:sz w:val="21"/>
                      <w:szCs w:val="21"/>
                      <w:highlight w:val="none"/>
                      <w:lang w:val="en-US" w:eastAsia="zh-CN"/>
                    </w:rPr>
                    <w:t>60</w:t>
                  </w:r>
                </w:p>
              </w:tc>
              <w:tc>
                <w:tcPr>
                  <w:tcW w:w="447" w:type="pct"/>
                  <w:tcBorders>
                    <w:tl2br w:val="nil"/>
                    <w:tr2bl w:val="nil"/>
                  </w:tcBorders>
                  <w:noWrap w:val="0"/>
                  <w:vAlign w:val="center"/>
                </w:tcPr>
                <w:p w14:paraId="6C99662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eastAsia="宋体"/>
                      <w:color w:val="auto"/>
                      <w:sz w:val="21"/>
                      <w:szCs w:val="21"/>
                      <w:highlight w:val="none"/>
                      <w:lang w:val="en-US" w:eastAsia="zh-CN"/>
                    </w:rPr>
                  </w:pPr>
                  <w:r>
                    <w:rPr>
                      <w:color w:val="auto"/>
                      <w:sz w:val="21"/>
                      <w:szCs w:val="21"/>
                      <w:highlight w:val="none"/>
                    </w:rPr>
                    <w:t>3</w:t>
                  </w:r>
                  <w:r>
                    <w:rPr>
                      <w:rFonts w:hint="eastAsia"/>
                      <w:color w:val="auto"/>
                      <w:sz w:val="21"/>
                      <w:szCs w:val="21"/>
                      <w:highlight w:val="none"/>
                      <w:lang w:val="en-US" w:eastAsia="zh-CN"/>
                    </w:rPr>
                    <w:t>0</w:t>
                  </w:r>
                </w:p>
              </w:tc>
              <w:tc>
                <w:tcPr>
                  <w:tcW w:w="974" w:type="pct"/>
                  <w:tcBorders>
                    <w:tl2br w:val="nil"/>
                    <w:tr2bl w:val="nil"/>
                  </w:tcBorders>
                  <w:noWrap w:val="0"/>
                  <w:vAlign w:val="center"/>
                </w:tcPr>
                <w:p w14:paraId="28BCC8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1135" w:type="pct"/>
                  <w:tcBorders>
                    <w:tl2br w:val="nil"/>
                    <w:tr2bl w:val="nil"/>
                  </w:tcBorders>
                  <w:noWrap w:val="0"/>
                  <w:vAlign w:val="center"/>
                </w:tcPr>
                <w:p w14:paraId="47F0634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r>
            <w:tr w14:paraId="7B75064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6" w:hRule="atLeast"/>
                <w:tblHeader/>
                <w:jc w:val="center"/>
              </w:trPr>
              <w:tc>
                <w:tcPr>
                  <w:tcW w:w="996" w:type="pct"/>
                  <w:tcBorders>
                    <w:tl2br w:val="nil"/>
                    <w:tr2bl w:val="nil"/>
                  </w:tcBorders>
                  <w:noWrap w:val="0"/>
                  <w:vAlign w:val="center"/>
                </w:tcPr>
                <w:p w14:paraId="7CB5518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达标情况</w:t>
                  </w:r>
                </w:p>
              </w:tc>
              <w:tc>
                <w:tcPr>
                  <w:tcW w:w="441" w:type="pct"/>
                  <w:tcBorders>
                    <w:tl2br w:val="nil"/>
                    <w:tr2bl w:val="nil"/>
                  </w:tcBorders>
                  <w:noWrap w:val="0"/>
                  <w:vAlign w:val="center"/>
                </w:tcPr>
                <w:p w14:paraId="5C0CD91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达标</w:t>
                  </w:r>
                </w:p>
              </w:tc>
              <w:tc>
                <w:tcPr>
                  <w:tcW w:w="465" w:type="pct"/>
                  <w:tcBorders>
                    <w:tl2br w:val="nil"/>
                    <w:tr2bl w:val="nil"/>
                  </w:tcBorders>
                  <w:noWrap w:val="0"/>
                  <w:vAlign w:val="center"/>
                </w:tcPr>
                <w:p w14:paraId="55F6C63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达标</w:t>
                  </w:r>
                </w:p>
              </w:tc>
              <w:tc>
                <w:tcPr>
                  <w:tcW w:w="539" w:type="pct"/>
                  <w:tcBorders>
                    <w:tl2br w:val="nil"/>
                    <w:tr2bl w:val="nil"/>
                  </w:tcBorders>
                  <w:noWrap w:val="0"/>
                  <w:vAlign w:val="center"/>
                </w:tcPr>
                <w:p w14:paraId="6B77C05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超标</w:t>
                  </w:r>
                </w:p>
              </w:tc>
              <w:tc>
                <w:tcPr>
                  <w:tcW w:w="447" w:type="pct"/>
                  <w:tcBorders>
                    <w:tl2br w:val="nil"/>
                    <w:tr2bl w:val="nil"/>
                  </w:tcBorders>
                  <w:noWrap w:val="0"/>
                  <w:vAlign w:val="center"/>
                </w:tcPr>
                <w:p w14:paraId="435EA1B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超标</w:t>
                  </w:r>
                </w:p>
              </w:tc>
              <w:tc>
                <w:tcPr>
                  <w:tcW w:w="974" w:type="pct"/>
                  <w:tcBorders>
                    <w:tl2br w:val="nil"/>
                    <w:tr2bl w:val="nil"/>
                  </w:tcBorders>
                  <w:noWrap w:val="0"/>
                  <w:vAlign w:val="center"/>
                </w:tcPr>
                <w:p w14:paraId="315EB97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1135" w:type="pct"/>
                  <w:tcBorders>
                    <w:tl2br w:val="nil"/>
                    <w:tr2bl w:val="nil"/>
                  </w:tcBorders>
                  <w:noWrap w:val="0"/>
                  <w:vAlign w:val="center"/>
                </w:tcPr>
                <w:p w14:paraId="5A5FEA1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r>
            <w:tr w14:paraId="360024C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6" w:hRule="atLeast"/>
                <w:tblHeader/>
                <w:jc w:val="center"/>
              </w:trPr>
              <w:tc>
                <w:tcPr>
                  <w:tcW w:w="996" w:type="pct"/>
                  <w:tcBorders>
                    <w:tl2br w:val="nil"/>
                    <w:tr2bl w:val="nil"/>
                  </w:tcBorders>
                  <w:noWrap w:val="0"/>
                  <w:vAlign w:val="center"/>
                </w:tcPr>
                <w:p w14:paraId="791B082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超标百分数</w:t>
                  </w:r>
                </w:p>
              </w:tc>
              <w:tc>
                <w:tcPr>
                  <w:tcW w:w="441" w:type="pct"/>
                  <w:tcBorders>
                    <w:tl2br w:val="nil"/>
                    <w:tr2bl w:val="nil"/>
                  </w:tcBorders>
                  <w:noWrap w:val="0"/>
                  <w:vAlign w:val="center"/>
                </w:tcPr>
                <w:p w14:paraId="14C2331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465" w:type="pct"/>
                  <w:tcBorders>
                    <w:tl2br w:val="nil"/>
                    <w:tr2bl w:val="nil"/>
                  </w:tcBorders>
                  <w:noWrap w:val="0"/>
                  <w:vAlign w:val="center"/>
                </w:tcPr>
                <w:p w14:paraId="6713302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539" w:type="pct"/>
                  <w:tcBorders>
                    <w:tl2br w:val="nil"/>
                    <w:tr2bl w:val="nil"/>
                  </w:tcBorders>
                  <w:noWrap w:val="0"/>
                  <w:vAlign w:val="center"/>
                </w:tcPr>
                <w:p w14:paraId="2D6E48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13.3%</w:t>
                  </w:r>
                </w:p>
              </w:tc>
              <w:tc>
                <w:tcPr>
                  <w:tcW w:w="447" w:type="pct"/>
                  <w:tcBorders>
                    <w:tl2br w:val="nil"/>
                    <w:tr2bl w:val="nil"/>
                  </w:tcBorders>
                  <w:noWrap w:val="0"/>
                  <w:vAlign w:val="center"/>
                </w:tcPr>
                <w:p w14:paraId="643367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rFonts w:hint="eastAsia"/>
                      <w:color w:val="auto"/>
                      <w:sz w:val="21"/>
                      <w:szCs w:val="21"/>
                      <w:lang w:val="en-US" w:eastAsia="zh-CN"/>
                    </w:rPr>
                    <w:t>23.3</w:t>
                  </w:r>
                  <w:r>
                    <w:rPr>
                      <w:color w:val="auto"/>
                      <w:sz w:val="21"/>
                      <w:szCs w:val="21"/>
                    </w:rPr>
                    <w:t>%</w:t>
                  </w:r>
                </w:p>
              </w:tc>
              <w:tc>
                <w:tcPr>
                  <w:tcW w:w="974" w:type="pct"/>
                  <w:tcBorders>
                    <w:tl2br w:val="nil"/>
                    <w:tr2bl w:val="nil"/>
                  </w:tcBorders>
                  <w:noWrap w:val="0"/>
                  <w:vAlign w:val="center"/>
                </w:tcPr>
                <w:p w14:paraId="18E55F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1135" w:type="pct"/>
                  <w:tcBorders>
                    <w:tl2br w:val="nil"/>
                    <w:tr2bl w:val="nil"/>
                  </w:tcBorders>
                  <w:noWrap w:val="0"/>
                  <w:vAlign w:val="center"/>
                </w:tcPr>
                <w:p w14:paraId="0448135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r>
            <w:tr w14:paraId="7D4FABC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6" w:hRule="atLeast"/>
                <w:tblHeader/>
                <w:jc w:val="center"/>
              </w:trPr>
              <w:tc>
                <w:tcPr>
                  <w:tcW w:w="996" w:type="pct"/>
                  <w:tcBorders>
                    <w:tl2br w:val="nil"/>
                    <w:tr2bl w:val="nil"/>
                  </w:tcBorders>
                  <w:noWrap w:val="0"/>
                  <w:vAlign w:val="center"/>
                </w:tcPr>
                <w:p w14:paraId="393812B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日均值标准</w:t>
                  </w:r>
                </w:p>
              </w:tc>
              <w:tc>
                <w:tcPr>
                  <w:tcW w:w="441" w:type="pct"/>
                  <w:tcBorders>
                    <w:tl2br w:val="nil"/>
                    <w:tr2bl w:val="nil"/>
                  </w:tcBorders>
                  <w:noWrap w:val="0"/>
                  <w:vAlign w:val="center"/>
                </w:tcPr>
                <w:p w14:paraId="1B43186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150</w:t>
                  </w:r>
                </w:p>
              </w:tc>
              <w:tc>
                <w:tcPr>
                  <w:tcW w:w="465" w:type="pct"/>
                  <w:tcBorders>
                    <w:tl2br w:val="nil"/>
                    <w:tr2bl w:val="nil"/>
                  </w:tcBorders>
                  <w:noWrap w:val="0"/>
                  <w:vAlign w:val="center"/>
                </w:tcPr>
                <w:p w14:paraId="44EC19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80</w:t>
                  </w:r>
                </w:p>
              </w:tc>
              <w:tc>
                <w:tcPr>
                  <w:tcW w:w="539" w:type="pct"/>
                  <w:tcBorders>
                    <w:tl2br w:val="nil"/>
                    <w:tr2bl w:val="nil"/>
                  </w:tcBorders>
                  <w:noWrap w:val="0"/>
                  <w:vAlign w:val="center"/>
                </w:tcPr>
                <w:p w14:paraId="3200232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150</w:t>
                  </w:r>
                </w:p>
              </w:tc>
              <w:tc>
                <w:tcPr>
                  <w:tcW w:w="447" w:type="pct"/>
                  <w:tcBorders>
                    <w:tl2br w:val="nil"/>
                    <w:tr2bl w:val="nil"/>
                  </w:tcBorders>
                  <w:noWrap w:val="0"/>
                  <w:vAlign w:val="center"/>
                </w:tcPr>
                <w:p w14:paraId="3DA7E6A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75</w:t>
                  </w:r>
                </w:p>
              </w:tc>
              <w:tc>
                <w:tcPr>
                  <w:tcW w:w="974" w:type="pct"/>
                  <w:tcBorders>
                    <w:tl2br w:val="nil"/>
                    <w:tr2bl w:val="nil"/>
                  </w:tcBorders>
                  <w:noWrap w:val="0"/>
                  <w:vAlign w:val="center"/>
                </w:tcPr>
                <w:p w14:paraId="24D7DE8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4</w:t>
                  </w:r>
                </w:p>
              </w:tc>
              <w:tc>
                <w:tcPr>
                  <w:tcW w:w="1135" w:type="pct"/>
                  <w:tcBorders>
                    <w:tl2br w:val="nil"/>
                    <w:tr2bl w:val="nil"/>
                  </w:tcBorders>
                  <w:noWrap w:val="0"/>
                  <w:vAlign w:val="center"/>
                </w:tcPr>
                <w:p w14:paraId="095DD0D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160</w:t>
                  </w:r>
                </w:p>
              </w:tc>
            </w:tr>
            <w:tr w14:paraId="4C9E4F3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6" w:hRule="atLeast"/>
                <w:tblHeader/>
                <w:jc w:val="center"/>
              </w:trPr>
              <w:tc>
                <w:tcPr>
                  <w:tcW w:w="996" w:type="pct"/>
                  <w:tcBorders>
                    <w:tl2br w:val="nil"/>
                    <w:tr2bl w:val="nil"/>
                  </w:tcBorders>
                  <w:noWrap w:val="0"/>
                  <w:vAlign w:val="center"/>
                </w:tcPr>
                <w:p w14:paraId="2FC198A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达标情况</w:t>
                  </w:r>
                </w:p>
              </w:tc>
              <w:tc>
                <w:tcPr>
                  <w:tcW w:w="441" w:type="pct"/>
                  <w:tcBorders>
                    <w:tl2br w:val="nil"/>
                    <w:tr2bl w:val="nil"/>
                  </w:tcBorders>
                  <w:noWrap w:val="0"/>
                  <w:vAlign w:val="center"/>
                </w:tcPr>
                <w:p w14:paraId="15320BB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465" w:type="pct"/>
                  <w:tcBorders>
                    <w:tl2br w:val="nil"/>
                    <w:tr2bl w:val="nil"/>
                  </w:tcBorders>
                  <w:noWrap w:val="0"/>
                  <w:vAlign w:val="center"/>
                </w:tcPr>
                <w:p w14:paraId="6FA256D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539" w:type="pct"/>
                  <w:tcBorders>
                    <w:tl2br w:val="nil"/>
                    <w:tr2bl w:val="nil"/>
                  </w:tcBorders>
                  <w:noWrap w:val="0"/>
                  <w:vAlign w:val="center"/>
                </w:tcPr>
                <w:p w14:paraId="4EBA97F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447" w:type="pct"/>
                  <w:tcBorders>
                    <w:tl2br w:val="nil"/>
                    <w:tr2bl w:val="nil"/>
                  </w:tcBorders>
                  <w:noWrap w:val="0"/>
                  <w:vAlign w:val="center"/>
                </w:tcPr>
                <w:p w14:paraId="4514E8A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974" w:type="pct"/>
                  <w:tcBorders>
                    <w:tl2br w:val="nil"/>
                    <w:tr2bl w:val="nil"/>
                  </w:tcBorders>
                  <w:noWrap w:val="0"/>
                  <w:vAlign w:val="center"/>
                </w:tcPr>
                <w:p w14:paraId="425AA9B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达标</w:t>
                  </w:r>
                </w:p>
              </w:tc>
              <w:tc>
                <w:tcPr>
                  <w:tcW w:w="1135" w:type="pct"/>
                  <w:tcBorders>
                    <w:tl2br w:val="nil"/>
                    <w:tr2bl w:val="nil"/>
                  </w:tcBorders>
                  <w:noWrap w:val="0"/>
                  <w:vAlign w:val="center"/>
                </w:tcPr>
                <w:p w14:paraId="5DB4394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超标</w:t>
                  </w:r>
                </w:p>
              </w:tc>
            </w:tr>
            <w:tr w14:paraId="6FA79F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412" w:hRule="atLeast"/>
                <w:tblHeader/>
                <w:jc w:val="center"/>
              </w:trPr>
              <w:tc>
                <w:tcPr>
                  <w:tcW w:w="996" w:type="pct"/>
                  <w:tcBorders>
                    <w:tl2br w:val="nil"/>
                    <w:tr2bl w:val="nil"/>
                  </w:tcBorders>
                  <w:noWrap w:val="0"/>
                  <w:vAlign w:val="center"/>
                </w:tcPr>
                <w:p w14:paraId="6454866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超标百分数</w:t>
                  </w:r>
                </w:p>
              </w:tc>
              <w:tc>
                <w:tcPr>
                  <w:tcW w:w="441" w:type="pct"/>
                  <w:tcBorders>
                    <w:tl2br w:val="nil"/>
                    <w:tr2bl w:val="nil"/>
                  </w:tcBorders>
                  <w:noWrap w:val="0"/>
                  <w:vAlign w:val="center"/>
                </w:tcPr>
                <w:p w14:paraId="0DB9F6F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465" w:type="pct"/>
                  <w:tcBorders>
                    <w:tl2br w:val="nil"/>
                    <w:tr2bl w:val="nil"/>
                  </w:tcBorders>
                  <w:noWrap w:val="0"/>
                  <w:vAlign w:val="center"/>
                </w:tcPr>
                <w:p w14:paraId="7E8A9F7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539" w:type="pct"/>
                  <w:tcBorders>
                    <w:tl2br w:val="nil"/>
                    <w:tr2bl w:val="nil"/>
                  </w:tcBorders>
                  <w:noWrap w:val="0"/>
                  <w:vAlign w:val="center"/>
                </w:tcPr>
                <w:p w14:paraId="2D9A13B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447" w:type="pct"/>
                  <w:tcBorders>
                    <w:tl2br w:val="nil"/>
                    <w:tr2bl w:val="nil"/>
                  </w:tcBorders>
                  <w:noWrap w:val="0"/>
                  <w:vAlign w:val="center"/>
                </w:tcPr>
                <w:p w14:paraId="53A3FB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974" w:type="pct"/>
                  <w:tcBorders>
                    <w:tl2br w:val="nil"/>
                    <w:tr2bl w:val="nil"/>
                  </w:tcBorders>
                  <w:noWrap w:val="0"/>
                  <w:vAlign w:val="center"/>
                </w:tcPr>
                <w:p w14:paraId="4978198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color w:val="auto"/>
                      <w:sz w:val="21"/>
                      <w:szCs w:val="21"/>
                    </w:rPr>
                    <w:t>—</w:t>
                  </w:r>
                </w:p>
              </w:tc>
              <w:tc>
                <w:tcPr>
                  <w:tcW w:w="1135" w:type="pct"/>
                  <w:tcBorders>
                    <w:tl2br w:val="nil"/>
                    <w:tr2bl w:val="nil"/>
                  </w:tcBorders>
                  <w:noWrap w:val="0"/>
                  <w:vAlign w:val="center"/>
                </w:tcPr>
                <w:p w14:paraId="331CEDD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color w:val="auto"/>
                      <w:sz w:val="21"/>
                      <w:szCs w:val="21"/>
                    </w:rPr>
                  </w:pPr>
                  <w:r>
                    <w:rPr>
                      <w:rFonts w:hint="eastAsia"/>
                      <w:color w:val="auto"/>
                      <w:sz w:val="21"/>
                      <w:szCs w:val="21"/>
                    </w:rPr>
                    <w:t>1</w:t>
                  </w:r>
                  <w:r>
                    <w:rPr>
                      <w:rFonts w:hint="eastAsia"/>
                      <w:color w:val="auto"/>
                      <w:sz w:val="21"/>
                      <w:szCs w:val="21"/>
                      <w:lang w:val="en-US" w:eastAsia="zh-CN"/>
                    </w:rPr>
                    <w:t>1.3</w:t>
                  </w:r>
                  <w:r>
                    <w:rPr>
                      <w:color w:val="auto"/>
                      <w:sz w:val="21"/>
                      <w:szCs w:val="21"/>
                    </w:rPr>
                    <w:t>%</w:t>
                  </w:r>
                </w:p>
              </w:tc>
            </w:tr>
          </w:tbl>
          <w:p w14:paraId="39D8D9BF">
            <w:pPr>
              <w:pStyle w:val="11"/>
              <w:shd w:val="clear"/>
              <w:rPr>
                <w:color w:val="auto"/>
                <w:sz w:val="24"/>
                <w:szCs w:val="24"/>
              </w:rPr>
            </w:pPr>
            <w:r>
              <w:rPr>
                <w:color w:val="auto"/>
                <w:sz w:val="24"/>
                <w:szCs w:val="24"/>
              </w:rPr>
              <w:t>由上表可知</w:t>
            </w:r>
            <w:r>
              <w:rPr>
                <w:rFonts w:hint="eastAsia"/>
                <w:color w:val="auto"/>
                <w:sz w:val="24"/>
                <w:szCs w:val="24"/>
              </w:rPr>
              <w:t>，</w:t>
            </w:r>
            <w:r>
              <w:rPr>
                <w:color w:val="auto"/>
                <w:sz w:val="24"/>
                <w:szCs w:val="24"/>
              </w:rPr>
              <w:t>SO</w:t>
            </w:r>
            <w:r>
              <w:rPr>
                <w:color w:val="auto"/>
                <w:sz w:val="24"/>
                <w:szCs w:val="24"/>
                <w:vertAlign w:val="subscript"/>
              </w:rPr>
              <w:t>2</w:t>
            </w:r>
            <w:r>
              <w:rPr>
                <w:rFonts w:hint="eastAsia"/>
                <w:color w:val="auto"/>
                <w:sz w:val="24"/>
                <w:szCs w:val="24"/>
              </w:rPr>
              <w:t>、</w:t>
            </w:r>
            <w:r>
              <w:rPr>
                <w:color w:val="auto"/>
                <w:sz w:val="24"/>
                <w:szCs w:val="24"/>
              </w:rPr>
              <w:t>NO</w:t>
            </w:r>
            <w:r>
              <w:rPr>
                <w:color w:val="auto"/>
                <w:sz w:val="24"/>
                <w:szCs w:val="24"/>
                <w:vertAlign w:val="subscript"/>
              </w:rPr>
              <w:t>2</w:t>
            </w:r>
            <w:r>
              <w:rPr>
                <w:color w:val="auto"/>
                <w:sz w:val="24"/>
                <w:szCs w:val="24"/>
              </w:rPr>
              <w:t>的年平均质量浓度、CO的</w:t>
            </w:r>
            <w:r>
              <w:rPr>
                <w:rFonts w:hint="eastAsia"/>
                <w:color w:val="auto"/>
                <w:sz w:val="24"/>
                <w:szCs w:val="24"/>
              </w:rPr>
              <w:t>日均值第95百分位</w:t>
            </w:r>
            <w:r>
              <w:rPr>
                <w:color w:val="auto"/>
                <w:sz w:val="24"/>
                <w:szCs w:val="24"/>
              </w:rPr>
              <w:t>平均浓度满足</w:t>
            </w:r>
            <w:r>
              <w:rPr>
                <w:rFonts w:hint="eastAsia"/>
                <w:color w:val="auto"/>
                <w:sz w:val="24"/>
                <w:szCs w:val="24"/>
                <w:lang w:eastAsia="zh-CN"/>
              </w:rPr>
              <w:t>《环境空气质量标准》（GB3095-2026）</w:t>
            </w:r>
            <w:r>
              <w:rPr>
                <w:color w:val="auto"/>
                <w:spacing w:val="4"/>
                <w:kern w:val="0"/>
                <w:sz w:val="24"/>
                <w:highlight w:val="none"/>
              </w:rPr>
              <w:t>中</w:t>
            </w:r>
            <w:r>
              <w:rPr>
                <w:rFonts w:hint="eastAsia"/>
                <w:color w:val="auto"/>
                <w:lang w:eastAsia="zh-CN"/>
              </w:rPr>
              <w:t>过渡阶段</w:t>
            </w:r>
            <w:r>
              <w:rPr>
                <w:color w:val="auto"/>
                <w:spacing w:val="4"/>
                <w:kern w:val="0"/>
                <w:sz w:val="24"/>
                <w:highlight w:val="none"/>
              </w:rPr>
              <w:t>二级标准要求</w:t>
            </w:r>
            <w:r>
              <w:rPr>
                <w:color w:val="auto"/>
                <w:sz w:val="24"/>
                <w:szCs w:val="24"/>
              </w:rPr>
              <w:t>；PM</w:t>
            </w:r>
            <w:r>
              <w:rPr>
                <w:color w:val="auto"/>
                <w:sz w:val="24"/>
                <w:szCs w:val="24"/>
                <w:vertAlign w:val="subscript"/>
              </w:rPr>
              <w:t>2.5</w:t>
            </w:r>
            <w:r>
              <w:rPr>
                <w:rFonts w:hint="eastAsia"/>
                <w:color w:val="auto"/>
                <w:sz w:val="24"/>
                <w:szCs w:val="24"/>
              </w:rPr>
              <w:t>、PM</w:t>
            </w:r>
            <w:r>
              <w:rPr>
                <w:rFonts w:hint="eastAsia"/>
                <w:color w:val="auto"/>
                <w:sz w:val="24"/>
                <w:szCs w:val="24"/>
                <w:vertAlign w:val="subscript"/>
              </w:rPr>
              <w:t>10</w:t>
            </w:r>
            <w:r>
              <w:rPr>
                <w:color w:val="auto"/>
                <w:sz w:val="24"/>
                <w:szCs w:val="24"/>
              </w:rPr>
              <w:t>的年平均质量浓度和O</w:t>
            </w:r>
            <w:r>
              <w:rPr>
                <w:color w:val="auto"/>
                <w:sz w:val="24"/>
                <w:szCs w:val="24"/>
                <w:vertAlign w:val="subscript"/>
              </w:rPr>
              <w:t>3</w:t>
            </w:r>
            <w:r>
              <w:rPr>
                <w:color w:val="auto"/>
                <w:sz w:val="24"/>
                <w:szCs w:val="24"/>
              </w:rPr>
              <w:t>的</w:t>
            </w:r>
            <w:r>
              <w:rPr>
                <w:rFonts w:hint="eastAsia"/>
                <w:color w:val="auto"/>
                <w:sz w:val="24"/>
                <w:szCs w:val="24"/>
              </w:rPr>
              <w:t>日最大8小时平均第90百分位</w:t>
            </w:r>
            <w:r>
              <w:rPr>
                <w:color w:val="auto"/>
                <w:sz w:val="24"/>
                <w:szCs w:val="24"/>
              </w:rPr>
              <w:t>平均浓度不满足</w:t>
            </w:r>
            <w:r>
              <w:rPr>
                <w:rFonts w:hint="eastAsia"/>
                <w:color w:val="auto"/>
                <w:sz w:val="24"/>
                <w:szCs w:val="24"/>
                <w:lang w:eastAsia="zh-CN"/>
              </w:rPr>
              <w:t>《环境空气质量标准》（GB3095-2026）</w:t>
            </w:r>
            <w:r>
              <w:rPr>
                <w:color w:val="auto"/>
                <w:spacing w:val="4"/>
                <w:kern w:val="0"/>
                <w:sz w:val="24"/>
                <w:highlight w:val="none"/>
              </w:rPr>
              <w:t>中</w:t>
            </w:r>
            <w:r>
              <w:rPr>
                <w:rFonts w:hint="eastAsia"/>
                <w:color w:val="auto"/>
                <w:lang w:eastAsia="zh-CN"/>
              </w:rPr>
              <w:t>过渡阶段</w:t>
            </w:r>
            <w:r>
              <w:rPr>
                <w:color w:val="auto"/>
                <w:spacing w:val="4"/>
                <w:kern w:val="0"/>
                <w:sz w:val="24"/>
                <w:highlight w:val="none"/>
              </w:rPr>
              <w:t>二级标准要求</w:t>
            </w:r>
            <w:r>
              <w:rPr>
                <w:color w:val="auto"/>
                <w:sz w:val="24"/>
                <w:szCs w:val="24"/>
              </w:rPr>
              <w:t>，故项目所在区域环境空气质量不达标，属于不达标区。</w:t>
            </w:r>
          </w:p>
          <w:p w14:paraId="4131DEA4">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96" w:firstLineChars="200"/>
              <w:jc w:val="left"/>
              <w:textAlignment w:val="auto"/>
              <w:rPr>
                <w:rFonts w:hint="eastAsia" w:eastAsia="宋体"/>
                <w:color w:val="auto"/>
                <w:spacing w:val="4"/>
                <w:kern w:val="0"/>
                <w:sz w:val="24"/>
                <w:highlight w:val="none"/>
                <w:lang w:eastAsia="zh-CN"/>
              </w:rPr>
            </w:pPr>
            <w:r>
              <w:rPr>
                <w:rFonts w:hint="eastAsia"/>
                <w:color w:val="auto"/>
                <w:spacing w:val="4"/>
                <w:kern w:val="0"/>
                <w:sz w:val="24"/>
                <w:highlight w:val="none"/>
                <w:lang w:eastAsia="zh-CN"/>
              </w:rPr>
              <w:t>⑵项目所在区域污染物环境质量现状</w:t>
            </w:r>
          </w:p>
          <w:p w14:paraId="005CC65A">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96" w:firstLineChars="200"/>
              <w:jc w:val="left"/>
              <w:textAlignment w:val="auto"/>
              <w:rPr>
                <w:rFonts w:hint="eastAsia" w:eastAsia="宋体"/>
                <w:color w:val="auto"/>
                <w:spacing w:val="4"/>
                <w:kern w:val="0"/>
                <w:sz w:val="24"/>
                <w:highlight w:val="none"/>
                <w:lang w:eastAsia="zh-CN"/>
              </w:rPr>
            </w:pPr>
            <w:r>
              <w:rPr>
                <w:rFonts w:hint="eastAsia"/>
                <w:color w:val="auto"/>
                <w:spacing w:val="4"/>
                <w:kern w:val="0"/>
                <w:sz w:val="24"/>
                <w:highlight w:val="none"/>
                <w:lang w:eastAsia="zh-CN"/>
              </w:rPr>
              <w:t>①基本污染物环境质量现状评价</w:t>
            </w:r>
          </w:p>
          <w:p w14:paraId="2DF1019B">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96" w:firstLineChars="200"/>
              <w:jc w:val="left"/>
              <w:textAlignment w:val="auto"/>
              <w:rPr>
                <w:color w:val="auto"/>
                <w:spacing w:val="4"/>
                <w:kern w:val="0"/>
                <w:sz w:val="24"/>
                <w:highlight w:val="none"/>
              </w:rPr>
            </w:pPr>
            <w:r>
              <w:rPr>
                <w:color w:val="auto"/>
                <w:spacing w:val="4"/>
                <w:kern w:val="0"/>
                <w:sz w:val="24"/>
                <w:highlight w:val="none"/>
              </w:rPr>
              <w:t>本项目</w:t>
            </w:r>
            <w:r>
              <w:rPr>
                <w:rFonts w:hint="eastAsia"/>
                <w:color w:val="auto"/>
                <w:spacing w:val="4"/>
                <w:kern w:val="0"/>
                <w:sz w:val="24"/>
                <w:highlight w:val="none"/>
                <w:lang w:eastAsia="zh-CN"/>
              </w:rPr>
              <w:t>常规因子</w:t>
            </w:r>
            <w:r>
              <w:rPr>
                <w:color w:val="auto"/>
                <w:spacing w:val="4"/>
                <w:kern w:val="0"/>
                <w:sz w:val="24"/>
                <w:highlight w:val="none"/>
              </w:rPr>
              <w:t>PM</w:t>
            </w:r>
            <w:r>
              <w:rPr>
                <w:color w:val="auto"/>
                <w:spacing w:val="4"/>
                <w:kern w:val="0"/>
                <w:sz w:val="24"/>
                <w:highlight w:val="none"/>
                <w:vertAlign w:val="subscript"/>
              </w:rPr>
              <w:t>10</w:t>
            </w:r>
            <w:r>
              <w:rPr>
                <w:color w:val="auto"/>
                <w:spacing w:val="4"/>
                <w:kern w:val="0"/>
                <w:sz w:val="24"/>
                <w:highlight w:val="none"/>
              </w:rPr>
              <w:t>、PM</w:t>
            </w:r>
            <w:r>
              <w:rPr>
                <w:color w:val="auto"/>
                <w:spacing w:val="4"/>
                <w:kern w:val="0"/>
                <w:sz w:val="24"/>
                <w:highlight w:val="none"/>
                <w:vertAlign w:val="subscript"/>
              </w:rPr>
              <w:t>2.5</w:t>
            </w:r>
            <w:r>
              <w:rPr>
                <w:color w:val="auto"/>
                <w:spacing w:val="4"/>
                <w:kern w:val="0"/>
                <w:sz w:val="24"/>
                <w:highlight w:val="none"/>
              </w:rPr>
              <w:t>、SO</w:t>
            </w:r>
            <w:r>
              <w:rPr>
                <w:color w:val="auto"/>
                <w:spacing w:val="4"/>
                <w:kern w:val="0"/>
                <w:sz w:val="24"/>
                <w:highlight w:val="none"/>
                <w:vertAlign w:val="subscript"/>
              </w:rPr>
              <w:t>2</w:t>
            </w:r>
            <w:r>
              <w:rPr>
                <w:color w:val="auto"/>
                <w:spacing w:val="4"/>
                <w:kern w:val="0"/>
                <w:sz w:val="24"/>
                <w:highlight w:val="none"/>
              </w:rPr>
              <w:t>、NO</w:t>
            </w:r>
            <w:r>
              <w:rPr>
                <w:color w:val="auto"/>
                <w:spacing w:val="4"/>
                <w:kern w:val="0"/>
                <w:sz w:val="24"/>
                <w:highlight w:val="none"/>
                <w:vertAlign w:val="subscript"/>
              </w:rPr>
              <w:t>2</w:t>
            </w:r>
            <w:r>
              <w:rPr>
                <w:color w:val="auto"/>
                <w:spacing w:val="4"/>
                <w:kern w:val="0"/>
                <w:sz w:val="24"/>
                <w:highlight w:val="none"/>
              </w:rPr>
              <w:t>、CO、O</w:t>
            </w:r>
            <w:r>
              <w:rPr>
                <w:color w:val="auto"/>
                <w:spacing w:val="4"/>
                <w:kern w:val="0"/>
                <w:sz w:val="24"/>
                <w:highlight w:val="none"/>
                <w:vertAlign w:val="subscript"/>
              </w:rPr>
              <w:t>3</w:t>
            </w:r>
            <w:r>
              <w:rPr>
                <w:color w:val="auto"/>
                <w:spacing w:val="4"/>
                <w:kern w:val="0"/>
                <w:sz w:val="24"/>
                <w:highlight w:val="none"/>
              </w:rPr>
              <w:t>引用</w:t>
            </w:r>
            <w:r>
              <w:rPr>
                <w:color w:val="auto"/>
                <w:spacing w:val="6"/>
                <w:sz w:val="24"/>
                <w:highlight w:val="none"/>
              </w:rPr>
              <w:t>《202</w:t>
            </w:r>
            <w:r>
              <w:rPr>
                <w:rFonts w:hint="eastAsia"/>
                <w:color w:val="auto"/>
                <w:spacing w:val="6"/>
                <w:sz w:val="24"/>
                <w:highlight w:val="none"/>
                <w:lang w:val="en-US" w:eastAsia="zh-CN"/>
              </w:rPr>
              <w:t>4</w:t>
            </w:r>
            <w:r>
              <w:rPr>
                <w:color w:val="auto"/>
                <w:spacing w:val="6"/>
                <w:sz w:val="24"/>
                <w:highlight w:val="none"/>
              </w:rPr>
              <w:t>年唐山市</w:t>
            </w:r>
            <w:r>
              <w:rPr>
                <w:rFonts w:hint="eastAsia"/>
                <w:color w:val="auto"/>
                <w:spacing w:val="6"/>
                <w:sz w:val="24"/>
                <w:highlight w:val="none"/>
                <w:lang w:eastAsia="zh-CN"/>
              </w:rPr>
              <w:t>生态</w:t>
            </w:r>
            <w:r>
              <w:rPr>
                <w:color w:val="auto"/>
                <w:spacing w:val="6"/>
                <w:sz w:val="24"/>
                <w:highlight w:val="none"/>
              </w:rPr>
              <w:t>环境状况公报》</w:t>
            </w:r>
            <w:r>
              <w:rPr>
                <w:color w:val="auto"/>
                <w:spacing w:val="4"/>
                <w:kern w:val="0"/>
                <w:sz w:val="24"/>
                <w:highlight w:val="none"/>
              </w:rPr>
              <w:t>中</w:t>
            </w:r>
            <w:r>
              <w:rPr>
                <w:rFonts w:hint="eastAsia"/>
                <w:color w:val="auto"/>
                <w:spacing w:val="4"/>
                <w:kern w:val="0"/>
                <w:sz w:val="24"/>
                <w:highlight w:val="none"/>
                <w:lang w:eastAsia="zh-CN"/>
              </w:rPr>
              <w:t>滦州市环境空气质量数据</w:t>
            </w:r>
            <w:r>
              <w:rPr>
                <w:color w:val="auto"/>
                <w:spacing w:val="4"/>
                <w:kern w:val="0"/>
                <w:sz w:val="24"/>
                <w:highlight w:val="none"/>
              </w:rPr>
              <w:t>。监测数据如下：</w:t>
            </w:r>
          </w:p>
          <w:p w14:paraId="416B6E46">
            <w:pPr>
              <w:keepNext w:val="0"/>
              <w:keepLines w:val="0"/>
              <w:pageBreakBefore w:val="0"/>
              <w:widowControl w:val="0"/>
              <w:shd w:val="clear"/>
              <w:kinsoku/>
              <w:wordWrap/>
              <w:overflowPunct/>
              <w:topLinePunct w:val="0"/>
              <w:autoSpaceDE w:val="0"/>
              <w:autoSpaceDN w:val="0"/>
              <w:bidi w:val="0"/>
              <w:adjustRightInd w:val="0"/>
              <w:snapToGrid w:val="0"/>
              <w:spacing w:line="240" w:lineRule="atLeast"/>
              <w:ind w:firstLine="0" w:firstLineChars="0"/>
              <w:jc w:val="center"/>
              <w:textAlignment w:val="auto"/>
              <w:rPr>
                <w:rFonts w:hint="eastAsia" w:ascii="Times New Roman" w:hAnsi="Times New Roman" w:eastAsia="宋体" w:cs="Times New Roman"/>
                <w:b/>
                <w:bCs/>
                <w:color w:val="auto"/>
                <w:sz w:val="21"/>
                <w:szCs w:val="21"/>
              </w:rPr>
            </w:pPr>
          </w:p>
          <w:p w14:paraId="13D3E89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20</w:t>
            </w:r>
            <w:r>
              <w:rPr>
                <w:rFonts w:hint="eastAsia" w:ascii="Times New Roman" w:hAnsi="Times New Roman" w:eastAsia="宋体" w:cs="Times New Roman"/>
                <w:b/>
                <w:bCs/>
                <w:color w:val="auto"/>
                <w:spacing w:val="0"/>
                <w:sz w:val="21"/>
                <w:szCs w:val="21"/>
                <w:highlight w:val="none"/>
                <w:lang w:val="en-US" w:eastAsia="zh-CN"/>
              </w:rPr>
              <w:t>24</w:t>
            </w:r>
            <w:r>
              <w:rPr>
                <w:rFonts w:hint="default" w:ascii="Times New Roman" w:hAnsi="Times New Roman" w:eastAsia="宋体" w:cs="Times New Roman"/>
                <w:b/>
                <w:bCs/>
                <w:color w:val="auto"/>
                <w:spacing w:val="0"/>
                <w:sz w:val="21"/>
                <w:szCs w:val="21"/>
                <w:highlight w:val="none"/>
                <w:lang w:val="en-US" w:eastAsia="zh-CN"/>
              </w:rPr>
              <w:t>年</w:t>
            </w:r>
            <w:r>
              <w:rPr>
                <w:rFonts w:hint="eastAsia" w:ascii="Times New Roman" w:hAnsi="Times New Roman" w:eastAsia="宋体" w:cs="Times New Roman"/>
                <w:b/>
                <w:bCs/>
                <w:color w:val="auto"/>
                <w:spacing w:val="0"/>
                <w:sz w:val="21"/>
                <w:szCs w:val="21"/>
                <w:highlight w:val="none"/>
                <w:lang w:val="en-US" w:eastAsia="zh-CN"/>
              </w:rPr>
              <w:t>滦州市</w:t>
            </w:r>
            <w:r>
              <w:rPr>
                <w:rFonts w:hint="default" w:ascii="Times New Roman" w:hAnsi="Times New Roman" w:eastAsia="宋体" w:cs="Times New Roman"/>
                <w:b/>
                <w:bCs/>
                <w:color w:val="auto"/>
                <w:spacing w:val="0"/>
                <w:sz w:val="21"/>
                <w:szCs w:val="21"/>
                <w:highlight w:val="none"/>
                <w:lang w:val="en-US" w:eastAsia="zh-CN"/>
              </w:rPr>
              <w:t>环境空气质量浓度值情况表</w:t>
            </w:r>
          </w:p>
          <w:tbl>
            <w:tblPr>
              <w:tblStyle w:val="32"/>
              <w:tblW w:w="4751"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82"/>
              <w:gridCol w:w="2660"/>
              <w:gridCol w:w="1389"/>
              <w:gridCol w:w="1659"/>
              <w:gridCol w:w="1108"/>
            </w:tblGrid>
            <w:tr w14:paraId="46E8233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18" w:hRule="atLeast"/>
                <w:jc w:val="center"/>
              </w:trPr>
              <w:tc>
                <w:tcPr>
                  <w:tcW w:w="572" w:type="pct"/>
                  <w:tcBorders>
                    <w:tl2br w:val="nil"/>
                    <w:tr2bl w:val="nil"/>
                  </w:tcBorders>
                  <w:noWrap w:val="0"/>
                  <w:vAlign w:val="center"/>
                </w:tcPr>
                <w:p w14:paraId="5F5D426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污染物</w:t>
                  </w:r>
                </w:p>
              </w:tc>
              <w:tc>
                <w:tcPr>
                  <w:tcW w:w="1727" w:type="pct"/>
                  <w:tcBorders>
                    <w:tl2br w:val="nil"/>
                    <w:tr2bl w:val="nil"/>
                  </w:tcBorders>
                  <w:noWrap w:val="0"/>
                  <w:vAlign w:val="center"/>
                </w:tcPr>
                <w:p w14:paraId="5962FDB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年评价指标</w:t>
                  </w:r>
                </w:p>
              </w:tc>
              <w:tc>
                <w:tcPr>
                  <w:tcW w:w="902" w:type="pct"/>
                  <w:tcBorders>
                    <w:tl2br w:val="nil"/>
                    <w:tr2bl w:val="nil"/>
                  </w:tcBorders>
                  <w:noWrap w:val="0"/>
                  <w:vAlign w:val="center"/>
                </w:tcPr>
                <w:p w14:paraId="246171C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评价标准（µg/m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w:t>
                  </w:r>
                </w:p>
              </w:tc>
              <w:tc>
                <w:tcPr>
                  <w:tcW w:w="1077" w:type="pct"/>
                  <w:tcBorders>
                    <w:tl2br w:val="nil"/>
                    <w:tr2bl w:val="nil"/>
                  </w:tcBorders>
                  <w:noWrap w:val="0"/>
                  <w:vAlign w:val="center"/>
                </w:tcPr>
                <w:p w14:paraId="368CE111">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现状浓度（µg/m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w:t>
                  </w:r>
                </w:p>
              </w:tc>
              <w:tc>
                <w:tcPr>
                  <w:tcW w:w="719" w:type="pct"/>
                  <w:tcBorders>
                    <w:tl2br w:val="nil"/>
                    <w:tr2bl w:val="nil"/>
                  </w:tcBorders>
                  <w:noWrap w:val="0"/>
                  <w:vAlign w:val="center"/>
                </w:tcPr>
                <w:p w14:paraId="790094FA">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达标情况</w:t>
                  </w:r>
                </w:p>
              </w:tc>
            </w:tr>
            <w:tr w14:paraId="1251E3A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2" w:hRule="atLeast"/>
                <w:jc w:val="center"/>
              </w:trPr>
              <w:tc>
                <w:tcPr>
                  <w:tcW w:w="572" w:type="pct"/>
                  <w:tcBorders>
                    <w:tl2br w:val="nil"/>
                    <w:tr2bl w:val="nil"/>
                  </w:tcBorders>
                  <w:noWrap w:val="0"/>
                  <w:vAlign w:val="center"/>
                </w:tcPr>
                <w:p w14:paraId="1F225F26">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SO</w:t>
                  </w:r>
                  <w:r>
                    <w:rPr>
                      <w:rFonts w:hint="default" w:ascii="Times New Roman" w:hAnsi="Times New Roman" w:eastAsia="宋体" w:cs="Times New Roman"/>
                      <w:color w:val="auto"/>
                      <w:kern w:val="0"/>
                      <w:sz w:val="21"/>
                      <w:szCs w:val="21"/>
                      <w:highlight w:val="none"/>
                      <w:vertAlign w:val="subscript"/>
                    </w:rPr>
                    <w:t>2</w:t>
                  </w:r>
                </w:p>
              </w:tc>
              <w:tc>
                <w:tcPr>
                  <w:tcW w:w="1727" w:type="pct"/>
                  <w:tcBorders>
                    <w:tl2br w:val="nil"/>
                    <w:tr2bl w:val="nil"/>
                  </w:tcBorders>
                  <w:noWrap w:val="0"/>
                  <w:vAlign w:val="center"/>
                </w:tcPr>
                <w:p w14:paraId="5CC3614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年平均质量浓度</w:t>
                  </w:r>
                </w:p>
              </w:tc>
              <w:tc>
                <w:tcPr>
                  <w:tcW w:w="902" w:type="pct"/>
                  <w:tcBorders>
                    <w:tl2br w:val="nil"/>
                    <w:tr2bl w:val="nil"/>
                  </w:tcBorders>
                  <w:noWrap w:val="0"/>
                  <w:vAlign w:val="center"/>
                </w:tcPr>
                <w:p w14:paraId="0D06A401">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60</w:t>
                  </w:r>
                </w:p>
              </w:tc>
              <w:tc>
                <w:tcPr>
                  <w:tcW w:w="1077" w:type="pct"/>
                  <w:tcBorders>
                    <w:tl2br w:val="nil"/>
                    <w:tr2bl w:val="nil"/>
                  </w:tcBorders>
                  <w:noWrap w:val="0"/>
                  <w:vAlign w:val="center"/>
                </w:tcPr>
                <w:p w14:paraId="6A3E3B0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10</w:t>
                  </w:r>
                </w:p>
              </w:tc>
              <w:tc>
                <w:tcPr>
                  <w:tcW w:w="719" w:type="pct"/>
                  <w:tcBorders>
                    <w:tl2br w:val="nil"/>
                    <w:tr2bl w:val="nil"/>
                  </w:tcBorders>
                  <w:noWrap w:val="0"/>
                  <w:vAlign w:val="center"/>
                </w:tcPr>
                <w:p w14:paraId="69E38650">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14:paraId="5BF869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2" w:hRule="atLeast"/>
                <w:jc w:val="center"/>
              </w:trPr>
              <w:tc>
                <w:tcPr>
                  <w:tcW w:w="572" w:type="pct"/>
                  <w:tcBorders>
                    <w:tl2br w:val="nil"/>
                    <w:tr2bl w:val="nil"/>
                  </w:tcBorders>
                  <w:noWrap w:val="0"/>
                  <w:vAlign w:val="center"/>
                </w:tcPr>
                <w:p w14:paraId="40908186">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NO</w:t>
                  </w:r>
                  <w:r>
                    <w:rPr>
                      <w:rFonts w:hint="default" w:ascii="Times New Roman" w:hAnsi="Times New Roman" w:eastAsia="宋体" w:cs="Times New Roman"/>
                      <w:color w:val="auto"/>
                      <w:kern w:val="0"/>
                      <w:sz w:val="21"/>
                      <w:szCs w:val="21"/>
                      <w:highlight w:val="none"/>
                      <w:vertAlign w:val="subscript"/>
                    </w:rPr>
                    <w:t>2</w:t>
                  </w:r>
                </w:p>
              </w:tc>
              <w:tc>
                <w:tcPr>
                  <w:tcW w:w="1727" w:type="pct"/>
                  <w:tcBorders>
                    <w:tl2br w:val="nil"/>
                    <w:tr2bl w:val="nil"/>
                  </w:tcBorders>
                  <w:noWrap w:val="0"/>
                  <w:vAlign w:val="center"/>
                </w:tcPr>
                <w:p w14:paraId="44D72E23">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年平均质量浓度</w:t>
                  </w:r>
                </w:p>
              </w:tc>
              <w:tc>
                <w:tcPr>
                  <w:tcW w:w="902" w:type="pct"/>
                  <w:tcBorders>
                    <w:tl2br w:val="nil"/>
                    <w:tr2bl w:val="nil"/>
                  </w:tcBorders>
                  <w:noWrap w:val="0"/>
                  <w:vAlign w:val="center"/>
                </w:tcPr>
                <w:p w14:paraId="1C667FE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40</w:t>
                  </w:r>
                </w:p>
              </w:tc>
              <w:tc>
                <w:tcPr>
                  <w:tcW w:w="1077" w:type="pct"/>
                  <w:tcBorders>
                    <w:tl2br w:val="nil"/>
                    <w:tr2bl w:val="nil"/>
                  </w:tcBorders>
                  <w:noWrap w:val="0"/>
                  <w:vAlign w:val="center"/>
                </w:tcPr>
                <w:p w14:paraId="629751BE">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30</w:t>
                  </w:r>
                </w:p>
              </w:tc>
              <w:tc>
                <w:tcPr>
                  <w:tcW w:w="719" w:type="pct"/>
                  <w:tcBorders>
                    <w:tl2br w:val="nil"/>
                    <w:tr2bl w:val="nil"/>
                  </w:tcBorders>
                  <w:noWrap w:val="0"/>
                  <w:vAlign w:val="center"/>
                </w:tcPr>
                <w:p w14:paraId="00E008D8">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14:paraId="39B481F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2" w:hRule="atLeast"/>
                <w:jc w:val="center"/>
              </w:trPr>
              <w:tc>
                <w:tcPr>
                  <w:tcW w:w="572" w:type="pct"/>
                  <w:tcBorders>
                    <w:tl2br w:val="nil"/>
                    <w:tr2bl w:val="nil"/>
                  </w:tcBorders>
                  <w:noWrap w:val="0"/>
                  <w:vAlign w:val="center"/>
                </w:tcPr>
                <w:p w14:paraId="1205DFEC">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PM</w:t>
                  </w:r>
                  <w:r>
                    <w:rPr>
                      <w:rFonts w:hint="default" w:ascii="Times New Roman" w:hAnsi="Times New Roman" w:eastAsia="宋体" w:cs="Times New Roman"/>
                      <w:color w:val="auto"/>
                      <w:kern w:val="0"/>
                      <w:sz w:val="21"/>
                      <w:szCs w:val="21"/>
                      <w:highlight w:val="none"/>
                      <w:vertAlign w:val="subscript"/>
                    </w:rPr>
                    <w:t>10</w:t>
                  </w:r>
                </w:p>
              </w:tc>
              <w:tc>
                <w:tcPr>
                  <w:tcW w:w="1727" w:type="pct"/>
                  <w:tcBorders>
                    <w:tl2br w:val="nil"/>
                    <w:tr2bl w:val="nil"/>
                  </w:tcBorders>
                  <w:noWrap w:val="0"/>
                  <w:vAlign w:val="center"/>
                </w:tcPr>
                <w:p w14:paraId="7E80DCBE">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年平均质量浓度</w:t>
                  </w:r>
                </w:p>
              </w:tc>
              <w:tc>
                <w:tcPr>
                  <w:tcW w:w="902" w:type="pct"/>
                  <w:tcBorders>
                    <w:tl2br w:val="nil"/>
                    <w:tr2bl w:val="nil"/>
                  </w:tcBorders>
                  <w:noWrap w:val="0"/>
                  <w:vAlign w:val="center"/>
                </w:tcPr>
                <w:p w14:paraId="2DB8062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rPr>
                  </w:pPr>
                  <w:r>
                    <w:rPr>
                      <w:rFonts w:hint="eastAsia" w:cs="Times New Roman"/>
                      <w:color w:val="auto"/>
                      <w:kern w:val="0"/>
                      <w:sz w:val="21"/>
                      <w:szCs w:val="21"/>
                      <w:highlight w:val="none"/>
                      <w:lang w:val="en-US" w:eastAsia="zh-CN"/>
                    </w:rPr>
                    <w:t>60</w:t>
                  </w:r>
                </w:p>
              </w:tc>
              <w:tc>
                <w:tcPr>
                  <w:tcW w:w="1077" w:type="pct"/>
                  <w:tcBorders>
                    <w:tl2br w:val="nil"/>
                    <w:tr2bl w:val="nil"/>
                  </w:tcBorders>
                  <w:noWrap w:val="0"/>
                  <w:vAlign w:val="center"/>
                </w:tcPr>
                <w:p w14:paraId="138D223D">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70</w:t>
                  </w:r>
                </w:p>
              </w:tc>
              <w:tc>
                <w:tcPr>
                  <w:tcW w:w="719" w:type="pct"/>
                  <w:tcBorders>
                    <w:tl2br w:val="nil"/>
                    <w:tr2bl w:val="nil"/>
                  </w:tcBorders>
                  <w:noWrap w:val="0"/>
                  <w:vAlign w:val="center"/>
                </w:tcPr>
                <w:p w14:paraId="0D5BAD28">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cs="Times New Roman"/>
                      <w:color w:val="auto"/>
                      <w:kern w:val="0"/>
                      <w:sz w:val="21"/>
                      <w:szCs w:val="21"/>
                      <w:highlight w:val="none"/>
                      <w:lang w:eastAsia="zh-CN"/>
                    </w:rPr>
                    <w:t>超标</w:t>
                  </w:r>
                </w:p>
              </w:tc>
            </w:tr>
            <w:tr w14:paraId="64EBC4D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2" w:hRule="atLeast"/>
                <w:jc w:val="center"/>
              </w:trPr>
              <w:tc>
                <w:tcPr>
                  <w:tcW w:w="572" w:type="pct"/>
                  <w:tcBorders>
                    <w:tl2br w:val="nil"/>
                    <w:tr2bl w:val="nil"/>
                  </w:tcBorders>
                  <w:noWrap w:val="0"/>
                  <w:vAlign w:val="center"/>
                </w:tcPr>
                <w:p w14:paraId="5C4A4A14">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PM</w:t>
                  </w:r>
                  <w:r>
                    <w:rPr>
                      <w:rFonts w:hint="default" w:ascii="Times New Roman" w:hAnsi="Times New Roman" w:eastAsia="宋体" w:cs="Times New Roman"/>
                      <w:color w:val="auto"/>
                      <w:kern w:val="0"/>
                      <w:sz w:val="21"/>
                      <w:szCs w:val="21"/>
                      <w:highlight w:val="none"/>
                      <w:vertAlign w:val="subscript"/>
                    </w:rPr>
                    <w:t>2.5</w:t>
                  </w:r>
                </w:p>
              </w:tc>
              <w:tc>
                <w:tcPr>
                  <w:tcW w:w="1727" w:type="pct"/>
                  <w:tcBorders>
                    <w:tl2br w:val="nil"/>
                    <w:tr2bl w:val="nil"/>
                  </w:tcBorders>
                  <w:noWrap w:val="0"/>
                  <w:vAlign w:val="center"/>
                </w:tcPr>
                <w:p w14:paraId="4420981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年平均质量浓度</w:t>
                  </w:r>
                </w:p>
              </w:tc>
              <w:tc>
                <w:tcPr>
                  <w:tcW w:w="902" w:type="pct"/>
                  <w:tcBorders>
                    <w:tl2br w:val="nil"/>
                    <w:tr2bl w:val="nil"/>
                  </w:tcBorders>
                  <w:noWrap w:val="0"/>
                  <w:vAlign w:val="center"/>
                </w:tcPr>
                <w:p w14:paraId="699A286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30</w:t>
                  </w:r>
                </w:p>
              </w:tc>
              <w:tc>
                <w:tcPr>
                  <w:tcW w:w="1077" w:type="pct"/>
                  <w:tcBorders>
                    <w:tl2br w:val="nil"/>
                    <w:tr2bl w:val="nil"/>
                  </w:tcBorders>
                  <w:noWrap w:val="0"/>
                  <w:vAlign w:val="center"/>
                </w:tcPr>
                <w:p w14:paraId="47819978">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35</w:t>
                  </w:r>
                </w:p>
              </w:tc>
              <w:tc>
                <w:tcPr>
                  <w:tcW w:w="719" w:type="pct"/>
                  <w:tcBorders>
                    <w:tl2br w:val="nil"/>
                    <w:tr2bl w:val="nil"/>
                  </w:tcBorders>
                  <w:noWrap w:val="0"/>
                  <w:vAlign w:val="center"/>
                </w:tcPr>
                <w:p w14:paraId="25252FEB">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cs="Times New Roman"/>
                      <w:color w:val="auto"/>
                      <w:kern w:val="0"/>
                      <w:sz w:val="21"/>
                      <w:szCs w:val="21"/>
                      <w:highlight w:val="none"/>
                      <w:lang w:eastAsia="zh-CN"/>
                    </w:rPr>
                    <w:t>超标</w:t>
                  </w:r>
                </w:p>
              </w:tc>
            </w:tr>
            <w:tr w14:paraId="1C9F58E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2" w:hRule="atLeast"/>
                <w:jc w:val="center"/>
              </w:trPr>
              <w:tc>
                <w:tcPr>
                  <w:tcW w:w="572" w:type="pct"/>
                  <w:tcBorders>
                    <w:tl2br w:val="nil"/>
                    <w:tr2bl w:val="nil"/>
                  </w:tcBorders>
                  <w:noWrap w:val="0"/>
                  <w:vAlign w:val="center"/>
                </w:tcPr>
                <w:p w14:paraId="26B159AE">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CO</w:t>
                  </w:r>
                </w:p>
              </w:tc>
              <w:tc>
                <w:tcPr>
                  <w:tcW w:w="1727" w:type="pct"/>
                  <w:tcBorders>
                    <w:tl2br w:val="nil"/>
                    <w:tr2bl w:val="nil"/>
                  </w:tcBorders>
                  <w:noWrap w:val="0"/>
                  <w:vAlign w:val="center"/>
                </w:tcPr>
                <w:p w14:paraId="125415D1">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24h平均质量浓度</w:t>
                  </w:r>
                </w:p>
              </w:tc>
              <w:tc>
                <w:tcPr>
                  <w:tcW w:w="902" w:type="pct"/>
                  <w:tcBorders>
                    <w:tl2br w:val="nil"/>
                    <w:tr2bl w:val="nil"/>
                  </w:tcBorders>
                  <w:noWrap w:val="0"/>
                  <w:vAlign w:val="center"/>
                </w:tcPr>
                <w:p w14:paraId="4E6296F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4000</w:t>
                  </w:r>
                </w:p>
              </w:tc>
              <w:tc>
                <w:tcPr>
                  <w:tcW w:w="1077" w:type="pct"/>
                  <w:tcBorders>
                    <w:tl2br w:val="nil"/>
                    <w:tr2bl w:val="nil"/>
                  </w:tcBorders>
                  <w:noWrap w:val="0"/>
                  <w:vAlign w:val="center"/>
                </w:tcPr>
                <w:p w14:paraId="6924F1AC">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1400</w:t>
                  </w:r>
                </w:p>
              </w:tc>
              <w:tc>
                <w:tcPr>
                  <w:tcW w:w="719" w:type="pct"/>
                  <w:tcBorders>
                    <w:tl2br w:val="nil"/>
                    <w:tr2bl w:val="nil"/>
                  </w:tcBorders>
                  <w:noWrap w:val="0"/>
                  <w:vAlign w:val="center"/>
                </w:tcPr>
                <w:p w14:paraId="1079F34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14:paraId="489115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69" w:hRule="atLeast"/>
                <w:jc w:val="center"/>
              </w:trPr>
              <w:tc>
                <w:tcPr>
                  <w:tcW w:w="572" w:type="pct"/>
                  <w:tcBorders>
                    <w:tl2br w:val="nil"/>
                    <w:tr2bl w:val="nil"/>
                  </w:tcBorders>
                  <w:noWrap w:val="0"/>
                  <w:vAlign w:val="center"/>
                </w:tcPr>
                <w:p w14:paraId="4C30370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O</w:t>
                  </w:r>
                  <w:r>
                    <w:rPr>
                      <w:rFonts w:hint="default" w:ascii="Times New Roman" w:hAnsi="Times New Roman" w:eastAsia="宋体" w:cs="Times New Roman"/>
                      <w:color w:val="auto"/>
                      <w:kern w:val="0"/>
                      <w:sz w:val="21"/>
                      <w:szCs w:val="21"/>
                      <w:highlight w:val="none"/>
                      <w:vertAlign w:val="subscript"/>
                    </w:rPr>
                    <w:t>3</w:t>
                  </w:r>
                </w:p>
              </w:tc>
              <w:tc>
                <w:tcPr>
                  <w:tcW w:w="1727" w:type="pct"/>
                  <w:tcBorders>
                    <w:tl2br w:val="nil"/>
                    <w:tr2bl w:val="nil"/>
                  </w:tcBorders>
                  <w:noWrap w:val="0"/>
                  <w:vAlign w:val="center"/>
                </w:tcPr>
                <w:p w14:paraId="20CA909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rPr>
                    <w:t>日最大8h平均质量浓度</w:t>
                  </w:r>
                </w:p>
              </w:tc>
              <w:tc>
                <w:tcPr>
                  <w:tcW w:w="902" w:type="pct"/>
                  <w:tcBorders>
                    <w:tl2br w:val="nil"/>
                    <w:tr2bl w:val="nil"/>
                  </w:tcBorders>
                  <w:noWrap w:val="0"/>
                  <w:vAlign w:val="center"/>
                </w:tcPr>
                <w:p w14:paraId="2A1FE04B">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160</w:t>
                  </w:r>
                </w:p>
              </w:tc>
              <w:tc>
                <w:tcPr>
                  <w:tcW w:w="1077" w:type="pct"/>
                  <w:tcBorders>
                    <w:tl2br w:val="nil"/>
                    <w:tr2bl w:val="nil"/>
                  </w:tcBorders>
                  <w:noWrap w:val="0"/>
                  <w:vAlign w:val="center"/>
                </w:tcPr>
                <w:p w14:paraId="4EE1AAA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178</w:t>
                  </w:r>
                </w:p>
              </w:tc>
              <w:tc>
                <w:tcPr>
                  <w:tcW w:w="719" w:type="pct"/>
                  <w:tcBorders>
                    <w:tl2br w:val="nil"/>
                    <w:tr2bl w:val="nil"/>
                  </w:tcBorders>
                  <w:noWrap w:val="0"/>
                  <w:vAlign w:val="center"/>
                </w:tcPr>
                <w:p w14:paraId="5EDC1B0A">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超标</w:t>
                  </w:r>
                </w:p>
              </w:tc>
            </w:tr>
          </w:tbl>
          <w:p w14:paraId="2A81D9D9">
            <w:pPr>
              <w:keepNext w:val="0"/>
              <w:keepLines w:val="0"/>
              <w:pageBreakBefore w:val="0"/>
              <w:widowControl w:val="0"/>
              <w:shd w:val="clear"/>
              <w:kinsoku/>
              <w:wordWrap/>
              <w:overflowPunct/>
              <w:topLinePunct w:val="0"/>
              <w:autoSpaceDE/>
              <w:autoSpaceDN/>
              <w:bidi w:val="0"/>
              <w:adjustRightInd w:val="0"/>
              <w:snapToGrid w:val="0"/>
              <w:spacing w:line="480" w:lineRule="exact"/>
              <w:ind w:firstLine="496" w:firstLineChars="200"/>
              <w:textAlignment w:val="auto"/>
              <w:rPr>
                <w:rFonts w:hint="default"/>
                <w:color w:val="auto"/>
                <w:highlight w:val="none"/>
                <w:lang w:val="en-US" w:eastAsia="zh-CN"/>
              </w:rPr>
            </w:pPr>
            <w:r>
              <w:rPr>
                <w:color w:val="auto"/>
                <w:spacing w:val="4"/>
                <w:kern w:val="0"/>
                <w:sz w:val="24"/>
                <w:highlight w:val="none"/>
              </w:rPr>
              <w:t>本区域监测期间环境空气质量</w:t>
            </w:r>
            <w:r>
              <w:rPr>
                <w:color w:val="auto"/>
                <w:kern w:val="0"/>
                <w:sz w:val="24"/>
                <w:highlight w:val="none"/>
              </w:rPr>
              <w:t>O</w:t>
            </w:r>
            <w:r>
              <w:rPr>
                <w:color w:val="auto"/>
                <w:kern w:val="0"/>
                <w:sz w:val="24"/>
                <w:highlight w:val="none"/>
                <w:vertAlign w:val="subscript"/>
              </w:rPr>
              <w:t>3</w:t>
            </w:r>
            <w:r>
              <w:rPr>
                <w:color w:val="auto"/>
                <w:kern w:val="0"/>
                <w:sz w:val="24"/>
                <w:highlight w:val="none"/>
              </w:rPr>
              <w:t>不</w:t>
            </w:r>
            <w:r>
              <w:rPr>
                <w:color w:val="auto"/>
                <w:spacing w:val="4"/>
                <w:kern w:val="0"/>
                <w:sz w:val="24"/>
                <w:highlight w:val="none"/>
              </w:rPr>
              <w:t>能满足</w:t>
            </w:r>
            <w:r>
              <w:rPr>
                <w:rFonts w:hint="eastAsia"/>
                <w:color w:val="auto"/>
                <w:sz w:val="24"/>
                <w:szCs w:val="24"/>
                <w:lang w:eastAsia="zh-CN"/>
              </w:rPr>
              <w:t>《环境空气质量标准》（GB3095-2026）</w:t>
            </w:r>
            <w:r>
              <w:rPr>
                <w:color w:val="auto"/>
                <w:spacing w:val="4"/>
                <w:kern w:val="0"/>
                <w:sz w:val="24"/>
                <w:highlight w:val="none"/>
              </w:rPr>
              <w:t>中</w:t>
            </w:r>
            <w:r>
              <w:rPr>
                <w:rFonts w:hint="eastAsia"/>
                <w:color w:val="auto"/>
                <w:lang w:eastAsia="zh-CN"/>
              </w:rPr>
              <w:t>过渡阶段</w:t>
            </w:r>
            <w:r>
              <w:rPr>
                <w:color w:val="auto"/>
                <w:spacing w:val="4"/>
                <w:kern w:val="0"/>
                <w:sz w:val="24"/>
                <w:highlight w:val="none"/>
              </w:rPr>
              <w:t>二级标准要求。</w:t>
            </w:r>
          </w:p>
          <w:p w14:paraId="5A9B7B8B">
            <w:pPr>
              <w:keepNext w:val="0"/>
              <w:keepLines w:val="0"/>
              <w:pageBreakBefore w:val="0"/>
              <w:widowControl w:val="0"/>
              <w:shd w:val="clear"/>
              <w:kinsoku/>
              <w:wordWrap/>
              <w:overflowPunct/>
              <w:topLinePunct w:val="0"/>
              <w:autoSpaceDE/>
              <w:autoSpaceDN/>
              <w:bidi w:val="0"/>
              <w:adjustRightInd w:val="0"/>
              <w:snapToGrid w:val="0"/>
              <w:spacing w:line="480" w:lineRule="exact"/>
              <w:ind w:firstLine="496" w:firstLineChars="200"/>
              <w:textAlignment w:val="auto"/>
              <w:rPr>
                <w:rFonts w:ascii="Times New Roman" w:hAnsi="Times New Roman" w:eastAsia="宋体" w:cs="Times New Roman"/>
                <w:color w:val="auto"/>
                <w:spacing w:val="4"/>
                <w:kern w:val="0"/>
                <w:sz w:val="24"/>
                <w:highlight w:val="none"/>
              </w:rPr>
            </w:pPr>
            <w:r>
              <w:rPr>
                <w:rFonts w:hint="eastAsia" w:ascii="Times New Roman" w:hAnsi="Times New Roman" w:eastAsia="宋体" w:cs="Times New Roman"/>
                <w:color w:val="auto"/>
                <w:spacing w:val="4"/>
                <w:kern w:val="0"/>
                <w:sz w:val="24"/>
                <w:highlight w:val="none"/>
                <w:lang w:eastAsia="zh-CN"/>
              </w:rPr>
              <w:t>②</w:t>
            </w:r>
            <w:r>
              <w:rPr>
                <w:rFonts w:hint="eastAsia" w:ascii="Times New Roman" w:hAnsi="Times New Roman" w:eastAsia="宋体" w:cs="Times New Roman"/>
                <w:color w:val="auto"/>
                <w:spacing w:val="4"/>
                <w:kern w:val="0"/>
                <w:sz w:val="24"/>
                <w:highlight w:val="none"/>
              </w:rPr>
              <w:t>其他污染物环境质量现状</w:t>
            </w:r>
          </w:p>
          <w:p w14:paraId="347DD21A">
            <w:pPr>
              <w:pStyle w:val="116"/>
              <w:keepNext w:val="0"/>
              <w:keepLines w:val="0"/>
              <w:suppressLineNumbers w:val="0"/>
              <w:shd w:val="clear"/>
              <w:spacing w:before="0" w:beforeAutospacing="0" w:after="0" w:afterAutospacing="0" w:line="480" w:lineRule="exact"/>
              <w:ind w:left="0" w:right="0" w:firstLine="454"/>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sz w:val="24"/>
                <w:highlight w:val="none"/>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项目排放的特征污染物主要为颗粒物（TSP），其中TSP有国家空气质量标准，本次在评价特征污染物环境质量现状时，引用建设项目周边5千米范围内近3年的现有监测数据进行分析。</w:t>
            </w:r>
          </w:p>
          <w:p w14:paraId="2F7C96CF">
            <w:pPr>
              <w:pStyle w:val="116"/>
              <w:keepNext w:val="0"/>
              <w:keepLines w:val="0"/>
              <w:suppressLineNumbers w:val="0"/>
              <w:shd w:val="clear"/>
              <w:spacing w:before="0" w:beforeAutospacing="0" w:after="0" w:afterAutospacing="0" w:line="480" w:lineRule="exact"/>
              <w:ind w:left="0" w:right="0" w:firstLine="454"/>
              <w:rPr>
                <w:rFonts w:hint="default" w:ascii="Times New Roman" w:hAnsi="Times New Roman" w:cs="Times New Roman"/>
                <w:color w:val="auto"/>
                <w:spacing w:val="6"/>
                <w:sz w:val="24"/>
                <w:highlight w:val="none"/>
                <w:lang w:eastAsia="zh-TW"/>
              </w:rPr>
            </w:pPr>
            <w:r>
              <w:rPr>
                <w:rFonts w:hint="default" w:ascii="Times New Roman" w:hAnsi="Times New Roman" w:cs="Times New Roman"/>
                <w:color w:val="auto"/>
                <w:spacing w:val="6"/>
                <w:sz w:val="24"/>
                <w:highlight w:val="none"/>
              </w:rPr>
              <w:t>TSP环境质量现状采用</w:t>
            </w:r>
            <w:r>
              <w:rPr>
                <w:rFonts w:hint="eastAsia" w:ascii="Times New Roman" w:hAnsi="Times New Roman" w:cs="Times New Roman"/>
                <w:color w:val="auto"/>
                <w:sz w:val="24"/>
                <w:szCs w:val="24"/>
                <w:highlight w:val="none"/>
                <w:lang w:val="en-US" w:eastAsia="zh-CN"/>
              </w:rPr>
              <w:t>唐山北极熊建材有限公司环境空气质量监测</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cs="Times New Roman"/>
                <w:color w:val="auto"/>
                <w:spacing w:val="6"/>
                <w:sz w:val="24"/>
                <w:highlight w:val="none"/>
              </w:rPr>
              <w:t>的环境质量现状检测，检测时间为202</w:t>
            </w:r>
            <w:r>
              <w:rPr>
                <w:rFonts w:hint="eastAsia" w:ascii="Times New Roman" w:hAnsi="Times New Roman" w:cs="Times New Roman"/>
                <w:color w:val="auto"/>
                <w:spacing w:val="6"/>
                <w:sz w:val="24"/>
                <w:highlight w:val="none"/>
                <w:lang w:val="en-US" w:eastAsia="zh-CN"/>
              </w:rPr>
              <w:t>4</w:t>
            </w:r>
            <w:r>
              <w:rPr>
                <w:rFonts w:hint="default" w:ascii="Times New Roman" w:hAnsi="Times New Roman" w:cs="Times New Roman"/>
                <w:color w:val="auto"/>
                <w:spacing w:val="6"/>
                <w:sz w:val="24"/>
                <w:highlight w:val="none"/>
              </w:rPr>
              <w:t>年</w:t>
            </w:r>
            <w:r>
              <w:rPr>
                <w:rFonts w:hint="eastAsia" w:ascii="Times New Roman" w:hAnsi="Times New Roman" w:cs="Times New Roman"/>
                <w:color w:val="auto"/>
                <w:spacing w:val="6"/>
                <w:sz w:val="24"/>
                <w:highlight w:val="none"/>
                <w:lang w:val="en-US" w:eastAsia="zh-CN"/>
              </w:rPr>
              <w:t>1</w:t>
            </w:r>
            <w:r>
              <w:rPr>
                <w:rFonts w:hint="default" w:ascii="Times New Roman" w:hAnsi="Times New Roman" w:cs="Times New Roman"/>
                <w:color w:val="auto"/>
                <w:spacing w:val="6"/>
                <w:sz w:val="24"/>
                <w:highlight w:val="none"/>
              </w:rPr>
              <w:t>月</w:t>
            </w:r>
            <w:r>
              <w:rPr>
                <w:rFonts w:hint="eastAsia" w:ascii="Times New Roman" w:hAnsi="Times New Roman" w:cs="Times New Roman"/>
                <w:color w:val="auto"/>
                <w:spacing w:val="6"/>
                <w:sz w:val="24"/>
                <w:highlight w:val="none"/>
                <w:lang w:val="en-US" w:eastAsia="zh-CN"/>
              </w:rPr>
              <w:t>11</w:t>
            </w:r>
            <w:r>
              <w:rPr>
                <w:rFonts w:hint="default" w:ascii="Times New Roman" w:hAnsi="Times New Roman" w:cs="Times New Roman"/>
                <w:color w:val="auto"/>
                <w:spacing w:val="6"/>
                <w:sz w:val="24"/>
                <w:highlight w:val="none"/>
              </w:rPr>
              <w:t>日~202</w:t>
            </w:r>
            <w:r>
              <w:rPr>
                <w:rFonts w:hint="eastAsia" w:ascii="Times New Roman" w:hAnsi="Times New Roman" w:cs="Times New Roman"/>
                <w:color w:val="auto"/>
                <w:spacing w:val="6"/>
                <w:sz w:val="24"/>
                <w:highlight w:val="none"/>
                <w:lang w:val="en-US" w:eastAsia="zh-CN"/>
              </w:rPr>
              <w:t>4</w:t>
            </w:r>
            <w:r>
              <w:rPr>
                <w:rFonts w:hint="default" w:ascii="Times New Roman" w:hAnsi="Times New Roman" w:cs="Times New Roman"/>
                <w:color w:val="auto"/>
                <w:spacing w:val="6"/>
                <w:sz w:val="24"/>
                <w:highlight w:val="none"/>
              </w:rPr>
              <w:t>年</w:t>
            </w:r>
            <w:r>
              <w:rPr>
                <w:rFonts w:hint="eastAsia" w:ascii="Times New Roman" w:hAnsi="Times New Roman" w:cs="Times New Roman"/>
                <w:color w:val="auto"/>
                <w:spacing w:val="6"/>
                <w:sz w:val="24"/>
                <w:highlight w:val="none"/>
                <w:lang w:val="en-US" w:eastAsia="zh-CN"/>
              </w:rPr>
              <w:t>1</w:t>
            </w:r>
            <w:r>
              <w:rPr>
                <w:rFonts w:hint="default" w:ascii="Times New Roman" w:hAnsi="Times New Roman" w:cs="Times New Roman"/>
                <w:color w:val="auto"/>
                <w:spacing w:val="6"/>
                <w:sz w:val="24"/>
                <w:highlight w:val="none"/>
              </w:rPr>
              <w:t>月</w:t>
            </w:r>
            <w:r>
              <w:rPr>
                <w:rFonts w:hint="eastAsia" w:ascii="Times New Roman" w:hAnsi="Times New Roman" w:cs="Times New Roman"/>
                <w:color w:val="auto"/>
                <w:spacing w:val="6"/>
                <w:sz w:val="24"/>
                <w:highlight w:val="none"/>
                <w:lang w:val="en-US" w:eastAsia="zh-CN"/>
              </w:rPr>
              <w:t>17</w:t>
            </w:r>
            <w:r>
              <w:rPr>
                <w:rFonts w:hint="default" w:ascii="Times New Roman" w:hAnsi="Times New Roman" w:cs="Times New Roman"/>
                <w:color w:val="auto"/>
                <w:spacing w:val="6"/>
                <w:sz w:val="24"/>
                <w:highlight w:val="none"/>
              </w:rPr>
              <w:t>日，检测点位位于</w:t>
            </w:r>
            <w:r>
              <w:rPr>
                <w:rFonts w:hint="eastAsia" w:ascii="Times New Roman" w:hAnsi="Times New Roman" w:cs="Times New Roman"/>
                <w:color w:val="auto"/>
                <w:spacing w:val="6"/>
                <w:sz w:val="24"/>
                <w:highlight w:val="none"/>
                <w:lang w:val="en-US" w:eastAsia="zh-CN"/>
              </w:rPr>
              <w:t>邵庄村，距离</w:t>
            </w:r>
            <w:r>
              <w:rPr>
                <w:rFonts w:hint="default" w:ascii="Times New Roman" w:hAnsi="Times New Roman" w:cs="Times New Roman"/>
                <w:color w:val="auto"/>
                <w:spacing w:val="6"/>
                <w:sz w:val="24"/>
                <w:highlight w:val="none"/>
              </w:rPr>
              <w:t>本项目</w:t>
            </w:r>
            <w:r>
              <w:rPr>
                <w:rFonts w:hint="eastAsia" w:ascii="Times New Roman" w:hAnsi="Times New Roman" w:cs="Times New Roman"/>
                <w:color w:val="auto"/>
                <w:spacing w:val="6"/>
                <w:sz w:val="24"/>
                <w:highlight w:val="none"/>
                <w:lang w:val="en-US" w:eastAsia="zh-CN"/>
              </w:rPr>
              <w:t>西南</w:t>
            </w:r>
            <w:r>
              <w:rPr>
                <w:rFonts w:hint="default" w:ascii="Times New Roman" w:hAnsi="Times New Roman" w:cs="Times New Roman"/>
                <w:color w:val="auto"/>
                <w:spacing w:val="6"/>
                <w:sz w:val="24"/>
                <w:highlight w:val="none"/>
                <w:lang w:val="en-US" w:eastAsia="zh-CN"/>
              </w:rPr>
              <w:t>侧</w:t>
            </w:r>
            <w:r>
              <w:rPr>
                <w:rFonts w:hint="eastAsia" w:cs="Times New Roman"/>
                <w:color w:val="auto"/>
                <w:spacing w:val="6"/>
                <w:sz w:val="24"/>
                <w:highlight w:val="none"/>
                <w:lang w:val="en-US" w:eastAsia="zh-CN"/>
              </w:rPr>
              <w:t>1900</w:t>
            </w:r>
            <w:r>
              <w:rPr>
                <w:rFonts w:hint="default" w:ascii="Times New Roman" w:hAnsi="Times New Roman" w:cs="Times New Roman"/>
                <w:color w:val="auto"/>
                <w:spacing w:val="6"/>
                <w:sz w:val="24"/>
                <w:highlight w:val="none"/>
              </w:rPr>
              <w:t>m，</w:t>
            </w:r>
            <w:r>
              <w:rPr>
                <w:rFonts w:hint="default" w:ascii="Times New Roman" w:hAnsi="Times New Roman" w:cs="Times New Roman"/>
                <w:color w:val="auto"/>
                <w:spacing w:val="6"/>
                <w:sz w:val="24"/>
                <w:highlight w:val="none"/>
                <w:lang w:eastAsia="zh-TW"/>
              </w:rPr>
              <w:t>引用数据</w:t>
            </w:r>
            <w:r>
              <w:rPr>
                <w:rFonts w:hint="default" w:ascii="Times New Roman" w:hAnsi="Times New Roman" w:cs="Times New Roman"/>
                <w:color w:val="auto"/>
                <w:spacing w:val="6"/>
                <w:sz w:val="24"/>
                <w:highlight w:val="none"/>
              </w:rPr>
              <w:t>符合《建设项目环境影响报告表编制技术指南（污染影响类）（试行）》要求，</w:t>
            </w:r>
            <w:r>
              <w:rPr>
                <w:rFonts w:hint="default" w:ascii="Times New Roman" w:hAnsi="Times New Roman" w:cs="Times New Roman"/>
                <w:color w:val="auto"/>
                <w:spacing w:val="6"/>
                <w:sz w:val="24"/>
                <w:highlight w:val="none"/>
                <w:lang w:eastAsia="zh-TW"/>
              </w:rPr>
              <w:t>引用数据可用。</w:t>
            </w:r>
          </w:p>
          <w:p w14:paraId="1685FA46">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他污染物环境质量现状检测结果一览表</w:t>
            </w:r>
          </w:p>
          <w:tbl>
            <w:tblPr>
              <w:tblStyle w:val="32"/>
              <w:tblW w:w="4997"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288"/>
              <w:gridCol w:w="656"/>
              <w:gridCol w:w="540"/>
              <w:gridCol w:w="704"/>
              <w:gridCol w:w="794"/>
              <w:gridCol w:w="970"/>
              <w:gridCol w:w="1080"/>
              <w:gridCol w:w="917"/>
              <w:gridCol w:w="629"/>
              <w:gridCol w:w="517"/>
            </w:tblGrid>
            <w:tr w14:paraId="1B6A62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97" w:hRule="atLeast"/>
                <w:jc w:val="center"/>
              </w:trPr>
              <w:tc>
                <w:tcPr>
                  <w:tcW w:w="795" w:type="pct"/>
                  <w:vMerge w:val="restart"/>
                  <w:tcBorders>
                    <w:tl2br w:val="nil"/>
                    <w:tr2bl w:val="nil"/>
                  </w:tcBorders>
                  <w:noWrap w:val="0"/>
                  <w:vAlign w:val="center"/>
                </w:tcPr>
                <w:p w14:paraId="756A4D0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检测点位</w:t>
                  </w:r>
                </w:p>
              </w:tc>
              <w:tc>
                <w:tcPr>
                  <w:tcW w:w="738" w:type="pct"/>
                  <w:gridSpan w:val="2"/>
                  <w:tcBorders>
                    <w:tl2br w:val="nil"/>
                    <w:tr2bl w:val="nil"/>
                  </w:tcBorders>
                  <w:noWrap w:val="0"/>
                  <w:vAlign w:val="center"/>
                </w:tcPr>
                <w:p w14:paraId="6B96AA1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检测点距本项目</w:t>
                  </w:r>
                </w:p>
              </w:tc>
              <w:tc>
                <w:tcPr>
                  <w:tcW w:w="434" w:type="pct"/>
                  <w:vMerge w:val="restart"/>
                  <w:tcBorders>
                    <w:tl2br w:val="nil"/>
                    <w:tr2bl w:val="nil"/>
                  </w:tcBorders>
                  <w:noWrap w:val="0"/>
                  <w:vAlign w:val="center"/>
                </w:tcPr>
                <w:p w14:paraId="5C9CED0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w:t>
                  </w:r>
                </w:p>
              </w:tc>
              <w:tc>
                <w:tcPr>
                  <w:tcW w:w="490" w:type="pct"/>
                  <w:vMerge w:val="restart"/>
                  <w:tcBorders>
                    <w:tl2br w:val="nil"/>
                    <w:tr2bl w:val="nil"/>
                  </w:tcBorders>
                  <w:noWrap w:val="0"/>
                  <w:vAlign w:val="center"/>
                </w:tcPr>
                <w:p w14:paraId="228525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平均时间</w:t>
                  </w:r>
                </w:p>
              </w:tc>
              <w:tc>
                <w:tcPr>
                  <w:tcW w:w="599" w:type="pct"/>
                  <w:vMerge w:val="restart"/>
                  <w:tcBorders>
                    <w:tl2br w:val="nil"/>
                    <w:tr2bl w:val="nil"/>
                  </w:tcBorders>
                  <w:noWrap w:val="0"/>
                  <w:vAlign w:val="center"/>
                </w:tcPr>
                <w:p w14:paraId="6A71A8E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评价标准（μg/m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p>
              </w:tc>
              <w:tc>
                <w:tcPr>
                  <w:tcW w:w="667" w:type="pct"/>
                  <w:vMerge w:val="restart"/>
                  <w:tcBorders>
                    <w:tl2br w:val="nil"/>
                    <w:tr2bl w:val="nil"/>
                  </w:tcBorders>
                  <w:noWrap w:val="0"/>
                  <w:vAlign w:val="center"/>
                </w:tcPr>
                <w:p w14:paraId="590DB90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检测浓度范围（μg/m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p>
              </w:tc>
              <w:tc>
                <w:tcPr>
                  <w:tcW w:w="566" w:type="pct"/>
                  <w:vMerge w:val="restart"/>
                  <w:tcBorders>
                    <w:tl2br w:val="nil"/>
                    <w:tr2bl w:val="nil"/>
                  </w:tcBorders>
                  <w:noWrap w:val="0"/>
                  <w:vAlign w:val="center"/>
                </w:tcPr>
                <w:p w14:paraId="3B64C9C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最大浓度占标率（%）</w:t>
                  </w:r>
                </w:p>
              </w:tc>
              <w:tc>
                <w:tcPr>
                  <w:tcW w:w="388" w:type="pct"/>
                  <w:vMerge w:val="restart"/>
                  <w:tcBorders>
                    <w:tl2br w:val="nil"/>
                    <w:tr2bl w:val="nil"/>
                  </w:tcBorders>
                  <w:noWrap w:val="0"/>
                  <w:vAlign w:val="center"/>
                </w:tcPr>
                <w:p w14:paraId="36B91BF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超标率（%）</w:t>
                  </w:r>
                </w:p>
              </w:tc>
              <w:tc>
                <w:tcPr>
                  <w:tcW w:w="319" w:type="pct"/>
                  <w:vMerge w:val="restart"/>
                  <w:tcBorders>
                    <w:tl2br w:val="nil"/>
                    <w:tr2bl w:val="nil"/>
                  </w:tcBorders>
                  <w:noWrap w:val="0"/>
                  <w:vAlign w:val="center"/>
                </w:tcPr>
                <w:p w14:paraId="645B34F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达标情况</w:t>
                  </w:r>
                </w:p>
              </w:tc>
            </w:tr>
            <w:tr w14:paraId="3AE037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4" w:hRule="atLeast"/>
                <w:jc w:val="center"/>
              </w:trPr>
              <w:tc>
                <w:tcPr>
                  <w:tcW w:w="795" w:type="pct"/>
                  <w:vMerge w:val="continue"/>
                  <w:tcBorders>
                    <w:tl2br w:val="nil"/>
                    <w:tr2bl w:val="nil"/>
                  </w:tcBorders>
                  <w:noWrap w:val="0"/>
                  <w:vAlign w:val="center"/>
                </w:tcPr>
                <w:p w14:paraId="73F51AB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352" w:type="pct"/>
                  <w:tcBorders>
                    <w:tl2br w:val="nil"/>
                    <w:tr2bl w:val="nil"/>
                  </w:tcBorders>
                  <w:noWrap w:val="0"/>
                  <w:vAlign w:val="center"/>
                </w:tcPr>
                <w:p w14:paraId="7FCD171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方位</w:t>
                  </w:r>
                </w:p>
              </w:tc>
              <w:tc>
                <w:tcPr>
                  <w:tcW w:w="386" w:type="pct"/>
                  <w:tcBorders>
                    <w:tl2br w:val="nil"/>
                    <w:tr2bl w:val="nil"/>
                  </w:tcBorders>
                  <w:noWrap w:val="0"/>
                  <w:vAlign w:val="center"/>
                </w:tcPr>
                <w:p w14:paraId="5652A9D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距离m</w:t>
                  </w:r>
                </w:p>
              </w:tc>
              <w:tc>
                <w:tcPr>
                  <w:tcW w:w="434" w:type="pct"/>
                  <w:vMerge w:val="continue"/>
                  <w:tcBorders>
                    <w:tl2br w:val="nil"/>
                    <w:tr2bl w:val="nil"/>
                  </w:tcBorders>
                  <w:noWrap w:val="0"/>
                  <w:vAlign w:val="center"/>
                </w:tcPr>
                <w:p w14:paraId="34BAFFB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490" w:type="pct"/>
                  <w:vMerge w:val="continue"/>
                  <w:tcBorders>
                    <w:tl2br w:val="nil"/>
                    <w:tr2bl w:val="nil"/>
                  </w:tcBorders>
                  <w:noWrap w:val="0"/>
                  <w:vAlign w:val="center"/>
                </w:tcPr>
                <w:p w14:paraId="06BCA68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599" w:type="pct"/>
                  <w:vMerge w:val="continue"/>
                  <w:tcBorders>
                    <w:tl2br w:val="nil"/>
                    <w:tr2bl w:val="nil"/>
                  </w:tcBorders>
                  <w:noWrap w:val="0"/>
                  <w:vAlign w:val="center"/>
                </w:tcPr>
                <w:p w14:paraId="115C3F5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667" w:type="pct"/>
                  <w:vMerge w:val="continue"/>
                  <w:tcBorders>
                    <w:tl2br w:val="nil"/>
                    <w:tr2bl w:val="nil"/>
                  </w:tcBorders>
                  <w:noWrap w:val="0"/>
                  <w:vAlign w:val="center"/>
                </w:tcPr>
                <w:p w14:paraId="2BC1C74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566" w:type="pct"/>
                  <w:vMerge w:val="continue"/>
                  <w:tcBorders>
                    <w:tl2br w:val="nil"/>
                    <w:tr2bl w:val="nil"/>
                  </w:tcBorders>
                  <w:noWrap w:val="0"/>
                  <w:vAlign w:val="center"/>
                </w:tcPr>
                <w:p w14:paraId="3639FFF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388" w:type="pct"/>
                  <w:vMerge w:val="continue"/>
                  <w:tcBorders>
                    <w:tl2br w:val="nil"/>
                    <w:tr2bl w:val="nil"/>
                  </w:tcBorders>
                  <w:noWrap w:val="0"/>
                  <w:vAlign w:val="center"/>
                </w:tcPr>
                <w:p w14:paraId="305A34D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c>
                <w:tcPr>
                  <w:tcW w:w="319" w:type="pct"/>
                  <w:vMerge w:val="continue"/>
                  <w:tcBorders>
                    <w:tl2br w:val="nil"/>
                    <w:tr2bl w:val="nil"/>
                  </w:tcBorders>
                  <w:noWrap w:val="0"/>
                  <w:vAlign w:val="center"/>
                </w:tcPr>
                <w:p w14:paraId="6F4541C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p>
              </w:tc>
            </w:tr>
            <w:tr w14:paraId="5A6223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674" w:hRule="atLeast"/>
                <w:jc w:val="center"/>
              </w:trPr>
              <w:tc>
                <w:tcPr>
                  <w:tcW w:w="795" w:type="pct"/>
                  <w:tcBorders>
                    <w:tl2br w:val="nil"/>
                    <w:tr2bl w:val="nil"/>
                  </w:tcBorders>
                  <w:noWrap w:val="0"/>
                  <w:vAlign w:val="center"/>
                </w:tcPr>
                <w:p w14:paraId="3AA452C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邵庄村</w:t>
                  </w:r>
                </w:p>
              </w:tc>
              <w:tc>
                <w:tcPr>
                  <w:tcW w:w="352" w:type="pct"/>
                  <w:tcBorders>
                    <w:tl2br w:val="nil"/>
                    <w:tr2bl w:val="nil"/>
                  </w:tcBorders>
                  <w:noWrap w:val="0"/>
                  <w:vAlign w:val="center"/>
                </w:tcPr>
                <w:p w14:paraId="0E13DD5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南</w:t>
                  </w:r>
                  <w:r>
                    <w:rPr>
                      <w:rFonts w:hint="default" w:ascii="Times New Roman" w:hAnsi="Times New Roman" w:eastAsia="宋体" w:cs="Times New Roman"/>
                      <w:color w:val="auto"/>
                      <w:kern w:val="0"/>
                      <w:sz w:val="21"/>
                      <w:szCs w:val="21"/>
                      <w:highlight w:val="none"/>
                    </w:rPr>
                    <w:t>侧</w:t>
                  </w:r>
                </w:p>
              </w:tc>
              <w:tc>
                <w:tcPr>
                  <w:tcW w:w="386" w:type="pct"/>
                  <w:tcBorders>
                    <w:tl2br w:val="nil"/>
                    <w:tr2bl w:val="nil"/>
                  </w:tcBorders>
                  <w:noWrap w:val="0"/>
                  <w:vAlign w:val="center"/>
                </w:tcPr>
                <w:p w14:paraId="15E1316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1900</w:t>
                  </w:r>
                </w:p>
              </w:tc>
              <w:tc>
                <w:tcPr>
                  <w:tcW w:w="434" w:type="pct"/>
                  <w:tcBorders>
                    <w:tl2br w:val="nil"/>
                    <w:tr2bl w:val="nil"/>
                  </w:tcBorders>
                  <w:noWrap w:val="0"/>
                  <w:vAlign w:val="center"/>
                </w:tcPr>
                <w:p w14:paraId="40191E0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TSP</w:t>
                  </w:r>
                </w:p>
              </w:tc>
              <w:tc>
                <w:tcPr>
                  <w:tcW w:w="490" w:type="pct"/>
                  <w:tcBorders>
                    <w:tl2br w:val="nil"/>
                    <w:tr2bl w:val="nil"/>
                  </w:tcBorders>
                  <w:noWrap w:val="0"/>
                  <w:vAlign w:val="center"/>
                </w:tcPr>
                <w:p w14:paraId="5538FF8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24小时平均</w:t>
                  </w:r>
                </w:p>
              </w:tc>
              <w:tc>
                <w:tcPr>
                  <w:tcW w:w="599" w:type="pct"/>
                  <w:tcBorders>
                    <w:tl2br w:val="nil"/>
                    <w:tr2bl w:val="nil"/>
                  </w:tcBorders>
                  <w:noWrap w:val="0"/>
                  <w:vAlign w:val="center"/>
                </w:tcPr>
                <w:p w14:paraId="5A76CE4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300</w:t>
                  </w:r>
                </w:p>
              </w:tc>
              <w:tc>
                <w:tcPr>
                  <w:tcW w:w="667" w:type="pct"/>
                  <w:tcBorders>
                    <w:tl2br w:val="nil"/>
                    <w:tr2bl w:val="nil"/>
                  </w:tcBorders>
                  <w:noWrap w:val="0"/>
                  <w:vAlign w:val="center"/>
                </w:tcPr>
                <w:p w14:paraId="39B3A80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rPr>
                  </w:pPr>
                  <w:r>
                    <w:rPr>
                      <w:rFonts w:hint="eastAsia" w:ascii="Times New Roman" w:hAnsi="Times New Roman" w:cs="Times New Roman"/>
                      <w:color w:val="auto"/>
                      <w:kern w:val="0"/>
                      <w:sz w:val="21"/>
                      <w:szCs w:val="21"/>
                      <w:highlight w:val="none"/>
                      <w:lang w:val="en-US" w:eastAsia="zh-CN"/>
                    </w:rPr>
                    <w:t>176</w:t>
                  </w:r>
                  <w:r>
                    <w:rPr>
                      <w:rFonts w:hint="default" w:ascii="Times New Roman" w:hAnsi="Times New Roman" w:eastAsia="宋体" w:cs="Times New Roman"/>
                      <w:color w:val="auto"/>
                      <w:kern w:val="0"/>
                      <w:sz w:val="21"/>
                      <w:szCs w:val="21"/>
                      <w:highlight w:val="none"/>
                      <w:lang w:val="en-US" w:eastAsia="zh-CN"/>
                    </w:rPr>
                    <w:t>~</w:t>
                  </w:r>
                  <w:r>
                    <w:rPr>
                      <w:rFonts w:hint="eastAsia" w:ascii="Times New Roman" w:hAnsi="Times New Roman" w:cs="Times New Roman"/>
                      <w:color w:val="auto"/>
                      <w:kern w:val="0"/>
                      <w:sz w:val="21"/>
                      <w:szCs w:val="21"/>
                      <w:highlight w:val="none"/>
                      <w:lang w:val="en-US" w:eastAsia="zh-CN"/>
                    </w:rPr>
                    <w:t>217</w:t>
                  </w:r>
                </w:p>
              </w:tc>
              <w:tc>
                <w:tcPr>
                  <w:tcW w:w="566" w:type="pct"/>
                  <w:tcBorders>
                    <w:tl2br w:val="nil"/>
                    <w:tr2bl w:val="nil"/>
                  </w:tcBorders>
                  <w:noWrap w:val="0"/>
                  <w:vAlign w:val="center"/>
                </w:tcPr>
                <w:p w14:paraId="031F91A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72.3</w:t>
                  </w:r>
                </w:p>
              </w:tc>
              <w:tc>
                <w:tcPr>
                  <w:tcW w:w="388" w:type="pct"/>
                  <w:tcBorders>
                    <w:tl2br w:val="nil"/>
                    <w:tr2bl w:val="nil"/>
                  </w:tcBorders>
                  <w:noWrap w:val="0"/>
                  <w:vAlign w:val="center"/>
                </w:tcPr>
                <w:p w14:paraId="1454DFC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0</w:t>
                  </w:r>
                </w:p>
              </w:tc>
              <w:tc>
                <w:tcPr>
                  <w:tcW w:w="319" w:type="pct"/>
                  <w:tcBorders>
                    <w:tl2br w:val="nil"/>
                    <w:tr2bl w:val="nil"/>
                  </w:tcBorders>
                  <w:noWrap w:val="0"/>
                  <w:vAlign w:val="center"/>
                </w:tcPr>
                <w:p w14:paraId="722C7AA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达标</w:t>
                  </w:r>
                </w:p>
              </w:tc>
            </w:tr>
          </w:tbl>
          <w:p w14:paraId="4CDAB6C3">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eastAsia"/>
                <w:color w:val="auto"/>
                <w:sz w:val="24"/>
              </w:rPr>
            </w:pPr>
            <w:r>
              <w:rPr>
                <w:bCs/>
                <w:color w:val="auto"/>
                <w:sz w:val="24"/>
                <w:highlight w:val="none"/>
              </w:rPr>
              <w:t>由上表可知</w:t>
            </w:r>
            <w:r>
              <w:rPr>
                <w:rFonts w:hint="default" w:ascii="Times New Roman" w:hAnsi="Times New Roman" w:eastAsia="宋体" w:cs="Times New Roman"/>
                <w:color w:val="auto"/>
                <w:kern w:val="0"/>
                <w:sz w:val="24"/>
                <w:szCs w:val="24"/>
                <w:highlight w:val="none"/>
                <w:lang w:val="en-US" w:eastAsia="zh-CN" w:bidi="ar"/>
              </w:rPr>
              <w:t>，</w:t>
            </w:r>
            <w:r>
              <w:rPr>
                <w:color w:val="auto"/>
                <w:sz w:val="24"/>
              </w:rPr>
              <w:t>监测期间</w:t>
            </w:r>
            <w:r>
              <w:rPr>
                <w:rFonts w:hint="eastAsia" w:cs="宋体"/>
                <w:color w:val="auto"/>
                <w:spacing w:val="-6"/>
                <w:sz w:val="24"/>
                <w:szCs w:val="24"/>
                <w:highlight w:val="none"/>
                <w:lang w:eastAsia="zh-CN"/>
              </w:rPr>
              <w:t>监测点</w:t>
            </w:r>
            <w:r>
              <w:rPr>
                <w:rFonts w:hint="eastAsia"/>
                <w:color w:val="auto"/>
                <w:sz w:val="24"/>
              </w:rPr>
              <w:t>TSP24</w:t>
            </w:r>
            <w:r>
              <w:rPr>
                <w:color w:val="auto"/>
                <w:sz w:val="24"/>
              </w:rPr>
              <w:t>小时平均浓度满足</w:t>
            </w:r>
            <w:r>
              <w:rPr>
                <w:rFonts w:hint="eastAsia"/>
                <w:color w:val="auto"/>
                <w:sz w:val="24"/>
                <w:szCs w:val="24"/>
                <w:lang w:eastAsia="zh-CN"/>
              </w:rPr>
              <w:t>《环境空气质量标准》（GB3095-2026）</w:t>
            </w:r>
            <w:r>
              <w:rPr>
                <w:color w:val="auto"/>
                <w:spacing w:val="4"/>
                <w:kern w:val="0"/>
                <w:sz w:val="24"/>
                <w:highlight w:val="none"/>
              </w:rPr>
              <w:t>中二级标准要求</w:t>
            </w:r>
            <w:r>
              <w:rPr>
                <w:rFonts w:hint="eastAsia"/>
                <w:color w:val="auto"/>
                <w:sz w:val="24"/>
              </w:rPr>
              <w:t>。</w:t>
            </w:r>
          </w:p>
          <w:p w14:paraId="07662BE9">
            <w:pPr>
              <w:pStyle w:val="15"/>
              <w:keepNext w:val="0"/>
              <w:keepLines w:val="0"/>
              <w:pageBreakBefore w:val="0"/>
              <w:widowControl w:val="0"/>
              <w:shd w:val="clear"/>
              <w:kinsoku/>
              <w:wordWrap/>
              <w:overflowPunct/>
              <w:topLinePunct w:val="0"/>
              <w:autoSpaceDE/>
              <w:autoSpaceDN/>
              <w:bidi w:val="0"/>
              <w:adjustRightInd w:val="0"/>
              <w:snapToGrid w:val="0"/>
              <w:spacing w:after="0" w:line="480" w:lineRule="exact"/>
              <w:ind w:left="0" w:leftChars="0" w:right="0" w:rightChars="0" w:firstLine="480" w:firstLineChars="200"/>
              <w:textAlignment w:val="auto"/>
              <w:rPr>
                <w:rFonts w:hint="default" w:ascii="Times New Roman" w:hAnsi="Times New Roman" w:eastAsia="宋体" w:cs="Times New Roman"/>
                <w:color w:val="auto"/>
                <w:w w:val="100"/>
                <w:sz w:val="24"/>
                <w:szCs w:val="24"/>
              </w:rPr>
            </w:pPr>
            <w:r>
              <w:rPr>
                <w:rFonts w:hint="default" w:ascii="Times New Roman" w:hAnsi="Times New Roman" w:eastAsia="宋体" w:cs="Times New Roman"/>
                <w:color w:val="auto"/>
                <w:w w:val="100"/>
                <w:sz w:val="24"/>
                <w:szCs w:val="24"/>
              </w:rPr>
              <w:t>2、地表水环境</w:t>
            </w:r>
          </w:p>
          <w:p w14:paraId="334F87B9">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ascii="Times New Roman" w:hAnsi="Times New Roman" w:eastAsia="宋体" w:cs="Times New Roman"/>
                <w:color w:val="auto"/>
                <w:w w:val="100"/>
                <w:kern w:val="24"/>
                <w:sz w:val="24"/>
                <w:szCs w:val="24"/>
              </w:rPr>
            </w:pPr>
            <w:r>
              <w:rPr>
                <w:rFonts w:hint="default" w:ascii="Times New Roman" w:hAnsi="Times New Roman" w:eastAsia="宋体" w:cs="Times New Roman"/>
                <w:color w:val="auto"/>
                <w:w w:val="100"/>
                <w:sz w:val="24"/>
                <w:szCs w:val="24"/>
              </w:rPr>
              <w:t>本项目无废水外排，不会对周围地表水产生影响。</w:t>
            </w:r>
            <w:r>
              <w:rPr>
                <w:rFonts w:ascii="Times New Roman" w:hAnsi="Times New Roman"/>
                <w:bCs/>
                <w:color w:val="auto"/>
                <w:sz w:val="24"/>
                <w:szCs w:val="24"/>
              </w:rPr>
              <w:t>根据20</w:t>
            </w:r>
            <w:r>
              <w:rPr>
                <w:rFonts w:hint="eastAsia" w:ascii="Times New Roman" w:hAnsi="Times New Roman"/>
                <w:bCs/>
                <w:color w:val="auto"/>
                <w:sz w:val="24"/>
                <w:szCs w:val="24"/>
                <w:lang w:val="en-US" w:eastAsia="zh-CN"/>
              </w:rPr>
              <w:t>25</w:t>
            </w:r>
            <w:r>
              <w:rPr>
                <w:rFonts w:ascii="Times New Roman" w:hAnsi="Times New Roman"/>
                <w:bCs/>
                <w:color w:val="auto"/>
                <w:sz w:val="24"/>
                <w:szCs w:val="24"/>
              </w:rPr>
              <w:t>年5月唐山市生态环境局发布</w:t>
            </w:r>
            <w:r>
              <w:rPr>
                <w:rFonts w:hint="eastAsia" w:ascii="Times New Roman" w:hAnsi="Times New Roman"/>
                <w:bCs/>
                <w:color w:val="auto"/>
                <w:sz w:val="24"/>
                <w:szCs w:val="24"/>
                <w:lang w:eastAsia="zh-CN"/>
              </w:rPr>
              <w:t>的</w:t>
            </w:r>
            <w:r>
              <w:rPr>
                <w:rFonts w:ascii="Times New Roman" w:hAnsi="Times New Roman"/>
                <w:bCs/>
                <w:color w:val="auto"/>
                <w:sz w:val="24"/>
                <w:szCs w:val="24"/>
              </w:rPr>
              <w:t>《202</w:t>
            </w:r>
            <w:r>
              <w:rPr>
                <w:rFonts w:hint="eastAsia" w:ascii="Times New Roman" w:hAnsi="Times New Roman"/>
                <w:bCs/>
                <w:color w:val="auto"/>
                <w:sz w:val="24"/>
                <w:szCs w:val="24"/>
                <w:lang w:val="en-US" w:eastAsia="zh-CN"/>
              </w:rPr>
              <w:t>4</w:t>
            </w:r>
            <w:r>
              <w:rPr>
                <w:rFonts w:ascii="Times New Roman" w:hAnsi="Times New Roman"/>
                <w:bCs/>
                <w:color w:val="auto"/>
                <w:sz w:val="24"/>
                <w:szCs w:val="24"/>
              </w:rPr>
              <w:t>年唐山市</w:t>
            </w:r>
            <w:r>
              <w:rPr>
                <w:rFonts w:hint="eastAsia" w:ascii="Times New Roman" w:hAnsi="Times New Roman"/>
                <w:bCs/>
                <w:color w:val="auto"/>
                <w:sz w:val="24"/>
                <w:szCs w:val="24"/>
                <w:lang w:eastAsia="zh-CN"/>
              </w:rPr>
              <w:t>生态</w:t>
            </w:r>
            <w:r>
              <w:rPr>
                <w:rFonts w:ascii="Times New Roman" w:hAnsi="Times New Roman"/>
                <w:bCs/>
                <w:color w:val="auto"/>
                <w:sz w:val="24"/>
                <w:szCs w:val="24"/>
              </w:rPr>
              <w:t>环境状况公报》可知，全市共有地表水国、省考监测断面14个，其中国考监测断面12个，省考监测断面2个，分别布于滦河4个、还乡河2个、陡河2个、青龙河1个、蓟运河1个、煤河1个、淋河1个、黎河1个、沙河1个，202</w:t>
            </w:r>
            <w:r>
              <w:rPr>
                <w:rFonts w:hint="eastAsia" w:ascii="Times New Roman" w:hAnsi="Times New Roman"/>
                <w:bCs/>
                <w:color w:val="auto"/>
                <w:sz w:val="24"/>
                <w:szCs w:val="24"/>
                <w:lang w:val="en-US" w:eastAsia="zh-CN"/>
              </w:rPr>
              <w:t>4</w:t>
            </w:r>
            <w:r>
              <w:rPr>
                <w:rFonts w:ascii="Times New Roman" w:hAnsi="Times New Roman"/>
                <w:bCs/>
                <w:color w:val="auto"/>
                <w:sz w:val="24"/>
                <w:szCs w:val="24"/>
              </w:rPr>
              <w:t>年全市国、省考核9条河流、2个湖库的14个断面优良（Ⅰ~Ⅲ）比例为85.71%，完成省达目标要求，因此本项目所在区域地表水满足《地表水环境质量标准》（GB3838-2002）Ⅲ类水质目标要求，地表水环境质量状况良好。</w:t>
            </w:r>
          </w:p>
          <w:p w14:paraId="674CD689">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ascii="Times New Roman" w:hAnsi="Times New Roman" w:eastAsia="宋体" w:cs="Times New Roman"/>
                <w:color w:val="auto"/>
                <w:w w:val="100"/>
                <w:kern w:val="24"/>
                <w:sz w:val="24"/>
                <w:szCs w:val="24"/>
                <w:lang w:val="zh-CN"/>
              </w:rPr>
            </w:pPr>
            <w:r>
              <w:rPr>
                <w:rFonts w:hint="default" w:ascii="Times New Roman" w:hAnsi="Times New Roman" w:eastAsia="宋体" w:cs="Times New Roman"/>
                <w:color w:val="auto"/>
                <w:w w:val="100"/>
                <w:kern w:val="24"/>
                <w:sz w:val="24"/>
                <w:szCs w:val="24"/>
                <w:lang w:val="zh-CN"/>
              </w:rPr>
              <w:t>3、声环境</w:t>
            </w:r>
          </w:p>
          <w:p w14:paraId="3A68366F">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snapToGrid w:val="0"/>
                <w:color w:val="auto"/>
                <w:kern w:val="0"/>
                <w:sz w:val="24"/>
                <w:highlight w:val="none"/>
              </w:rPr>
            </w:pPr>
            <w:r>
              <w:rPr>
                <w:rFonts w:hint="default" w:ascii="Times New Roman" w:hAnsi="Times New Roman" w:eastAsia="宋体" w:cs="Times New Roman"/>
                <w:color w:val="auto"/>
                <w:w w:val="100"/>
                <w:sz w:val="24"/>
                <w:szCs w:val="24"/>
              </w:rPr>
              <w:t>项目厂区周边50m范围内不存在声环境保护目标，根据《建设项目环境影响报告表编制技术指南（污染影响类）》（试行），本项目无需进行声环境质量现状监测。</w:t>
            </w:r>
          </w:p>
          <w:p w14:paraId="6A8D76FC">
            <w:pPr>
              <w:pStyle w:val="31"/>
              <w:keepNext w:val="0"/>
              <w:keepLines w:val="0"/>
              <w:pageBreakBefore w:val="0"/>
              <w:widowControl w:val="0"/>
              <w:shd w:val="clear"/>
              <w:kinsoku/>
              <w:wordWrap/>
              <w:overflowPunct/>
              <w:topLinePunct w:val="0"/>
              <w:autoSpaceDE/>
              <w:autoSpaceDN/>
              <w:bidi w:val="0"/>
              <w:adjustRightInd w:val="0"/>
              <w:snapToGrid w:val="0"/>
              <w:spacing w:after="0" w:line="480" w:lineRule="exact"/>
              <w:ind w:left="0" w:leftChars="0" w:rightChars="0" w:firstLine="480" w:firstLineChars="200"/>
              <w:textAlignment w:val="auto"/>
              <w:rPr>
                <w:rFonts w:hint="default" w:ascii="Times New Roman" w:hAnsi="Times New Roman" w:eastAsia="宋体" w:cs="Times New Roman"/>
                <w:color w:val="auto"/>
                <w:w w:val="100"/>
                <w:sz w:val="24"/>
                <w:szCs w:val="24"/>
              </w:rPr>
            </w:pPr>
            <w:r>
              <w:rPr>
                <w:rFonts w:hint="default" w:ascii="Times New Roman" w:hAnsi="Times New Roman" w:eastAsia="宋体" w:cs="Times New Roman"/>
                <w:color w:val="auto"/>
                <w:w w:val="100"/>
                <w:sz w:val="24"/>
                <w:szCs w:val="24"/>
              </w:rPr>
              <w:t>4、生态环境</w:t>
            </w:r>
          </w:p>
          <w:p w14:paraId="53779CB7">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eastAsia"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该区域内生态环境以农村环境为主，主要粮食作物有红薯、花生、棉花、玉米、小麦，树种主要以杨、柳、槐树为主，动物种类主要为田鼠及农村饲养的家禽、家畜。区域内无国家保护的名胜古迹和重点文物</w:t>
            </w:r>
            <w:r>
              <w:rPr>
                <w:rFonts w:hint="eastAsia" w:ascii="Times New Roman" w:hAnsi="Times New Roman" w:eastAsia="宋体" w:cs="Times New Roman"/>
                <w:color w:val="auto"/>
                <w:sz w:val="24"/>
                <w:szCs w:val="24"/>
                <w:highlight w:val="none"/>
                <w:lang w:val="en-US" w:eastAsia="zh-CN" w:bidi="ar"/>
              </w:rPr>
              <w:t>。</w:t>
            </w:r>
          </w:p>
          <w:p w14:paraId="0295A041">
            <w:pPr>
              <w:pStyle w:val="31"/>
              <w:keepNext w:val="0"/>
              <w:keepLines w:val="0"/>
              <w:pageBreakBefore w:val="0"/>
              <w:widowControl w:val="0"/>
              <w:shd w:val="clear"/>
              <w:kinsoku/>
              <w:wordWrap/>
              <w:overflowPunct/>
              <w:topLinePunct w:val="0"/>
              <w:autoSpaceDE/>
              <w:autoSpaceDN/>
              <w:bidi w:val="0"/>
              <w:adjustRightInd w:val="0"/>
              <w:snapToGrid w:val="0"/>
              <w:spacing w:after="0" w:line="480" w:lineRule="exact"/>
              <w:ind w:left="0" w:leftChars="0" w:rightChars="0" w:firstLine="480" w:firstLineChars="200"/>
              <w:textAlignment w:val="auto"/>
              <w:rPr>
                <w:rFonts w:hint="default" w:ascii="Times New Roman" w:hAnsi="Times New Roman" w:eastAsia="宋体" w:cs="Times New Roman"/>
                <w:color w:val="auto"/>
                <w:w w:val="100"/>
                <w:sz w:val="24"/>
                <w:szCs w:val="24"/>
              </w:rPr>
            </w:pPr>
            <w:r>
              <w:rPr>
                <w:rFonts w:hint="default" w:ascii="Times New Roman" w:hAnsi="Times New Roman" w:eastAsia="宋体" w:cs="Times New Roman"/>
                <w:color w:val="auto"/>
                <w:w w:val="100"/>
                <w:sz w:val="24"/>
                <w:szCs w:val="24"/>
              </w:rPr>
              <w:t>5、电磁辐射</w:t>
            </w:r>
          </w:p>
          <w:p w14:paraId="5A82A9B1">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ascii="Times New Roman" w:hAnsi="Times New Roman" w:eastAsia="宋体" w:cs="Times New Roman"/>
                <w:color w:val="auto"/>
                <w:w w:val="100"/>
                <w:kern w:val="0"/>
                <w:sz w:val="24"/>
                <w:szCs w:val="24"/>
              </w:rPr>
            </w:pPr>
            <w:r>
              <w:rPr>
                <w:rFonts w:hint="default" w:ascii="Times New Roman" w:hAnsi="Times New Roman" w:eastAsia="宋体" w:cs="Times New Roman"/>
                <w:color w:val="auto"/>
                <w:w w:val="100"/>
                <w:kern w:val="0"/>
                <w:sz w:val="24"/>
                <w:szCs w:val="24"/>
              </w:rPr>
              <w:t>项目不属于新建或改建、扩建广播电台、差转台、电视塔台、卫星地球上行站、雷达等电磁辐射类项目，无需开展电磁辐射现状监测与评价。</w:t>
            </w:r>
          </w:p>
          <w:p w14:paraId="048670B4">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Style w:val="39"/>
                <w:rFonts w:hint="default" w:ascii="Times New Roman" w:hAnsi="Times New Roman" w:eastAsia="宋体" w:cs="Times New Roman"/>
                <w:color w:val="auto"/>
                <w:w w:val="100"/>
                <w:kern w:val="0"/>
                <w:sz w:val="24"/>
                <w:szCs w:val="24"/>
              </w:rPr>
            </w:pPr>
            <w:r>
              <w:rPr>
                <w:rFonts w:hint="default" w:ascii="Times New Roman" w:hAnsi="Times New Roman" w:eastAsia="宋体" w:cs="Times New Roman"/>
                <w:color w:val="auto"/>
                <w:w w:val="100"/>
                <w:kern w:val="24"/>
                <w:sz w:val="24"/>
                <w:szCs w:val="24"/>
              </w:rPr>
              <w:t>6、</w:t>
            </w:r>
            <w:r>
              <w:rPr>
                <w:rFonts w:hint="default" w:ascii="Times New Roman" w:hAnsi="Times New Roman" w:eastAsia="宋体" w:cs="Times New Roman"/>
                <w:color w:val="auto"/>
                <w:w w:val="100"/>
                <w:sz w:val="24"/>
                <w:szCs w:val="24"/>
              </w:rPr>
              <w:t>地下水、土壤环境</w:t>
            </w:r>
          </w:p>
          <w:p w14:paraId="5C20DB24">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eastAsia"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w w:val="100"/>
                <w:sz w:val="24"/>
                <w:szCs w:val="24"/>
              </w:rPr>
              <w:t>根据《建设项目环境影响报告表编制指南（污染影响类）试行》规定，原则上不开展环境质量现状调查。本项目按相关要求采取相关防渗措施后可防止地下水、土壤污染。因此项目可不进行地下水、土壤环境质量现状调查。</w:t>
            </w:r>
            <w:r>
              <w:rPr>
                <w:rFonts w:hint="default" w:ascii="Times New Roman" w:hAnsi="Times New Roman" w:eastAsia="宋体" w:cs="Times New Roman"/>
                <w:color w:val="auto"/>
                <w:spacing w:val="6"/>
                <w:w w:val="100"/>
                <w:kern w:val="2"/>
                <w:sz w:val="24"/>
                <w:szCs w:val="24"/>
                <w:highlight w:val="none"/>
                <w:lang w:val="en-US" w:eastAsia="zh-CN" w:bidi="ar-SA"/>
              </w:rPr>
              <w:t xml:space="preserve"> </w:t>
            </w:r>
          </w:p>
          <w:p w14:paraId="571A9398">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370A2426">
            <w:pPr>
              <w:pStyle w:val="31"/>
              <w:shd w:val="clear"/>
              <w:rPr>
                <w:rFonts w:hint="default" w:ascii="Times New Roman" w:hAnsi="Times New Roman" w:eastAsia="宋体" w:cs="Times New Roman"/>
                <w:color w:val="auto"/>
                <w:sz w:val="24"/>
                <w:highlight w:val="none"/>
                <w:lang w:val="en-US" w:eastAsia="zh-CN"/>
              </w:rPr>
            </w:pPr>
          </w:p>
          <w:p w14:paraId="0C3C81C2">
            <w:pPr>
              <w:pStyle w:val="31"/>
              <w:shd w:val="clear"/>
              <w:rPr>
                <w:rFonts w:hint="default" w:ascii="Times New Roman" w:hAnsi="Times New Roman" w:eastAsia="宋体" w:cs="Times New Roman"/>
                <w:color w:val="auto"/>
                <w:sz w:val="24"/>
                <w:highlight w:val="none"/>
                <w:lang w:val="en-US" w:eastAsia="zh-CN"/>
              </w:rPr>
            </w:pPr>
          </w:p>
          <w:p w14:paraId="7D687862">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0" w:firstLineChars="0"/>
              <w:textAlignment w:val="auto"/>
              <w:rPr>
                <w:rFonts w:hint="default"/>
                <w:color w:val="auto"/>
                <w:highlight w:val="none"/>
                <w:lang w:val="en-US" w:eastAsia="zh-CN"/>
              </w:rPr>
            </w:pPr>
          </w:p>
        </w:tc>
      </w:tr>
      <w:tr w14:paraId="31DB9DD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67" w:hRule="atLeast"/>
          <w:jc w:val="center"/>
        </w:trPr>
        <w:tc>
          <w:tcPr>
            <w:tcW w:w="800" w:type="dxa"/>
            <w:tcBorders>
              <w:tl2br w:val="nil"/>
              <w:tr2bl w:val="nil"/>
            </w:tcBorders>
            <w:noWrap w:val="0"/>
            <w:vAlign w:val="center"/>
          </w:tcPr>
          <w:p w14:paraId="3889AA6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环境</w:t>
            </w:r>
          </w:p>
          <w:p w14:paraId="51DC35D8">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保护</w:t>
            </w:r>
          </w:p>
          <w:p w14:paraId="4FB6C09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目标</w:t>
            </w:r>
          </w:p>
        </w:tc>
        <w:tc>
          <w:tcPr>
            <w:tcW w:w="8346" w:type="dxa"/>
            <w:tcBorders>
              <w:tl2br w:val="nil"/>
              <w:tr2bl w:val="nil"/>
            </w:tcBorders>
            <w:noWrap w:val="0"/>
            <w:vAlign w:val="center"/>
          </w:tcPr>
          <w:p w14:paraId="1307CEA6">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环境保护目标如下：</w:t>
            </w:r>
          </w:p>
          <w:p w14:paraId="6770B892">
            <w:pPr>
              <w:keepNext w:val="0"/>
              <w:keepLines w:val="0"/>
              <w:pageBreakBefore w:val="0"/>
              <w:widowControl w:val="0"/>
              <w:numPr>
                <w:ilvl w:val="0"/>
                <w:numId w:val="13"/>
              </w:numPr>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b/>
                <w:bCs/>
                <w:color w:val="auto"/>
                <w:kern w:val="0"/>
                <w:sz w:val="24"/>
                <w:szCs w:val="24"/>
                <w:highlight w:val="none"/>
                <w:shd w:val="clear" w:color="auto" w:fill="auto"/>
                <w:lang w:val="en-US" w:eastAsia="zh-CN"/>
              </w:rPr>
            </w:pPr>
            <w:r>
              <w:rPr>
                <w:rFonts w:hint="default" w:ascii="Times New Roman" w:hAnsi="Times New Roman" w:eastAsia="宋体" w:cs="Times New Roman"/>
                <w:b w:val="0"/>
                <w:bCs w:val="0"/>
                <w:color w:val="auto"/>
                <w:kern w:val="0"/>
                <w:sz w:val="24"/>
                <w:szCs w:val="24"/>
                <w:highlight w:val="none"/>
                <w:shd w:val="clear" w:color="auto" w:fill="auto"/>
                <w:lang w:val="en-US" w:eastAsia="zh-CN"/>
              </w:rPr>
              <w:t>大气环境</w:t>
            </w:r>
          </w:p>
          <w:p w14:paraId="785D9F25">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本项目厂界外500m范围内无自然保护区、</w:t>
            </w:r>
            <w:r>
              <w:rPr>
                <w:rFonts w:hint="eastAsia" w:ascii="Times New Roman" w:hAnsi="Times New Roman" w:eastAsia="宋体" w:cs="Times New Roman"/>
                <w:color w:val="auto"/>
                <w:sz w:val="24"/>
                <w:szCs w:val="24"/>
                <w:highlight w:val="none"/>
                <w:lang w:val="en-US" w:eastAsia="zh-CN"/>
              </w:rPr>
              <w:t>风景</w:t>
            </w:r>
            <w:r>
              <w:rPr>
                <w:rFonts w:hint="eastAsia" w:cs="Times New Roman"/>
                <w:color w:val="auto"/>
                <w:sz w:val="24"/>
                <w:szCs w:val="24"/>
                <w:highlight w:val="none"/>
                <w:lang w:val="en-US" w:eastAsia="zh-CN"/>
              </w:rPr>
              <w:t>名胜</w:t>
            </w:r>
            <w:r>
              <w:rPr>
                <w:rFonts w:hint="eastAsia" w:ascii="Times New Roman" w:hAnsi="Times New Roman" w:eastAsia="宋体" w:cs="Times New Roman"/>
                <w:color w:val="auto"/>
                <w:sz w:val="24"/>
                <w:szCs w:val="24"/>
                <w:highlight w:val="none"/>
                <w:lang w:val="en-US" w:eastAsia="zh-CN"/>
              </w:rPr>
              <w:t>区以及其他需要特殊保护的区域</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本项目厂界外500米范围</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由于本项目厂界轮廓呈不规则形状，为统一评价范围、便于敏感点调查，本次以厂区占地边界最外侧拐点外延500m划定大气环境评价调查范围</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内大气环境保护目标如下：</w:t>
            </w:r>
          </w:p>
          <w:p w14:paraId="35F3071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大气环境保护目标</w:t>
            </w:r>
          </w:p>
          <w:tbl>
            <w:tblPr>
              <w:tblStyle w:val="32"/>
              <w:tblW w:w="769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315"/>
              <w:gridCol w:w="1041"/>
              <w:gridCol w:w="1410"/>
              <w:gridCol w:w="1227"/>
              <w:gridCol w:w="772"/>
              <w:gridCol w:w="860"/>
              <w:gridCol w:w="896"/>
              <w:gridCol w:w="506"/>
              <w:gridCol w:w="668"/>
            </w:tblGrid>
            <w:tr w14:paraId="5DA183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562" w:hRule="atLeast"/>
                <w:jc w:val="center"/>
              </w:trPr>
              <w:tc>
                <w:tcPr>
                  <w:tcW w:w="315" w:type="dxa"/>
                  <w:vMerge w:val="restart"/>
                  <w:tcBorders>
                    <w:tl2br w:val="nil"/>
                    <w:tr2bl w:val="nil"/>
                  </w:tcBorders>
                  <w:noWrap w:val="0"/>
                  <w:vAlign w:val="center"/>
                </w:tcPr>
                <w:p w14:paraId="564B286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编号</w:t>
                  </w:r>
                </w:p>
              </w:tc>
              <w:tc>
                <w:tcPr>
                  <w:tcW w:w="1041" w:type="dxa"/>
                  <w:vMerge w:val="restart"/>
                  <w:tcBorders>
                    <w:tl2br w:val="nil"/>
                    <w:tr2bl w:val="nil"/>
                  </w:tcBorders>
                  <w:noWrap w:val="0"/>
                  <w:vAlign w:val="center"/>
                </w:tcPr>
                <w:p w14:paraId="44037C0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val="en-US" w:eastAsia="zh-CN"/>
                    </w:rPr>
                  </w:pPr>
                  <w:r>
                    <w:rPr>
                      <w:color w:val="auto"/>
                      <w:sz w:val="21"/>
                      <w:szCs w:val="21"/>
                      <w:highlight w:val="none"/>
                    </w:rPr>
                    <w:t>保护对象</w:t>
                  </w:r>
                  <w:r>
                    <w:rPr>
                      <w:rFonts w:hint="eastAsia"/>
                      <w:color w:val="auto"/>
                      <w:sz w:val="21"/>
                      <w:szCs w:val="21"/>
                      <w:highlight w:val="none"/>
                      <w:lang w:val="en-US" w:eastAsia="zh-CN"/>
                    </w:rPr>
                    <w:t>名称</w:t>
                  </w:r>
                </w:p>
              </w:tc>
              <w:tc>
                <w:tcPr>
                  <w:tcW w:w="2637" w:type="dxa"/>
                  <w:gridSpan w:val="2"/>
                  <w:tcBorders>
                    <w:tl2br w:val="nil"/>
                    <w:tr2bl w:val="nil"/>
                  </w:tcBorders>
                  <w:noWrap w:val="0"/>
                  <w:vAlign w:val="center"/>
                </w:tcPr>
                <w:p w14:paraId="174A4B3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val="en-US" w:eastAsia="zh-CN"/>
                    </w:rPr>
                  </w:pPr>
                  <w:r>
                    <w:rPr>
                      <w:rFonts w:hint="eastAsia"/>
                      <w:color w:val="auto"/>
                      <w:sz w:val="21"/>
                      <w:szCs w:val="21"/>
                      <w:highlight w:val="none"/>
                      <w:lang w:val="en-US" w:eastAsia="zh-CN"/>
                    </w:rPr>
                    <w:t>坐标</w:t>
                  </w:r>
                </w:p>
              </w:tc>
              <w:tc>
                <w:tcPr>
                  <w:tcW w:w="772" w:type="dxa"/>
                  <w:vMerge w:val="restart"/>
                  <w:tcBorders>
                    <w:tl2br w:val="nil"/>
                    <w:tr2bl w:val="nil"/>
                  </w:tcBorders>
                  <w:noWrap w:val="0"/>
                  <w:vAlign w:val="center"/>
                </w:tcPr>
                <w:p w14:paraId="11B50BF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保护对象</w:t>
                  </w:r>
                </w:p>
              </w:tc>
              <w:tc>
                <w:tcPr>
                  <w:tcW w:w="860" w:type="dxa"/>
                  <w:vMerge w:val="restart"/>
                  <w:tcBorders>
                    <w:tl2br w:val="nil"/>
                    <w:tr2bl w:val="nil"/>
                  </w:tcBorders>
                  <w:noWrap w:val="0"/>
                  <w:vAlign w:val="center"/>
                </w:tcPr>
                <w:p w14:paraId="5186719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保护内容</w:t>
                  </w:r>
                </w:p>
              </w:tc>
              <w:tc>
                <w:tcPr>
                  <w:tcW w:w="896" w:type="dxa"/>
                  <w:vMerge w:val="restart"/>
                  <w:tcBorders>
                    <w:tl2br w:val="nil"/>
                    <w:tr2bl w:val="nil"/>
                  </w:tcBorders>
                  <w:noWrap w:val="0"/>
                  <w:vAlign w:val="center"/>
                </w:tcPr>
                <w:p w14:paraId="6C33556F">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环境功能区</w:t>
                  </w:r>
                </w:p>
              </w:tc>
              <w:tc>
                <w:tcPr>
                  <w:tcW w:w="506" w:type="dxa"/>
                  <w:vMerge w:val="restart"/>
                  <w:tcBorders>
                    <w:tl2br w:val="nil"/>
                    <w:tr2bl w:val="nil"/>
                  </w:tcBorders>
                  <w:noWrap w:val="0"/>
                  <w:vAlign w:val="center"/>
                </w:tcPr>
                <w:p w14:paraId="1A60075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相对厂址方位</w:t>
                  </w:r>
                </w:p>
              </w:tc>
              <w:tc>
                <w:tcPr>
                  <w:tcW w:w="668" w:type="dxa"/>
                  <w:vMerge w:val="restart"/>
                  <w:tcBorders>
                    <w:tl2br w:val="nil"/>
                    <w:tr2bl w:val="nil"/>
                  </w:tcBorders>
                  <w:noWrap w:val="0"/>
                  <w:vAlign w:val="center"/>
                </w:tcPr>
                <w:p w14:paraId="1E2595A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相对厂界距离/m</w:t>
                  </w:r>
                </w:p>
              </w:tc>
            </w:tr>
            <w:tr w14:paraId="38CB2B9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542" w:hRule="atLeast"/>
                <w:jc w:val="center"/>
              </w:trPr>
              <w:tc>
                <w:tcPr>
                  <w:tcW w:w="315" w:type="dxa"/>
                  <w:vMerge w:val="continue"/>
                  <w:tcBorders>
                    <w:tl2br w:val="nil"/>
                    <w:tr2bl w:val="nil"/>
                  </w:tcBorders>
                  <w:noWrap w:val="0"/>
                  <w:vAlign w:val="center"/>
                </w:tcPr>
                <w:p w14:paraId="2536730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c>
                <w:tcPr>
                  <w:tcW w:w="1041" w:type="dxa"/>
                  <w:vMerge w:val="continue"/>
                  <w:tcBorders>
                    <w:tl2br w:val="nil"/>
                    <w:tr2bl w:val="nil"/>
                  </w:tcBorders>
                  <w:noWrap w:val="0"/>
                  <w:vAlign w:val="center"/>
                </w:tcPr>
                <w:p w14:paraId="3E615C2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c>
                <w:tcPr>
                  <w:tcW w:w="1410" w:type="dxa"/>
                  <w:tcBorders>
                    <w:tl2br w:val="nil"/>
                    <w:tr2bl w:val="nil"/>
                  </w:tcBorders>
                  <w:noWrap w:val="0"/>
                  <w:vAlign w:val="center"/>
                </w:tcPr>
                <w:p w14:paraId="7107F60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val="en-US" w:eastAsia="zh-CN"/>
                    </w:rPr>
                  </w:pPr>
                  <w:r>
                    <w:rPr>
                      <w:rFonts w:hint="eastAsia"/>
                      <w:color w:val="auto"/>
                      <w:sz w:val="21"/>
                      <w:szCs w:val="21"/>
                      <w:highlight w:val="none"/>
                      <w:lang w:val="en-US" w:eastAsia="zh-CN"/>
                    </w:rPr>
                    <w:t>经度</w:t>
                  </w:r>
                </w:p>
              </w:tc>
              <w:tc>
                <w:tcPr>
                  <w:tcW w:w="1227" w:type="dxa"/>
                  <w:tcBorders>
                    <w:tl2br w:val="nil"/>
                    <w:tr2bl w:val="nil"/>
                  </w:tcBorders>
                  <w:noWrap w:val="0"/>
                  <w:vAlign w:val="center"/>
                </w:tcPr>
                <w:p w14:paraId="4FF63ED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val="en-US" w:eastAsia="zh-CN"/>
                    </w:rPr>
                  </w:pPr>
                  <w:r>
                    <w:rPr>
                      <w:rFonts w:hint="eastAsia"/>
                      <w:color w:val="auto"/>
                      <w:sz w:val="21"/>
                      <w:szCs w:val="21"/>
                      <w:highlight w:val="none"/>
                      <w:lang w:val="en-US" w:eastAsia="zh-CN"/>
                    </w:rPr>
                    <w:t>纬度</w:t>
                  </w:r>
                </w:p>
              </w:tc>
              <w:tc>
                <w:tcPr>
                  <w:tcW w:w="772" w:type="dxa"/>
                  <w:vMerge w:val="continue"/>
                  <w:tcBorders>
                    <w:tl2br w:val="nil"/>
                    <w:tr2bl w:val="nil"/>
                  </w:tcBorders>
                  <w:noWrap w:val="0"/>
                  <w:vAlign w:val="center"/>
                </w:tcPr>
                <w:p w14:paraId="23DB8971">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c>
                <w:tcPr>
                  <w:tcW w:w="860" w:type="dxa"/>
                  <w:vMerge w:val="continue"/>
                  <w:tcBorders>
                    <w:tl2br w:val="nil"/>
                    <w:tr2bl w:val="nil"/>
                  </w:tcBorders>
                  <w:noWrap w:val="0"/>
                  <w:vAlign w:val="center"/>
                </w:tcPr>
                <w:p w14:paraId="1C307C1E">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c>
                <w:tcPr>
                  <w:tcW w:w="896" w:type="dxa"/>
                  <w:vMerge w:val="continue"/>
                  <w:tcBorders>
                    <w:tl2br w:val="nil"/>
                    <w:tr2bl w:val="nil"/>
                  </w:tcBorders>
                  <w:noWrap w:val="0"/>
                  <w:vAlign w:val="center"/>
                </w:tcPr>
                <w:p w14:paraId="69DE7ACE">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c>
                <w:tcPr>
                  <w:tcW w:w="506" w:type="dxa"/>
                  <w:vMerge w:val="continue"/>
                  <w:tcBorders>
                    <w:tl2br w:val="nil"/>
                    <w:tr2bl w:val="nil"/>
                  </w:tcBorders>
                  <w:noWrap w:val="0"/>
                  <w:vAlign w:val="center"/>
                </w:tcPr>
                <w:p w14:paraId="76C8206A">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c>
                <w:tcPr>
                  <w:tcW w:w="668" w:type="dxa"/>
                  <w:vMerge w:val="continue"/>
                  <w:tcBorders>
                    <w:tl2br w:val="nil"/>
                    <w:tr2bl w:val="nil"/>
                  </w:tcBorders>
                  <w:noWrap w:val="0"/>
                  <w:vAlign w:val="center"/>
                </w:tcPr>
                <w:p w14:paraId="13A5EF85">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p>
              </w:tc>
            </w:tr>
            <w:tr w14:paraId="4628E98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61" w:hRule="atLeast"/>
                <w:jc w:val="center"/>
              </w:trPr>
              <w:tc>
                <w:tcPr>
                  <w:tcW w:w="315" w:type="dxa"/>
                  <w:tcBorders>
                    <w:tl2br w:val="nil"/>
                    <w:tr2bl w:val="nil"/>
                  </w:tcBorders>
                  <w:noWrap w:val="0"/>
                  <w:vAlign w:val="center"/>
                </w:tcPr>
                <w:p w14:paraId="1C79A40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1</w:t>
                  </w:r>
                </w:p>
              </w:tc>
              <w:tc>
                <w:tcPr>
                  <w:tcW w:w="1041" w:type="dxa"/>
                  <w:tcBorders>
                    <w:tl2br w:val="nil"/>
                    <w:tr2bl w:val="nil"/>
                  </w:tcBorders>
                  <w:noWrap w:val="0"/>
                  <w:vAlign w:val="center"/>
                </w:tcPr>
                <w:p w14:paraId="55754A4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新店子村</w:t>
                  </w:r>
                </w:p>
              </w:tc>
              <w:tc>
                <w:tcPr>
                  <w:tcW w:w="1410" w:type="dxa"/>
                  <w:tcBorders>
                    <w:tl2br w:val="nil"/>
                    <w:tr2bl w:val="nil"/>
                  </w:tcBorders>
                  <w:noWrap w:val="0"/>
                  <w:vAlign w:val="center"/>
                </w:tcPr>
                <w:p w14:paraId="5C24E99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rFonts w:hint="eastAsia"/>
                      <w:color w:val="auto"/>
                      <w:sz w:val="21"/>
                      <w:szCs w:val="21"/>
                      <w:highlight w:val="none"/>
                    </w:rPr>
                    <w:t>118.580444°</w:t>
                  </w:r>
                </w:p>
              </w:tc>
              <w:tc>
                <w:tcPr>
                  <w:tcW w:w="1227" w:type="dxa"/>
                  <w:tcBorders>
                    <w:tl2br w:val="nil"/>
                    <w:tr2bl w:val="nil"/>
                  </w:tcBorders>
                  <w:noWrap w:val="0"/>
                  <w:vAlign w:val="center"/>
                </w:tcPr>
                <w:p w14:paraId="4261891B">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rFonts w:hint="eastAsia"/>
                      <w:color w:val="auto"/>
                      <w:sz w:val="21"/>
                      <w:szCs w:val="21"/>
                      <w:highlight w:val="none"/>
                    </w:rPr>
                    <w:t>39.769388°</w:t>
                  </w:r>
                </w:p>
              </w:tc>
              <w:tc>
                <w:tcPr>
                  <w:tcW w:w="772" w:type="dxa"/>
                  <w:tcBorders>
                    <w:tl2br w:val="nil"/>
                    <w:tr2bl w:val="nil"/>
                  </w:tcBorders>
                  <w:noWrap w:val="0"/>
                  <w:vAlign w:val="center"/>
                </w:tcPr>
                <w:p w14:paraId="5F7664E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eastAsia="zh-CN"/>
                    </w:rPr>
                  </w:pPr>
                  <w:r>
                    <w:rPr>
                      <w:rFonts w:hint="eastAsia" w:cs="Times New Roman"/>
                      <w:color w:val="auto"/>
                      <w:kern w:val="0"/>
                      <w:sz w:val="21"/>
                      <w:szCs w:val="21"/>
                      <w:highlight w:val="none"/>
                      <w:lang w:val="en-US" w:eastAsia="zh-CN" w:bidi="ar-SA"/>
                    </w:rPr>
                    <w:t>人群</w:t>
                  </w:r>
                </w:p>
              </w:tc>
              <w:tc>
                <w:tcPr>
                  <w:tcW w:w="860" w:type="dxa"/>
                  <w:tcBorders>
                    <w:tl2br w:val="nil"/>
                    <w:tr2bl w:val="nil"/>
                  </w:tcBorders>
                  <w:noWrap w:val="0"/>
                  <w:vAlign w:val="center"/>
                </w:tcPr>
                <w:p w14:paraId="6103078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auto"/>
                      <w:sz w:val="21"/>
                      <w:szCs w:val="21"/>
                      <w:highlight w:val="none"/>
                    </w:rPr>
                  </w:pPr>
                  <w:r>
                    <w:rPr>
                      <w:rFonts w:hint="eastAsia"/>
                      <w:color w:val="auto"/>
                      <w:sz w:val="21"/>
                      <w:szCs w:val="21"/>
                      <w:highlight w:val="none"/>
                    </w:rPr>
                    <w:t>居住区</w:t>
                  </w:r>
                </w:p>
              </w:tc>
              <w:tc>
                <w:tcPr>
                  <w:tcW w:w="896" w:type="dxa"/>
                  <w:tcBorders>
                    <w:tl2br w:val="nil"/>
                    <w:tr2bl w:val="nil"/>
                  </w:tcBorders>
                  <w:noWrap w:val="0"/>
                  <w:vAlign w:val="center"/>
                </w:tcPr>
                <w:p w14:paraId="553DE78A">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auto"/>
                      <w:sz w:val="21"/>
                      <w:szCs w:val="21"/>
                      <w:highlight w:val="none"/>
                    </w:rPr>
                  </w:pPr>
                  <w:r>
                    <w:rPr>
                      <w:color w:val="auto"/>
                      <w:sz w:val="21"/>
                      <w:szCs w:val="21"/>
                      <w:highlight w:val="none"/>
                    </w:rPr>
                    <w:t>环境空气二类区</w:t>
                  </w:r>
                </w:p>
              </w:tc>
              <w:tc>
                <w:tcPr>
                  <w:tcW w:w="506" w:type="dxa"/>
                  <w:tcBorders>
                    <w:tl2br w:val="nil"/>
                    <w:tr2bl w:val="nil"/>
                  </w:tcBorders>
                  <w:noWrap w:val="0"/>
                  <w:vAlign w:val="center"/>
                </w:tcPr>
                <w:p w14:paraId="69FA300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olor w:val="auto"/>
                      <w:sz w:val="21"/>
                      <w:szCs w:val="21"/>
                      <w:highlight w:val="none"/>
                      <w:lang w:val="en-US" w:eastAsia="zh-CN"/>
                    </w:rPr>
                  </w:pPr>
                  <w:r>
                    <w:rPr>
                      <w:rFonts w:hint="eastAsia"/>
                      <w:color w:val="auto"/>
                      <w:sz w:val="21"/>
                      <w:szCs w:val="21"/>
                      <w:highlight w:val="none"/>
                      <w:lang w:val="en-US" w:eastAsia="zh-CN"/>
                    </w:rPr>
                    <w:t>NW</w:t>
                  </w:r>
                </w:p>
              </w:tc>
              <w:tc>
                <w:tcPr>
                  <w:tcW w:w="668" w:type="dxa"/>
                  <w:tcBorders>
                    <w:tl2br w:val="nil"/>
                    <w:tr2bl w:val="nil"/>
                  </w:tcBorders>
                  <w:noWrap w:val="0"/>
                  <w:vAlign w:val="center"/>
                </w:tcPr>
                <w:p w14:paraId="37B5FC1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olor w:val="auto"/>
                      <w:sz w:val="21"/>
                      <w:szCs w:val="21"/>
                      <w:highlight w:val="none"/>
                      <w:lang w:val="en-US" w:eastAsia="zh-CN"/>
                    </w:rPr>
                  </w:pPr>
                  <w:r>
                    <w:rPr>
                      <w:rFonts w:hint="eastAsia"/>
                      <w:color w:val="auto"/>
                      <w:sz w:val="21"/>
                      <w:szCs w:val="21"/>
                      <w:highlight w:val="none"/>
                      <w:lang w:val="en-US" w:eastAsia="zh-CN"/>
                    </w:rPr>
                    <w:t>350</w:t>
                  </w:r>
                </w:p>
              </w:tc>
            </w:tr>
            <w:tr w14:paraId="29B7AB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61" w:hRule="atLeast"/>
                <w:jc w:val="center"/>
              </w:trPr>
              <w:tc>
                <w:tcPr>
                  <w:tcW w:w="315" w:type="dxa"/>
                  <w:tcBorders>
                    <w:tl2br w:val="nil"/>
                    <w:tr2bl w:val="nil"/>
                  </w:tcBorders>
                  <w:noWrap w:val="0"/>
                  <w:vAlign w:val="center"/>
                </w:tcPr>
                <w:p w14:paraId="5FDF5FFE">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1041" w:type="dxa"/>
                  <w:tcBorders>
                    <w:tl2br w:val="nil"/>
                    <w:tr2bl w:val="nil"/>
                  </w:tcBorders>
                  <w:noWrap w:val="0"/>
                  <w:vAlign w:val="center"/>
                </w:tcPr>
                <w:p w14:paraId="037BE92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雷庄村</w:t>
                  </w:r>
                </w:p>
              </w:tc>
              <w:tc>
                <w:tcPr>
                  <w:tcW w:w="1410" w:type="dxa"/>
                  <w:tcBorders>
                    <w:tl2br w:val="nil"/>
                    <w:tr2bl w:val="nil"/>
                  </w:tcBorders>
                  <w:noWrap w:val="0"/>
                  <w:vAlign w:val="center"/>
                </w:tcPr>
                <w:p w14:paraId="19928C1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auto"/>
                      <w:sz w:val="21"/>
                      <w:szCs w:val="21"/>
                      <w:highlight w:val="none"/>
                    </w:rPr>
                  </w:pPr>
                  <w:r>
                    <w:rPr>
                      <w:rFonts w:hint="eastAsia"/>
                      <w:color w:val="auto"/>
                      <w:sz w:val="21"/>
                      <w:szCs w:val="21"/>
                      <w:highlight w:val="none"/>
                    </w:rPr>
                    <w:t>118.582587°</w:t>
                  </w:r>
                </w:p>
              </w:tc>
              <w:tc>
                <w:tcPr>
                  <w:tcW w:w="1227" w:type="dxa"/>
                  <w:tcBorders>
                    <w:tl2br w:val="nil"/>
                    <w:tr2bl w:val="nil"/>
                  </w:tcBorders>
                  <w:noWrap w:val="0"/>
                  <w:vAlign w:val="center"/>
                </w:tcPr>
                <w:p w14:paraId="6FD68A68">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auto"/>
                      <w:sz w:val="21"/>
                      <w:szCs w:val="21"/>
                      <w:highlight w:val="none"/>
                    </w:rPr>
                  </w:pPr>
                  <w:r>
                    <w:rPr>
                      <w:rFonts w:hint="eastAsia"/>
                      <w:color w:val="auto"/>
                      <w:sz w:val="21"/>
                      <w:szCs w:val="21"/>
                      <w:highlight w:val="none"/>
                    </w:rPr>
                    <w:t>39.755753°</w:t>
                  </w:r>
                </w:p>
              </w:tc>
              <w:tc>
                <w:tcPr>
                  <w:tcW w:w="772" w:type="dxa"/>
                  <w:tcBorders>
                    <w:tl2br w:val="nil"/>
                    <w:tr2bl w:val="nil"/>
                  </w:tcBorders>
                  <w:shd w:val="clear" w:color="auto" w:fill="auto"/>
                  <w:noWrap w:val="0"/>
                  <w:vAlign w:val="center"/>
                </w:tcPr>
                <w:p w14:paraId="7F57E7A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人群</w:t>
                  </w:r>
                </w:p>
              </w:tc>
              <w:tc>
                <w:tcPr>
                  <w:tcW w:w="860" w:type="dxa"/>
                  <w:tcBorders>
                    <w:tl2br w:val="nil"/>
                    <w:tr2bl w:val="nil"/>
                  </w:tcBorders>
                  <w:shd w:val="clear" w:color="auto" w:fill="auto"/>
                  <w:noWrap w:val="0"/>
                  <w:vAlign w:val="center"/>
                </w:tcPr>
                <w:p w14:paraId="0110F63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居住区</w:t>
                  </w:r>
                </w:p>
              </w:tc>
              <w:tc>
                <w:tcPr>
                  <w:tcW w:w="896" w:type="dxa"/>
                  <w:tcBorders>
                    <w:tl2br w:val="nil"/>
                    <w:tr2bl w:val="nil"/>
                  </w:tcBorders>
                  <w:shd w:val="clear" w:color="auto" w:fill="auto"/>
                  <w:noWrap w:val="0"/>
                  <w:vAlign w:val="center"/>
                </w:tcPr>
                <w:p w14:paraId="40DF8C0F">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ascii="Times New Roman" w:hAnsi="Times New Roman" w:eastAsia="宋体" w:cs="Times New Roman"/>
                      <w:color w:val="auto"/>
                      <w:kern w:val="0"/>
                      <w:sz w:val="21"/>
                      <w:szCs w:val="21"/>
                      <w:highlight w:val="none"/>
                      <w:lang w:val="en-US" w:eastAsia="zh-CN" w:bidi="ar-SA"/>
                    </w:rPr>
                  </w:pPr>
                  <w:r>
                    <w:rPr>
                      <w:color w:val="auto"/>
                      <w:sz w:val="21"/>
                      <w:szCs w:val="21"/>
                      <w:highlight w:val="none"/>
                    </w:rPr>
                    <w:t>环境空气二类区</w:t>
                  </w:r>
                </w:p>
              </w:tc>
              <w:tc>
                <w:tcPr>
                  <w:tcW w:w="506" w:type="dxa"/>
                  <w:tcBorders>
                    <w:tl2br w:val="nil"/>
                    <w:tr2bl w:val="nil"/>
                  </w:tcBorders>
                  <w:shd w:val="clear" w:color="auto" w:fill="auto"/>
                  <w:noWrap w:val="0"/>
                  <w:vAlign w:val="center"/>
                </w:tcPr>
                <w:p w14:paraId="313A6C1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S</w:t>
                  </w:r>
                </w:p>
              </w:tc>
              <w:tc>
                <w:tcPr>
                  <w:tcW w:w="668" w:type="dxa"/>
                  <w:tcBorders>
                    <w:tl2br w:val="nil"/>
                    <w:tr2bl w:val="nil"/>
                  </w:tcBorders>
                  <w:shd w:val="clear" w:color="auto" w:fill="auto"/>
                  <w:noWrap w:val="0"/>
                  <w:vAlign w:val="center"/>
                </w:tcPr>
                <w:p w14:paraId="0438609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210</w:t>
                  </w:r>
                </w:p>
              </w:tc>
            </w:tr>
            <w:tr w14:paraId="59266D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61" w:hRule="atLeast"/>
                <w:jc w:val="center"/>
              </w:trPr>
              <w:tc>
                <w:tcPr>
                  <w:tcW w:w="315" w:type="dxa"/>
                  <w:tcBorders>
                    <w:tl2br w:val="nil"/>
                    <w:tr2bl w:val="nil"/>
                  </w:tcBorders>
                  <w:noWrap w:val="0"/>
                  <w:vAlign w:val="center"/>
                </w:tcPr>
                <w:p w14:paraId="686CA181">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auto"/>
                      <w:sz w:val="21"/>
                      <w:szCs w:val="21"/>
                      <w:highlight w:val="none"/>
                      <w:lang w:val="en-US" w:eastAsia="zh-CN"/>
                    </w:rPr>
                  </w:pPr>
                  <w:r>
                    <w:rPr>
                      <w:rFonts w:hint="eastAsia"/>
                      <w:color w:val="auto"/>
                      <w:sz w:val="21"/>
                      <w:szCs w:val="21"/>
                      <w:highlight w:val="none"/>
                      <w:lang w:val="en-US" w:eastAsia="zh-CN"/>
                    </w:rPr>
                    <w:t>3</w:t>
                  </w:r>
                </w:p>
              </w:tc>
              <w:tc>
                <w:tcPr>
                  <w:tcW w:w="1041" w:type="dxa"/>
                  <w:tcBorders>
                    <w:tl2br w:val="nil"/>
                    <w:tr2bl w:val="nil"/>
                  </w:tcBorders>
                  <w:noWrap w:val="0"/>
                  <w:vAlign w:val="center"/>
                </w:tcPr>
                <w:p w14:paraId="700AF55D">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蓝天里</w:t>
                  </w:r>
                </w:p>
              </w:tc>
              <w:tc>
                <w:tcPr>
                  <w:tcW w:w="1410" w:type="dxa"/>
                  <w:tcBorders>
                    <w:tl2br w:val="nil"/>
                    <w:tr2bl w:val="nil"/>
                  </w:tcBorders>
                  <w:noWrap w:val="0"/>
                  <w:vAlign w:val="center"/>
                </w:tcPr>
                <w:p w14:paraId="31B4ED6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auto"/>
                      <w:sz w:val="21"/>
                      <w:szCs w:val="21"/>
                      <w:highlight w:val="none"/>
                    </w:rPr>
                  </w:pPr>
                  <w:r>
                    <w:rPr>
                      <w:rFonts w:hint="eastAsia"/>
                      <w:color w:val="auto"/>
                      <w:sz w:val="21"/>
                      <w:szCs w:val="21"/>
                      <w:highlight w:val="none"/>
                    </w:rPr>
                    <w:t>118.589591°</w:t>
                  </w:r>
                </w:p>
              </w:tc>
              <w:tc>
                <w:tcPr>
                  <w:tcW w:w="1227" w:type="dxa"/>
                  <w:tcBorders>
                    <w:tl2br w:val="nil"/>
                    <w:tr2bl w:val="nil"/>
                  </w:tcBorders>
                  <w:noWrap w:val="0"/>
                  <w:vAlign w:val="center"/>
                </w:tcPr>
                <w:p w14:paraId="667CDEFD">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auto"/>
                      <w:sz w:val="21"/>
                      <w:szCs w:val="21"/>
                      <w:highlight w:val="none"/>
                    </w:rPr>
                  </w:pPr>
                  <w:r>
                    <w:rPr>
                      <w:rFonts w:hint="eastAsia"/>
                      <w:color w:val="auto"/>
                      <w:sz w:val="21"/>
                      <w:szCs w:val="21"/>
                      <w:highlight w:val="none"/>
                    </w:rPr>
                    <w:t>39.756064°</w:t>
                  </w:r>
                </w:p>
              </w:tc>
              <w:tc>
                <w:tcPr>
                  <w:tcW w:w="772" w:type="dxa"/>
                  <w:tcBorders>
                    <w:tl2br w:val="nil"/>
                    <w:tr2bl w:val="nil"/>
                  </w:tcBorders>
                  <w:shd w:val="clear" w:color="auto" w:fill="auto"/>
                  <w:noWrap w:val="0"/>
                  <w:vAlign w:val="center"/>
                </w:tcPr>
                <w:p w14:paraId="2AA4A6A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人群</w:t>
                  </w:r>
                </w:p>
              </w:tc>
              <w:tc>
                <w:tcPr>
                  <w:tcW w:w="860" w:type="dxa"/>
                  <w:tcBorders>
                    <w:tl2br w:val="nil"/>
                    <w:tr2bl w:val="nil"/>
                  </w:tcBorders>
                  <w:shd w:val="clear" w:color="auto" w:fill="auto"/>
                  <w:noWrap w:val="0"/>
                  <w:vAlign w:val="center"/>
                </w:tcPr>
                <w:p w14:paraId="0B9A5D9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居住区</w:t>
                  </w:r>
                </w:p>
              </w:tc>
              <w:tc>
                <w:tcPr>
                  <w:tcW w:w="896" w:type="dxa"/>
                  <w:tcBorders>
                    <w:tl2br w:val="nil"/>
                    <w:tr2bl w:val="nil"/>
                  </w:tcBorders>
                  <w:shd w:val="clear" w:color="auto" w:fill="auto"/>
                  <w:noWrap w:val="0"/>
                  <w:vAlign w:val="center"/>
                </w:tcPr>
                <w:p w14:paraId="55BE155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ascii="Times New Roman" w:hAnsi="Times New Roman" w:eastAsia="宋体" w:cs="Times New Roman"/>
                      <w:color w:val="auto"/>
                      <w:kern w:val="0"/>
                      <w:sz w:val="21"/>
                      <w:szCs w:val="21"/>
                      <w:highlight w:val="none"/>
                      <w:lang w:val="en-US" w:eastAsia="zh-CN" w:bidi="ar-SA"/>
                    </w:rPr>
                  </w:pPr>
                  <w:r>
                    <w:rPr>
                      <w:color w:val="auto"/>
                      <w:sz w:val="21"/>
                      <w:szCs w:val="21"/>
                      <w:highlight w:val="none"/>
                    </w:rPr>
                    <w:t>环境空气二类区</w:t>
                  </w:r>
                </w:p>
              </w:tc>
              <w:tc>
                <w:tcPr>
                  <w:tcW w:w="506" w:type="dxa"/>
                  <w:tcBorders>
                    <w:tl2br w:val="nil"/>
                    <w:tr2bl w:val="nil"/>
                  </w:tcBorders>
                  <w:noWrap w:val="0"/>
                  <w:vAlign w:val="center"/>
                </w:tcPr>
                <w:p w14:paraId="65E533FD">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auto"/>
                      <w:sz w:val="21"/>
                      <w:szCs w:val="21"/>
                      <w:highlight w:val="none"/>
                      <w:lang w:val="en-US" w:eastAsia="zh-CN"/>
                    </w:rPr>
                  </w:pPr>
                  <w:r>
                    <w:rPr>
                      <w:rFonts w:hint="eastAsia"/>
                      <w:color w:val="auto"/>
                      <w:sz w:val="21"/>
                      <w:szCs w:val="21"/>
                      <w:highlight w:val="none"/>
                      <w:lang w:val="en-US" w:eastAsia="zh-CN"/>
                    </w:rPr>
                    <w:t>SE</w:t>
                  </w:r>
                </w:p>
              </w:tc>
              <w:tc>
                <w:tcPr>
                  <w:tcW w:w="668" w:type="dxa"/>
                  <w:tcBorders>
                    <w:tl2br w:val="nil"/>
                    <w:tr2bl w:val="nil"/>
                  </w:tcBorders>
                  <w:noWrap w:val="0"/>
                  <w:vAlign w:val="center"/>
                </w:tcPr>
                <w:p w14:paraId="54DD92E8">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auto"/>
                      <w:sz w:val="21"/>
                      <w:szCs w:val="21"/>
                      <w:highlight w:val="none"/>
                      <w:lang w:val="en-US" w:eastAsia="zh-CN"/>
                    </w:rPr>
                  </w:pPr>
                  <w:r>
                    <w:rPr>
                      <w:rFonts w:hint="eastAsia"/>
                      <w:color w:val="auto"/>
                      <w:sz w:val="21"/>
                      <w:szCs w:val="21"/>
                      <w:highlight w:val="none"/>
                      <w:lang w:val="en-US" w:eastAsia="zh-CN"/>
                    </w:rPr>
                    <w:t>703</w:t>
                  </w:r>
                </w:p>
              </w:tc>
            </w:tr>
          </w:tbl>
          <w:p w14:paraId="09745551">
            <w:pPr>
              <w:keepNext w:val="0"/>
              <w:keepLines w:val="0"/>
              <w:pageBreakBefore w:val="0"/>
              <w:widowControl w:val="0"/>
              <w:numPr>
                <w:ilvl w:val="0"/>
                <w:numId w:val="13"/>
              </w:numPr>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声环境保护目标</w:t>
            </w:r>
          </w:p>
          <w:p w14:paraId="1DD2BE7E">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本项目厂界外50米范围内</w:t>
            </w:r>
            <w:r>
              <w:rPr>
                <w:rFonts w:hint="eastAsia" w:cs="Times New Roman"/>
                <w:color w:val="auto"/>
                <w:sz w:val="24"/>
                <w:szCs w:val="24"/>
                <w:highlight w:val="none"/>
                <w:lang w:val="en-US" w:eastAsia="zh-CN"/>
              </w:rPr>
              <w:t>无</w:t>
            </w:r>
            <w:r>
              <w:rPr>
                <w:rFonts w:hint="default" w:ascii="Times New Roman" w:hAnsi="Times New Roman" w:eastAsia="宋体" w:cs="Times New Roman"/>
                <w:color w:val="auto"/>
                <w:sz w:val="24"/>
                <w:szCs w:val="24"/>
                <w:highlight w:val="none"/>
                <w:lang w:val="en-US" w:eastAsia="zh-CN"/>
              </w:rPr>
              <w:t>声环境保护目标。</w:t>
            </w:r>
          </w:p>
          <w:p w14:paraId="49FEE548">
            <w:pPr>
              <w:pStyle w:val="12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rPr>
                <w:b w:val="0"/>
                <w:bCs/>
                <w:color w:val="auto"/>
                <w:highlight w:val="none"/>
              </w:rPr>
            </w:pPr>
            <w:r>
              <w:rPr>
                <w:b w:val="0"/>
                <w:bCs/>
                <w:color w:val="auto"/>
                <w:highlight w:val="none"/>
              </w:rPr>
              <w:t>3、地下水环境保护目标</w:t>
            </w:r>
          </w:p>
          <w:p w14:paraId="6A61BBF0">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根据《建设项目环境影响评价报告表编制技术指南》（污染影响类）及现状调查结果，厂界外500m范围内无地下水集中式饮用水水源和热水、矿泉水、温泉等特殊地下水资源，无地下水环境保护目标。</w:t>
            </w:r>
          </w:p>
          <w:p w14:paraId="0707AF1A">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4、生态环境保护目标</w:t>
            </w:r>
          </w:p>
          <w:p w14:paraId="7E97AE2E">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本项目利用现有厂区进行，不新增其他占地，占地范围内无生态环境保护目标</w:t>
            </w:r>
            <w:r>
              <w:rPr>
                <w:rFonts w:hint="default" w:ascii="Times New Roman" w:hAnsi="Times New Roman" w:eastAsia="宋体" w:cs="Times New Roman"/>
                <w:color w:val="auto"/>
                <w:sz w:val="24"/>
                <w:szCs w:val="24"/>
                <w:highlight w:val="none"/>
                <w:lang w:val="en-US" w:eastAsia="zh-CN"/>
              </w:rPr>
              <w:t>。</w:t>
            </w:r>
          </w:p>
          <w:p w14:paraId="2D22725E">
            <w:pPr>
              <w:shd w:val="clear"/>
              <w:rPr>
                <w:rFonts w:hint="default" w:ascii="Times New Roman" w:hAnsi="Times New Roman" w:eastAsia="宋体" w:cs="Times New Roman"/>
                <w:color w:val="auto"/>
                <w:sz w:val="24"/>
                <w:szCs w:val="24"/>
                <w:highlight w:val="none"/>
                <w:lang w:val="en-US" w:eastAsia="zh-CN"/>
              </w:rPr>
            </w:pPr>
          </w:p>
          <w:p w14:paraId="341969BB">
            <w:pPr>
              <w:pStyle w:val="15"/>
              <w:shd w:val="clear"/>
              <w:rPr>
                <w:rFonts w:hint="default" w:ascii="Times New Roman" w:hAnsi="Times New Roman" w:eastAsia="宋体" w:cs="Times New Roman"/>
                <w:color w:val="auto"/>
                <w:sz w:val="24"/>
                <w:szCs w:val="24"/>
                <w:highlight w:val="none"/>
                <w:lang w:val="en-US" w:eastAsia="zh-CN"/>
              </w:rPr>
            </w:pPr>
          </w:p>
          <w:p w14:paraId="74904381">
            <w:pPr>
              <w:shd w:val="clear"/>
              <w:rPr>
                <w:rFonts w:hint="default" w:ascii="Times New Roman" w:hAnsi="Times New Roman" w:eastAsia="宋体" w:cs="Times New Roman"/>
                <w:color w:val="auto"/>
                <w:sz w:val="24"/>
                <w:szCs w:val="24"/>
                <w:highlight w:val="none"/>
                <w:lang w:val="en-US" w:eastAsia="zh-CN"/>
              </w:rPr>
            </w:pPr>
          </w:p>
          <w:p w14:paraId="650506EB">
            <w:pPr>
              <w:shd w:val="clear"/>
              <w:rPr>
                <w:rFonts w:hint="default" w:ascii="Times New Roman" w:hAnsi="Times New Roman" w:eastAsia="宋体" w:cs="Times New Roman"/>
                <w:color w:val="auto"/>
                <w:sz w:val="24"/>
                <w:szCs w:val="24"/>
                <w:highlight w:val="none"/>
                <w:lang w:val="en-US" w:eastAsia="zh-CN"/>
              </w:rPr>
            </w:pPr>
          </w:p>
          <w:p w14:paraId="15DA6CC7">
            <w:pPr>
              <w:pStyle w:val="15"/>
              <w:shd w:val="clear"/>
              <w:ind w:left="0" w:leftChars="0" w:firstLine="0" w:firstLineChars="0"/>
              <w:rPr>
                <w:rFonts w:hint="default"/>
                <w:color w:val="auto"/>
                <w:lang w:eastAsia="zh-CN"/>
              </w:rPr>
            </w:pPr>
          </w:p>
        </w:tc>
      </w:tr>
      <w:tr w14:paraId="7183C45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583" w:hRule="atLeast"/>
          <w:jc w:val="center"/>
        </w:trPr>
        <w:tc>
          <w:tcPr>
            <w:tcW w:w="800" w:type="dxa"/>
            <w:tcBorders>
              <w:tl2br w:val="nil"/>
              <w:tr2bl w:val="nil"/>
            </w:tcBorders>
            <w:noWrap w:val="0"/>
            <w:vAlign w:val="center"/>
          </w:tcPr>
          <w:p w14:paraId="45EE32DB">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污染</w:t>
            </w:r>
          </w:p>
          <w:p w14:paraId="37EF7310">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物排</w:t>
            </w:r>
          </w:p>
          <w:p w14:paraId="2BC4CA6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放控</w:t>
            </w:r>
          </w:p>
          <w:p w14:paraId="74A65A9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制标</w:t>
            </w:r>
          </w:p>
          <w:p w14:paraId="3697B0F7">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准</w:t>
            </w:r>
          </w:p>
        </w:tc>
        <w:tc>
          <w:tcPr>
            <w:tcW w:w="8346" w:type="dxa"/>
            <w:tcBorders>
              <w:tl2br w:val="nil"/>
              <w:tr2bl w:val="nil"/>
            </w:tcBorders>
            <w:noWrap w:val="0"/>
            <w:vAlign w:val="center"/>
          </w:tcPr>
          <w:p w14:paraId="1644763A">
            <w:pPr>
              <w:shd w:val="clear"/>
              <w:spacing w:line="360" w:lineRule="auto"/>
              <w:ind w:firstLine="482"/>
              <w:rPr>
                <w:b/>
                <w:bCs/>
                <w:color w:val="auto"/>
              </w:rPr>
            </w:pPr>
            <w:r>
              <w:rPr>
                <w:rFonts w:hint="eastAsia"/>
                <w:b/>
                <w:bCs/>
                <w:color w:val="auto"/>
              </w:rPr>
              <w:t>一、施工期污染物排放标准</w:t>
            </w:r>
          </w:p>
          <w:p w14:paraId="491A652D">
            <w:pPr>
              <w:shd w:val="clear"/>
              <w:spacing w:line="360" w:lineRule="auto"/>
              <w:ind w:firstLine="480"/>
              <w:rPr>
                <w:color w:val="auto"/>
              </w:rPr>
            </w:pPr>
            <w:r>
              <w:rPr>
                <w:rFonts w:hint="eastAsia"/>
                <w:color w:val="auto"/>
              </w:rPr>
              <w:t>1、废气</w:t>
            </w:r>
          </w:p>
          <w:p w14:paraId="09CB4B99">
            <w:pPr>
              <w:shd w:val="clear"/>
              <w:spacing w:line="360" w:lineRule="auto"/>
              <w:ind w:firstLine="480"/>
              <w:rPr>
                <w:color w:val="auto"/>
              </w:rPr>
            </w:pPr>
            <w:r>
              <w:rPr>
                <w:rFonts w:hint="eastAsia"/>
                <w:color w:val="auto"/>
              </w:rPr>
              <w:t>施工期扬尘排放执行河北省地标《施工场地扬尘排放标准》（DB13/2934-2019）要求</w:t>
            </w:r>
            <w:r>
              <w:rPr>
                <w:rFonts w:hint="eastAsia"/>
                <w:color w:val="auto"/>
                <w:lang w:eastAsia="zh-CN"/>
              </w:rPr>
              <w:t>，</w:t>
            </w:r>
            <w:r>
              <w:rPr>
                <w:rFonts w:hint="eastAsia"/>
                <w:color w:val="auto"/>
                <w:lang w:val="en-US" w:eastAsia="zh-CN"/>
              </w:rPr>
              <w:t>PM</w:t>
            </w:r>
            <w:r>
              <w:rPr>
                <w:rFonts w:hint="eastAsia"/>
                <w:color w:val="auto"/>
                <w:vertAlign w:val="subscript"/>
                <w:lang w:val="en-US" w:eastAsia="zh-CN"/>
              </w:rPr>
              <w:t>10</w:t>
            </w:r>
            <w:r>
              <w:rPr>
                <w:rFonts w:hint="eastAsia"/>
                <w:color w:val="auto"/>
                <w:lang w:val="en-US" w:eastAsia="zh-CN"/>
              </w:rPr>
              <w:t>80</w:t>
            </w:r>
            <w:r>
              <w:rPr>
                <w:rFonts w:hint="default" w:ascii="Times New Roman" w:hAnsi="Times New Roman" w:cs="Times New Roman"/>
                <w:color w:val="auto"/>
                <w:lang w:val="en-US" w:eastAsia="zh-CN"/>
              </w:rPr>
              <w:t>μ</w:t>
            </w:r>
            <w:r>
              <w:rPr>
                <w:rFonts w:hint="eastAsia"/>
                <w:color w:val="auto"/>
                <w:lang w:val="en-US" w:eastAsia="zh-CN"/>
              </w:rPr>
              <w:t>g/m</w:t>
            </w:r>
            <w:r>
              <w:rPr>
                <w:rFonts w:hint="eastAsia"/>
                <w:color w:val="auto"/>
                <w:vertAlign w:val="superscript"/>
                <w:lang w:val="en-US" w:eastAsia="zh-CN"/>
              </w:rPr>
              <w:t>3</w:t>
            </w:r>
            <w:r>
              <w:rPr>
                <w:rFonts w:hint="eastAsia"/>
                <w:color w:val="auto"/>
              </w:rPr>
              <w:t>。</w:t>
            </w:r>
          </w:p>
          <w:p w14:paraId="3B0A067D">
            <w:pPr>
              <w:shd w:val="clear"/>
              <w:spacing w:line="360" w:lineRule="auto"/>
              <w:ind w:firstLine="480"/>
              <w:rPr>
                <w:color w:val="auto"/>
              </w:rPr>
            </w:pPr>
            <w:r>
              <w:rPr>
                <w:rFonts w:hint="eastAsia"/>
                <w:color w:val="auto"/>
              </w:rPr>
              <w:t>2、噪声</w:t>
            </w:r>
          </w:p>
          <w:p w14:paraId="58D958D0">
            <w:pPr>
              <w:shd w:val="clear"/>
              <w:spacing w:line="360" w:lineRule="auto"/>
              <w:ind w:firstLine="480"/>
              <w:rPr>
                <w:color w:val="auto"/>
              </w:rPr>
            </w:pPr>
            <w:r>
              <w:rPr>
                <w:rFonts w:hint="eastAsia"/>
                <w:color w:val="auto"/>
              </w:rPr>
              <w:t>施工期噪声执行《建筑施工场界环境噪声排放标准》（GB 12523-20</w:t>
            </w:r>
            <w:r>
              <w:rPr>
                <w:rFonts w:hint="eastAsia"/>
                <w:color w:val="auto"/>
                <w:lang w:val="en-US" w:eastAsia="zh-CN"/>
              </w:rPr>
              <w:t>25</w:t>
            </w:r>
            <w:r>
              <w:rPr>
                <w:rFonts w:hint="eastAsia"/>
                <w:color w:val="auto"/>
              </w:rPr>
              <w:t>）表1中建筑施工场界环境噪声排放限值</w:t>
            </w:r>
            <w:r>
              <w:rPr>
                <w:rFonts w:hint="eastAsia"/>
                <w:color w:val="auto"/>
                <w:lang w:eastAsia="zh-CN"/>
              </w:rPr>
              <w:t>，昼间</w:t>
            </w:r>
            <w:r>
              <w:rPr>
                <w:rFonts w:hint="eastAsia"/>
                <w:color w:val="auto"/>
                <w:lang w:val="en-US" w:eastAsia="zh-CN"/>
              </w:rPr>
              <w:t>70dB（A）、夜间55dB（A）</w:t>
            </w:r>
            <w:r>
              <w:rPr>
                <w:rFonts w:hint="eastAsia"/>
                <w:color w:val="auto"/>
              </w:rPr>
              <w:t>。</w:t>
            </w:r>
          </w:p>
          <w:p w14:paraId="2787596A">
            <w:pPr>
              <w:shd w:val="clear"/>
              <w:spacing w:line="360" w:lineRule="auto"/>
              <w:ind w:firstLine="482"/>
              <w:rPr>
                <w:b/>
                <w:bCs/>
                <w:color w:val="auto"/>
              </w:rPr>
            </w:pPr>
            <w:r>
              <w:rPr>
                <w:rFonts w:hint="eastAsia"/>
                <w:b/>
                <w:bCs/>
                <w:color w:val="auto"/>
              </w:rPr>
              <w:t>二、运营期污染物排放标准</w:t>
            </w:r>
          </w:p>
          <w:p w14:paraId="0B21C133">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outlineLvl w:val="2"/>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⑴</w:t>
            </w:r>
            <w:r>
              <w:rPr>
                <w:rFonts w:hint="default" w:ascii="Times New Roman" w:hAnsi="Times New Roman" w:eastAsia="宋体" w:cs="Times New Roman"/>
                <w:color w:val="auto"/>
                <w:sz w:val="24"/>
                <w:szCs w:val="24"/>
                <w:highlight w:val="none"/>
                <w:lang w:val="en-US" w:eastAsia="zh-CN"/>
              </w:rPr>
              <w:t>废气</w:t>
            </w:r>
          </w:p>
          <w:p w14:paraId="3CA4F343">
            <w:pPr>
              <w:keepNext w:val="0"/>
              <w:keepLines w:val="0"/>
              <w:pageBreakBefore w:val="0"/>
              <w:shd w:val="clear"/>
              <w:kinsoku/>
              <w:wordWrap/>
              <w:overflowPunct/>
              <w:topLinePunct w:val="0"/>
              <w:bidi w:val="0"/>
              <w:spacing w:line="480" w:lineRule="exact"/>
              <w:ind w:firstLine="480" w:firstLineChars="200"/>
              <w:textAlignment w:val="auto"/>
              <w:rPr>
                <w:rFonts w:hint="eastAsia" w:eastAsia="宋体"/>
                <w:color w:val="auto"/>
                <w:szCs w:val="24"/>
                <w:highlight w:val="none"/>
                <w:lang w:val="en-US" w:eastAsia="zh-CN"/>
              </w:rPr>
            </w:pPr>
            <w:r>
              <w:rPr>
                <w:rFonts w:hint="eastAsia"/>
                <w:color w:val="auto"/>
                <w:szCs w:val="24"/>
                <w:highlight w:val="none"/>
              </w:rPr>
              <w:t>本项目有组织废气颗粒物参照执行《石灰行业大气污染物排放标准》</w:t>
            </w:r>
            <w:r>
              <w:rPr>
                <w:rFonts w:hint="eastAsia"/>
                <w:color w:val="auto"/>
                <w:szCs w:val="24"/>
                <w:highlight w:val="none"/>
                <w:lang w:eastAsia="zh-CN"/>
              </w:rPr>
              <w:t>（</w:t>
            </w:r>
            <w:r>
              <w:rPr>
                <w:rFonts w:hint="eastAsia"/>
                <w:color w:val="auto"/>
                <w:szCs w:val="24"/>
                <w:highlight w:val="none"/>
              </w:rPr>
              <w:t>DB13/1641</w:t>
            </w:r>
            <w:r>
              <w:rPr>
                <w:rFonts w:hint="eastAsia"/>
                <w:color w:val="auto"/>
                <w:szCs w:val="24"/>
                <w:highlight w:val="none"/>
                <w:lang w:eastAsia="zh-CN"/>
              </w:rPr>
              <w:t>-2025）</w:t>
            </w:r>
            <w:r>
              <w:rPr>
                <w:rFonts w:hint="eastAsia"/>
                <w:color w:val="auto"/>
                <w:szCs w:val="24"/>
                <w:highlight w:val="none"/>
              </w:rPr>
              <w:t>及《2019年“十项重点工作”工作方案》</w:t>
            </w:r>
            <w:r>
              <w:rPr>
                <w:rFonts w:hint="eastAsia"/>
                <w:color w:val="auto"/>
                <w:szCs w:val="24"/>
                <w:highlight w:val="none"/>
                <w:lang w:eastAsia="zh-CN"/>
              </w:rPr>
              <w:t>（</w:t>
            </w:r>
            <w:r>
              <w:rPr>
                <w:rFonts w:hint="eastAsia"/>
                <w:color w:val="auto"/>
                <w:szCs w:val="24"/>
                <w:highlight w:val="none"/>
              </w:rPr>
              <w:t>唐办发</w:t>
            </w:r>
            <w:r>
              <w:rPr>
                <w:rFonts w:hint="eastAsia"/>
                <w:color w:val="auto"/>
                <w:szCs w:val="24"/>
                <w:highlight w:val="none"/>
                <w:lang w:eastAsia="zh-CN"/>
              </w:rPr>
              <w:t>﹝2019﹞</w:t>
            </w:r>
            <w:r>
              <w:rPr>
                <w:rFonts w:hint="eastAsia"/>
                <w:color w:val="auto"/>
                <w:szCs w:val="24"/>
                <w:highlight w:val="none"/>
              </w:rPr>
              <w:t>3号</w:t>
            </w:r>
            <w:r>
              <w:rPr>
                <w:rFonts w:hint="eastAsia"/>
                <w:color w:val="auto"/>
                <w:szCs w:val="24"/>
                <w:highlight w:val="none"/>
                <w:lang w:eastAsia="zh-CN"/>
              </w:rPr>
              <w:t>）</w:t>
            </w:r>
            <w:r>
              <w:rPr>
                <w:rFonts w:hint="eastAsia"/>
                <w:color w:val="auto"/>
                <w:szCs w:val="24"/>
                <w:highlight w:val="none"/>
              </w:rPr>
              <w:t>排放限值要求</w:t>
            </w:r>
            <w:r>
              <w:rPr>
                <w:rFonts w:hint="eastAsia"/>
                <w:color w:val="auto"/>
                <w:szCs w:val="24"/>
                <w:highlight w:val="none"/>
                <w:lang w:eastAsia="zh-CN"/>
              </w:rPr>
              <w:t>；</w:t>
            </w:r>
            <w:r>
              <w:rPr>
                <w:rFonts w:hint="eastAsia"/>
                <w:color w:val="auto"/>
                <w:szCs w:val="24"/>
                <w:highlight w:val="none"/>
              </w:rPr>
              <w:t>无组织废气中颗粒物参照执行《石灰行业大气污染物排放标准》</w:t>
            </w:r>
            <w:r>
              <w:rPr>
                <w:rFonts w:hint="eastAsia"/>
                <w:color w:val="auto"/>
                <w:szCs w:val="24"/>
                <w:highlight w:val="none"/>
                <w:lang w:eastAsia="zh-CN"/>
              </w:rPr>
              <w:t>（</w:t>
            </w:r>
            <w:r>
              <w:rPr>
                <w:rFonts w:hint="eastAsia"/>
                <w:color w:val="auto"/>
                <w:szCs w:val="24"/>
                <w:highlight w:val="none"/>
              </w:rPr>
              <w:t>DB13/1641</w:t>
            </w:r>
            <w:r>
              <w:rPr>
                <w:rFonts w:hint="eastAsia"/>
                <w:color w:val="auto"/>
                <w:szCs w:val="24"/>
                <w:highlight w:val="none"/>
                <w:lang w:eastAsia="zh-CN"/>
              </w:rPr>
              <w:t>-2025）</w:t>
            </w:r>
            <w:r>
              <w:rPr>
                <w:rFonts w:hint="eastAsia"/>
                <w:color w:val="auto"/>
                <w:szCs w:val="24"/>
                <w:highlight w:val="none"/>
              </w:rPr>
              <w:t>及《2019年“十项重点工作”工作方案》</w:t>
            </w:r>
            <w:r>
              <w:rPr>
                <w:rFonts w:hint="eastAsia"/>
                <w:color w:val="auto"/>
                <w:szCs w:val="24"/>
                <w:highlight w:val="none"/>
                <w:lang w:eastAsia="zh-CN"/>
              </w:rPr>
              <w:t>（</w:t>
            </w:r>
            <w:r>
              <w:rPr>
                <w:rFonts w:hint="eastAsia"/>
                <w:color w:val="auto"/>
                <w:szCs w:val="24"/>
                <w:highlight w:val="none"/>
              </w:rPr>
              <w:t>唐办发</w:t>
            </w:r>
            <w:r>
              <w:rPr>
                <w:rFonts w:hint="eastAsia"/>
                <w:color w:val="auto"/>
                <w:szCs w:val="24"/>
                <w:highlight w:val="none"/>
                <w:lang w:eastAsia="zh-CN"/>
              </w:rPr>
              <w:t>﹝2019﹞</w:t>
            </w:r>
            <w:r>
              <w:rPr>
                <w:rFonts w:hint="eastAsia"/>
                <w:color w:val="auto"/>
                <w:szCs w:val="24"/>
                <w:highlight w:val="none"/>
              </w:rPr>
              <w:t>3号</w:t>
            </w:r>
            <w:r>
              <w:rPr>
                <w:rFonts w:hint="eastAsia"/>
                <w:color w:val="auto"/>
                <w:szCs w:val="24"/>
                <w:highlight w:val="none"/>
                <w:lang w:eastAsia="zh-CN"/>
              </w:rPr>
              <w:t>）</w:t>
            </w:r>
            <w:r>
              <w:rPr>
                <w:rFonts w:hint="eastAsia"/>
                <w:color w:val="auto"/>
                <w:szCs w:val="24"/>
                <w:highlight w:val="none"/>
              </w:rPr>
              <w:t>排放限值要求</w:t>
            </w:r>
            <w:r>
              <w:rPr>
                <w:rFonts w:hint="eastAsia"/>
                <w:color w:val="auto"/>
                <w:szCs w:val="24"/>
                <w:highlight w:val="none"/>
                <w:lang w:eastAsia="zh-CN"/>
              </w:rPr>
              <w:t>。</w:t>
            </w:r>
          </w:p>
          <w:p w14:paraId="0964B3A1">
            <w:pPr>
              <w:keepNext w:val="0"/>
              <w:keepLines w:val="0"/>
              <w:pageBreakBefore w:val="0"/>
              <w:shd w:val="clear"/>
              <w:kinsoku/>
              <w:wordWrap/>
              <w:overflowPunct/>
              <w:topLinePunct w:val="0"/>
              <w:bidi w:val="0"/>
              <w:spacing w:line="480" w:lineRule="exact"/>
              <w:ind w:firstLine="480" w:firstLineChars="200"/>
              <w:textAlignment w:val="auto"/>
              <w:rPr>
                <w:rFonts w:hint="eastAsia" w:eastAsia="宋体"/>
                <w:color w:val="auto"/>
                <w:szCs w:val="24"/>
                <w:highlight w:val="none"/>
                <w:lang w:eastAsia="zh-CN"/>
              </w:rPr>
            </w:pPr>
            <w:r>
              <w:rPr>
                <w:rFonts w:hint="eastAsia"/>
                <w:color w:val="auto"/>
                <w:szCs w:val="24"/>
                <w:highlight w:val="none"/>
              </w:rPr>
              <w:t>废气排气筒高度严格执行《石灰行业大气污染物排放标准》（DB13/1641-2025）有关规定，排气筒最低建设高度不得低于15m，其具体高度及与周边建筑物的相对高差须按环境影响评价文件要求确定。本项目预处理车间建筑高度为8m，结合标准限值、车间层高及废气扩散要求，本次配套废气治理设施排气筒设置为15m</w:t>
            </w:r>
            <w:r>
              <w:rPr>
                <w:rFonts w:hint="eastAsia"/>
                <w:color w:val="auto"/>
                <w:szCs w:val="24"/>
                <w:highlight w:val="none"/>
                <w:lang w:eastAsia="zh-CN"/>
              </w:rPr>
              <w:t>。</w:t>
            </w:r>
          </w:p>
          <w:p w14:paraId="223BDEC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气</w:t>
            </w:r>
            <w:r>
              <w:rPr>
                <w:rFonts w:hint="default" w:ascii="Times New Roman" w:hAnsi="Times New Roman" w:eastAsia="宋体" w:cs="Times New Roman"/>
                <w:b/>
                <w:bCs/>
                <w:color w:val="auto"/>
                <w:spacing w:val="0"/>
                <w:sz w:val="21"/>
                <w:szCs w:val="21"/>
                <w:highlight w:val="none"/>
                <w:lang w:val="en-US" w:eastAsia="zh-CN"/>
              </w:rPr>
              <w:t>污染物无组织排放限值</w:t>
            </w:r>
          </w:p>
          <w:tbl>
            <w:tblPr>
              <w:tblStyle w:val="32"/>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760"/>
              <w:gridCol w:w="2689"/>
              <w:gridCol w:w="1683"/>
              <w:gridCol w:w="2842"/>
            </w:tblGrid>
            <w:tr w14:paraId="25DB8F0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2B5BCCF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序号</w:t>
                  </w:r>
                </w:p>
              </w:tc>
              <w:tc>
                <w:tcPr>
                  <w:tcW w:w="2689" w:type="dxa"/>
                  <w:tcBorders>
                    <w:tl2br w:val="nil"/>
                    <w:tr2bl w:val="nil"/>
                  </w:tcBorders>
                  <w:noWrap w:val="0"/>
                  <w:vAlign w:val="center"/>
                </w:tcPr>
                <w:p w14:paraId="0E3BFC89">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污染物</w:t>
                  </w:r>
                </w:p>
              </w:tc>
              <w:tc>
                <w:tcPr>
                  <w:tcW w:w="1683" w:type="dxa"/>
                  <w:tcBorders>
                    <w:tl2br w:val="nil"/>
                    <w:tr2bl w:val="nil"/>
                  </w:tcBorders>
                  <w:noWrap w:val="0"/>
                  <w:vAlign w:val="center"/>
                </w:tcPr>
                <w:p w14:paraId="504909D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排放浓度限值（mg/m</w:t>
                  </w:r>
                  <w:r>
                    <w:rPr>
                      <w:rFonts w:ascii="Times New Roman" w:hAnsi="Times New Roman" w:cs="Times New Roman"/>
                      <w:b w:val="0"/>
                      <w:bCs w:val="0"/>
                      <w:color w:val="auto"/>
                      <w:sz w:val="21"/>
                      <w:szCs w:val="21"/>
                      <w:highlight w:val="none"/>
                      <w:vertAlign w:val="superscript"/>
                    </w:rPr>
                    <w:t>3</w:t>
                  </w:r>
                  <w:r>
                    <w:rPr>
                      <w:rFonts w:ascii="Times New Roman" w:hAnsi="Times New Roman" w:cs="Times New Roman"/>
                      <w:b w:val="0"/>
                      <w:bCs w:val="0"/>
                      <w:color w:val="auto"/>
                      <w:sz w:val="21"/>
                      <w:szCs w:val="21"/>
                      <w:highlight w:val="none"/>
                    </w:rPr>
                    <w:t>）</w:t>
                  </w:r>
                </w:p>
              </w:tc>
              <w:tc>
                <w:tcPr>
                  <w:tcW w:w="2842" w:type="dxa"/>
                  <w:tcBorders>
                    <w:tl2br w:val="nil"/>
                    <w:tr2bl w:val="nil"/>
                  </w:tcBorders>
                  <w:noWrap w:val="0"/>
                  <w:vAlign w:val="center"/>
                </w:tcPr>
                <w:p w14:paraId="72EB5B64">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标准来源</w:t>
                  </w:r>
                </w:p>
              </w:tc>
            </w:tr>
            <w:tr w14:paraId="11FE080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2280B90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hint="eastAsia" w:ascii="Times New Roman" w:hAnsi="Times New Roman" w:cs="Times New Roman"/>
                      <w:b w:val="0"/>
                      <w:bCs w:val="0"/>
                      <w:color w:val="auto"/>
                      <w:sz w:val="21"/>
                      <w:szCs w:val="21"/>
                      <w:highlight w:val="none"/>
                    </w:rPr>
                  </w:pPr>
                  <w:r>
                    <w:rPr>
                      <w:rFonts w:hint="eastAsia" w:ascii="Times New Roman" w:hAnsi="Times New Roman" w:cs="Times New Roman"/>
                      <w:b w:val="0"/>
                      <w:bCs w:val="0"/>
                      <w:color w:val="auto"/>
                      <w:sz w:val="21"/>
                      <w:szCs w:val="21"/>
                      <w:highlight w:val="none"/>
                    </w:rPr>
                    <w:t>1</w:t>
                  </w:r>
                </w:p>
              </w:tc>
              <w:tc>
                <w:tcPr>
                  <w:tcW w:w="2689" w:type="dxa"/>
                  <w:tcBorders>
                    <w:tl2br w:val="nil"/>
                    <w:tr2bl w:val="nil"/>
                  </w:tcBorders>
                  <w:noWrap w:val="0"/>
                  <w:vAlign w:val="center"/>
                </w:tcPr>
                <w:p w14:paraId="3C63BBF3">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eastAsia="宋体"/>
                      <w:b w:val="0"/>
                      <w:bCs w:val="0"/>
                      <w:snapToGrid w:val="0"/>
                      <w:color w:val="auto"/>
                      <w:sz w:val="21"/>
                      <w:szCs w:val="21"/>
                      <w:highlight w:val="none"/>
                      <w:lang w:eastAsia="zh-CN"/>
                    </w:rPr>
                  </w:pPr>
                  <w:r>
                    <w:rPr>
                      <w:b w:val="0"/>
                      <w:bCs w:val="0"/>
                      <w:snapToGrid w:val="0"/>
                      <w:color w:val="auto"/>
                      <w:sz w:val="21"/>
                      <w:szCs w:val="21"/>
                      <w:highlight w:val="none"/>
                    </w:rPr>
                    <w:t>颗粒物</w:t>
                  </w:r>
                  <w:r>
                    <w:rPr>
                      <w:rFonts w:hint="eastAsia"/>
                      <w:b w:val="0"/>
                      <w:bCs w:val="0"/>
                      <w:snapToGrid w:val="0"/>
                      <w:color w:val="auto"/>
                      <w:sz w:val="21"/>
                      <w:szCs w:val="21"/>
                      <w:highlight w:val="none"/>
                      <w:lang w:eastAsia="zh-CN"/>
                    </w:rPr>
                    <w:t>（厂界无组织）</w:t>
                  </w:r>
                </w:p>
              </w:tc>
              <w:tc>
                <w:tcPr>
                  <w:tcW w:w="1683" w:type="dxa"/>
                  <w:tcBorders>
                    <w:tl2br w:val="nil"/>
                    <w:tr2bl w:val="nil"/>
                  </w:tcBorders>
                  <w:noWrap w:val="0"/>
                  <w:vAlign w:val="center"/>
                </w:tcPr>
                <w:p w14:paraId="70546990">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default" w:eastAsia="宋体"/>
                      <w:b w:val="0"/>
                      <w:bCs w:val="0"/>
                      <w:snapToGrid w:val="0"/>
                      <w:color w:val="auto"/>
                      <w:sz w:val="21"/>
                      <w:szCs w:val="21"/>
                      <w:highlight w:val="none"/>
                      <w:lang w:val="en-US" w:eastAsia="zh-CN"/>
                    </w:rPr>
                  </w:pPr>
                  <w:r>
                    <w:rPr>
                      <w:rFonts w:hint="eastAsia"/>
                      <w:b w:val="0"/>
                      <w:bCs w:val="0"/>
                      <w:snapToGrid w:val="0"/>
                      <w:color w:val="auto"/>
                      <w:sz w:val="21"/>
                      <w:szCs w:val="21"/>
                      <w:highlight w:val="none"/>
                      <w:lang w:val="en-US" w:eastAsia="zh-CN"/>
                    </w:rPr>
                    <w:t>0.5</w:t>
                  </w:r>
                </w:p>
              </w:tc>
              <w:tc>
                <w:tcPr>
                  <w:tcW w:w="2842" w:type="dxa"/>
                  <w:vMerge w:val="restart"/>
                  <w:tcBorders>
                    <w:tl2br w:val="nil"/>
                    <w:tr2bl w:val="nil"/>
                  </w:tcBorders>
                  <w:noWrap w:val="0"/>
                  <w:vAlign w:val="center"/>
                </w:tcPr>
                <w:p w14:paraId="4400CA84">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b w:val="0"/>
                      <w:bCs w:val="0"/>
                      <w:snapToGrid w:val="0"/>
                      <w:color w:val="auto"/>
                      <w:sz w:val="21"/>
                      <w:szCs w:val="21"/>
                      <w:highlight w:val="none"/>
                    </w:rPr>
                  </w:pPr>
                  <w:r>
                    <w:rPr>
                      <w:rFonts w:hint="eastAsia"/>
                      <w:b w:val="0"/>
                      <w:bCs w:val="0"/>
                      <w:color w:val="auto"/>
                      <w:sz w:val="21"/>
                      <w:szCs w:val="21"/>
                      <w:highlight w:val="none"/>
                    </w:rPr>
                    <w:t>《石灰行业大气污染物排放标准》</w:t>
                  </w:r>
                  <w:r>
                    <w:rPr>
                      <w:rFonts w:hint="eastAsia"/>
                      <w:b w:val="0"/>
                      <w:bCs w:val="0"/>
                      <w:color w:val="auto"/>
                      <w:sz w:val="21"/>
                      <w:szCs w:val="21"/>
                      <w:highlight w:val="none"/>
                      <w:lang w:eastAsia="zh-CN"/>
                    </w:rPr>
                    <w:t>（</w:t>
                  </w:r>
                  <w:r>
                    <w:rPr>
                      <w:rFonts w:hint="eastAsia"/>
                      <w:b w:val="0"/>
                      <w:bCs w:val="0"/>
                      <w:color w:val="auto"/>
                      <w:sz w:val="21"/>
                      <w:szCs w:val="21"/>
                      <w:highlight w:val="none"/>
                    </w:rPr>
                    <w:t>DB13/1641</w:t>
                  </w:r>
                  <w:r>
                    <w:rPr>
                      <w:rFonts w:hint="eastAsia"/>
                      <w:b w:val="0"/>
                      <w:bCs w:val="0"/>
                      <w:color w:val="auto"/>
                      <w:sz w:val="21"/>
                      <w:szCs w:val="21"/>
                      <w:highlight w:val="none"/>
                      <w:lang w:eastAsia="zh-CN"/>
                    </w:rPr>
                    <w:t>-2025）</w:t>
                  </w:r>
                  <w:r>
                    <w:rPr>
                      <w:rFonts w:hint="eastAsia"/>
                      <w:b w:val="0"/>
                      <w:bCs w:val="0"/>
                      <w:color w:val="auto"/>
                      <w:sz w:val="21"/>
                      <w:szCs w:val="21"/>
                      <w:highlight w:val="none"/>
                    </w:rPr>
                    <w:t>及《2019年“十项重点工作”工作方案》</w:t>
                  </w:r>
                  <w:r>
                    <w:rPr>
                      <w:rFonts w:hint="eastAsia"/>
                      <w:b w:val="0"/>
                      <w:bCs w:val="0"/>
                      <w:color w:val="auto"/>
                      <w:sz w:val="21"/>
                      <w:szCs w:val="21"/>
                      <w:highlight w:val="none"/>
                      <w:lang w:eastAsia="zh-CN"/>
                    </w:rPr>
                    <w:t>（</w:t>
                  </w:r>
                  <w:r>
                    <w:rPr>
                      <w:rFonts w:hint="eastAsia"/>
                      <w:b w:val="0"/>
                      <w:bCs w:val="0"/>
                      <w:color w:val="auto"/>
                      <w:sz w:val="21"/>
                      <w:szCs w:val="21"/>
                      <w:highlight w:val="none"/>
                    </w:rPr>
                    <w:t>唐办发</w:t>
                  </w:r>
                  <w:r>
                    <w:rPr>
                      <w:rFonts w:hint="eastAsia"/>
                      <w:b w:val="0"/>
                      <w:bCs w:val="0"/>
                      <w:color w:val="auto"/>
                      <w:sz w:val="21"/>
                      <w:szCs w:val="21"/>
                      <w:highlight w:val="none"/>
                      <w:lang w:eastAsia="zh-CN"/>
                    </w:rPr>
                    <w:t>﹝2019﹞</w:t>
                  </w:r>
                  <w:r>
                    <w:rPr>
                      <w:rFonts w:hint="eastAsia"/>
                      <w:b w:val="0"/>
                      <w:bCs w:val="0"/>
                      <w:color w:val="auto"/>
                      <w:sz w:val="21"/>
                      <w:szCs w:val="21"/>
                      <w:highlight w:val="none"/>
                    </w:rPr>
                    <w:t>3号</w:t>
                  </w:r>
                  <w:r>
                    <w:rPr>
                      <w:rFonts w:hint="eastAsia"/>
                      <w:b w:val="0"/>
                      <w:bCs w:val="0"/>
                      <w:color w:val="auto"/>
                      <w:sz w:val="21"/>
                      <w:szCs w:val="21"/>
                      <w:highlight w:val="none"/>
                      <w:lang w:eastAsia="zh-CN"/>
                    </w:rPr>
                    <w:t>）</w:t>
                  </w:r>
                </w:p>
              </w:tc>
            </w:tr>
            <w:tr w14:paraId="7B52840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3672CE3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hint="eastAsia" w:ascii="Times New Roman" w:hAnsi="Times New Roman" w:cs="Times New Roman"/>
                      <w:b w:val="0"/>
                      <w:bCs w:val="0"/>
                      <w:color w:val="auto"/>
                      <w:sz w:val="21"/>
                      <w:szCs w:val="21"/>
                      <w:highlight w:val="none"/>
                    </w:rPr>
                  </w:pPr>
                  <w:r>
                    <w:rPr>
                      <w:rFonts w:hint="eastAsia" w:ascii="Times New Roman" w:hAnsi="Times New Roman" w:cs="Times New Roman"/>
                      <w:b w:val="0"/>
                      <w:bCs w:val="0"/>
                      <w:color w:val="auto"/>
                      <w:sz w:val="21"/>
                      <w:szCs w:val="21"/>
                      <w:highlight w:val="none"/>
                      <w:lang w:val="en-US" w:eastAsia="zh-CN"/>
                    </w:rPr>
                    <w:t>2</w:t>
                  </w:r>
                </w:p>
              </w:tc>
              <w:tc>
                <w:tcPr>
                  <w:tcW w:w="2689" w:type="dxa"/>
                  <w:tcBorders>
                    <w:tl2br w:val="nil"/>
                    <w:tr2bl w:val="nil"/>
                  </w:tcBorders>
                  <w:noWrap w:val="0"/>
                  <w:vAlign w:val="center"/>
                </w:tcPr>
                <w:p w14:paraId="2BF6F61A">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eastAsia="宋体"/>
                      <w:b w:val="0"/>
                      <w:bCs w:val="0"/>
                      <w:snapToGrid w:val="0"/>
                      <w:color w:val="auto"/>
                      <w:sz w:val="21"/>
                      <w:szCs w:val="21"/>
                      <w:highlight w:val="none"/>
                      <w:lang w:eastAsia="zh-CN"/>
                    </w:rPr>
                  </w:pPr>
                  <w:r>
                    <w:rPr>
                      <w:b w:val="0"/>
                      <w:bCs w:val="0"/>
                      <w:snapToGrid w:val="0"/>
                      <w:color w:val="auto"/>
                      <w:sz w:val="21"/>
                      <w:szCs w:val="21"/>
                      <w:highlight w:val="none"/>
                    </w:rPr>
                    <w:t>颗粒物</w:t>
                  </w:r>
                  <w:r>
                    <w:rPr>
                      <w:rFonts w:hint="default"/>
                      <w:b w:val="0"/>
                      <w:bCs w:val="0"/>
                      <w:snapToGrid w:val="0"/>
                      <w:color w:val="auto"/>
                      <w:sz w:val="21"/>
                      <w:szCs w:val="21"/>
                      <w:highlight w:val="none"/>
                      <w:lang w:eastAsia="zh-CN"/>
                      <w:rPrChange w:id="0" w:author="呆桃" w:date="2026-03-26T16:53:52Z">
                        <w:rPr>
                          <w:rFonts w:hint="eastAsia"/>
                          <w:b w:val="0"/>
                          <w:bCs w:val="0"/>
                          <w:snapToGrid w:val="0"/>
                          <w:color w:val="auto"/>
                          <w:sz w:val="21"/>
                          <w:szCs w:val="21"/>
                          <w:highlight w:val="none"/>
                          <w:lang w:eastAsia="zh-CN"/>
                        </w:rPr>
                      </w:rPrChange>
                    </w:rPr>
                    <w:t>（</w:t>
                  </w:r>
                  <w:r>
                    <w:rPr>
                      <w:rFonts w:ascii="Times New Roman" w:hAnsi="Times New Roman" w:eastAsia="宋体" w:cs="Times New Roman"/>
                      <w:b w:val="0"/>
                      <w:bCs w:val="0"/>
                      <w:i w:val="0"/>
                      <w:iCs w:val="0"/>
                      <w:snapToGrid w:val="0"/>
                      <w:color w:val="auto"/>
                      <w:sz w:val="21"/>
                      <w:szCs w:val="21"/>
                      <w:highlight w:val="none"/>
                    </w:rPr>
                    <w:t>企业厂区内大气污染物无组织排放限值</w:t>
                  </w:r>
                  <w:r>
                    <w:rPr>
                      <w:rFonts w:hint="default"/>
                      <w:b w:val="0"/>
                      <w:bCs w:val="0"/>
                      <w:snapToGrid w:val="0"/>
                      <w:color w:val="auto"/>
                      <w:sz w:val="21"/>
                      <w:szCs w:val="21"/>
                      <w:highlight w:val="none"/>
                      <w:lang w:eastAsia="zh-CN"/>
                      <w:rPrChange w:id="1" w:author="呆桃" w:date="2026-03-26T16:53:52Z">
                        <w:rPr>
                          <w:rFonts w:hint="eastAsia"/>
                          <w:b w:val="0"/>
                          <w:bCs w:val="0"/>
                          <w:snapToGrid w:val="0"/>
                          <w:color w:val="auto"/>
                          <w:sz w:val="21"/>
                          <w:szCs w:val="21"/>
                          <w:highlight w:val="none"/>
                          <w:lang w:eastAsia="zh-CN"/>
                        </w:rPr>
                      </w:rPrChange>
                    </w:rPr>
                    <w:t>）</w:t>
                  </w:r>
                </w:p>
              </w:tc>
              <w:tc>
                <w:tcPr>
                  <w:tcW w:w="1683" w:type="dxa"/>
                  <w:tcBorders>
                    <w:tl2br w:val="nil"/>
                    <w:tr2bl w:val="nil"/>
                  </w:tcBorders>
                  <w:noWrap w:val="0"/>
                  <w:vAlign w:val="center"/>
                </w:tcPr>
                <w:p w14:paraId="5F0EA465">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default"/>
                      <w:b w:val="0"/>
                      <w:bCs w:val="0"/>
                      <w:snapToGrid w:val="0"/>
                      <w:color w:val="auto"/>
                      <w:sz w:val="21"/>
                      <w:szCs w:val="21"/>
                      <w:highlight w:val="none"/>
                      <w:lang w:val="en-US" w:eastAsia="zh-CN"/>
                    </w:rPr>
                  </w:pPr>
                  <w:r>
                    <w:rPr>
                      <w:rFonts w:hint="eastAsia"/>
                      <w:b w:val="0"/>
                      <w:bCs w:val="0"/>
                      <w:snapToGrid w:val="0"/>
                      <w:color w:val="auto"/>
                      <w:sz w:val="21"/>
                      <w:szCs w:val="21"/>
                      <w:highlight w:val="none"/>
                      <w:lang w:val="en-US" w:eastAsia="zh-CN"/>
                    </w:rPr>
                    <w:t>5.0</w:t>
                  </w:r>
                </w:p>
              </w:tc>
              <w:tc>
                <w:tcPr>
                  <w:tcW w:w="2842" w:type="dxa"/>
                  <w:vMerge w:val="continue"/>
                  <w:tcBorders>
                    <w:tl2br w:val="nil"/>
                    <w:tr2bl w:val="nil"/>
                  </w:tcBorders>
                  <w:noWrap w:val="0"/>
                  <w:vAlign w:val="center"/>
                </w:tcPr>
                <w:p w14:paraId="638D80B6">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b w:val="0"/>
                      <w:bCs w:val="0"/>
                      <w:color w:val="auto"/>
                      <w:sz w:val="21"/>
                      <w:szCs w:val="21"/>
                      <w:highlight w:val="none"/>
                    </w:rPr>
                  </w:pPr>
                </w:p>
              </w:tc>
            </w:tr>
            <w:tr w14:paraId="32D48DD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6AEBF58D">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p>
              </w:tc>
              <w:tc>
                <w:tcPr>
                  <w:tcW w:w="2689" w:type="dxa"/>
                  <w:tcBorders>
                    <w:tl2br w:val="nil"/>
                    <w:tr2bl w:val="nil"/>
                  </w:tcBorders>
                  <w:noWrap w:val="0"/>
                  <w:vAlign w:val="center"/>
                </w:tcPr>
                <w:p w14:paraId="5CA12CF7">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eastAsia="宋体"/>
                      <w:b w:val="0"/>
                      <w:bCs w:val="0"/>
                      <w:snapToGrid w:val="0"/>
                      <w:color w:val="auto"/>
                      <w:sz w:val="21"/>
                      <w:szCs w:val="21"/>
                      <w:highlight w:val="none"/>
                      <w:lang w:eastAsia="zh-CN"/>
                    </w:rPr>
                  </w:pPr>
                  <w:r>
                    <w:rPr>
                      <w:rFonts w:hint="eastAsia"/>
                      <w:b w:val="0"/>
                      <w:bCs w:val="0"/>
                      <w:snapToGrid w:val="0"/>
                      <w:color w:val="auto"/>
                      <w:sz w:val="21"/>
                      <w:szCs w:val="21"/>
                      <w:highlight w:val="none"/>
                      <w:lang w:eastAsia="zh-CN"/>
                    </w:rPr>
                    <w:t>颗粒物（有组织）</w:t>
                  </w:r>
                </w:p>
              </w:tc>
              <w:tc>
                <w:tcPr>
                  <w:tcW w:w="1683" w:type="dxa"/>
                  <w:tcBorders>
                    <w:tl2br w:val="nil"/>
                    <w:tr2bl w:val="nil"/>
                  </w:tcBorders>
                  <w:noWrap w:val="0"/>
                  <w:vAlign w:val="center"/>
                </w:tcPr>
                <w:p w14:paraId="092F094F">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default" w:eastAsia="宋体"/>
                      <w:b w:val="0"/>
                      <w:bCs w:val="0"/>
                      <w:snapToGrid w:val="0"/>
                      <w:color w:val="auto"/>
                      <w:sz w:val="21"/>
                      <w:szCs w:val="21"/>
                      <w:highlight w:val="none"/>
                      <w:lang w:val="en-US" w:eastAsia="zh-CN"/>
                    </w:rPr>
                  </w:pPr>
                  <w:r>
                    <w:rPr>
                      <w:rFonts w:hint="eastAsia"/>
                      <w:b w:val="0"/>
                      <w:bCs w:val="0"/>
                      <w:snapToGrid w:val="0"/>
                      <w:color w:val="auto"/>
                      <w:sz w:val="21"/>
                      <w:szCs w:val="21"/>
                      <w:highlight w:val="none"/>
                      <w:lang w:val="en-US" w:eastAsia="zh-CN"/>
                    </w:rPr>
                    <w:t>10</w:t>
                  </w:r>
                </w:p>
              </w:tc>
              <w:tc>
                <w:tcPr>
                  <w:tcW w:w="2842" w:type="dxa"/>
                  <w:vMerge w:val="continue"/>
                  <w:tcBorders>
                    <w:tl2br w:val="nil"/>
                    <w:tr2bl w:val="nil"/>
                  </w:tcBorders>
                  <w:noWrap w:val="0"/>
                  <w:vAlign w:val="center"/>
                </w:tcPr>
                <w:p w14:paraId="47DAFE55">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b w:val="0"/>
                      <w:bCs w:val="0"/>
                      <w:color w:val="auto"/>
                      <w:sz w:val="21"/>
                      <w:szCs w:val="21"/>
                      <w:highlight w:val="none"/>
                    </w:rPr>
                  </w:pPr>
                </w:p>
              </w:tc>
            </w:tr>
          </w:tbl>
          <w:p w14:paraId="6CA4F8C7">
            <w:pPr>
              <w:keepNext w:val="0"/>
              <w:keepLines w:val="0"/>
              <w:pageBreakBefore w:val="0"/>
              <w:widowControl w:val="0"/>
              <w:shd w:val="clear"/>
              <w:kinsoku/>
              <w:wordWrap/>
              <w:overflowPunct/>
              <w:topLinePunct w:val="0"/>
              <w:bidi w:val="0"/>
              <w:spacing w:line="480" w:lineRule="exact"/>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 w:val="24"/>
                <w:szCs w:val="24"/>
                <w:highlight w:val="none"/>
                <w:lang w:val="en-US" w:eastAsia="zh-CN"/>
              </w:rPr>
              <w:t>⑵</w:t>
            </w:r>
            <w:r>
              <w:rPr>
                <w:rFonts w:hint="eastAsia" w:cs="Times New Roman"/>
                <w:color w:val="auto"/>
                <w:highlight w:val="none"/>
                <w:lang w:val="en-US" w:eastAsia="zh-CN"/>
              </w:rPr>
              <w:t>噪声</w:t>
            </w:r>
          </w:p>
          <w:p w14:paraId="00D6F1DF">
            <w:pPr>
              <w:keepNext w:val="0"/>
              <w:keepLines w:val="0"/>
              <w:pageBreakBefore w:val="0"/>
              <w:widowControl w:val="0"/>
              <w:shd w:val="clear"/>
              <w:kinsoku/>
              <w:wordWrap/>
              <w:overflowPunct/>
              <w:topLinePunct w:val="0"/>
              <w:bidi w:val="0"/>
              <w:spacing w:line="480" w:lineRule="exact"/>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厂界噪声执行《工业企业厂界环境噪声排放标准》（GB12348-2008）中</w:t>
            </w:r>
            <w:r>
              <w:rPr>
                <w:rFonts w:hint="eastAsia" w:cs="Times New Roman"/>
                <w:color w:val="auto"/>
                <w:highlight w:val="none"/>
                <w:lang w:val="en-US" w:eastAsia="zh-CN"/>
              </w:rPr>
              <w:t>2</w:t>
            </w:r>
            <w:r>
              <w:rPr>
                <w:rFonts w:hint="default" w:ascii="Times New Roman" w:hAnsi="Times New Roman" w:eastAsia="宋体" w:cs="Times New Roman"/>
                <w:color w:val="auto"/>
                <w:highlight w:val="none"/>
                <w:lang w:val="en-US" w:eastAsia="zh-CN"/>
              </w:rPr>
              <w:t>类标准，昼间6</w:t>
            </w:r>
            <w:r>
              <w:rPr>
                <w:rFonts w:hint="eastAsia" w:cs="Times New Roman"/>
                <w:color w:val="auto"/>
                <w:highlight w:val="none"/>
                <w:lang w:val="en-US" w:eastAsia="zh-CN"/>
              </w:rPr>
              <w:t>0</w:t>
            </w:r>
            <w:r>
              <w:rPr>
                <w:rFonts w:hint="default" w:ascii="Times New Roman" w:hAnsi="Times New Roman" w:eastAsia="宋体" w:cs="Times New Roman"/>
                <w:color w:val="auto"/>
                <w:highlight w:val="none"/>
                <w:lang w:val="en-US" w:eastAsia="zh-CN"/>
              </w:rPr>
              <w:t>dB（A），</w:t>
            </w:r>
            <w:r>
              <w:rPr>
                <w:rFonts w:hint="eastAsia" w:cs="Times New Roman"/>
                <w:color w:val="auto"/>
                <w:highlight w:val="none"/>
                <w:lang w:val="en-US" w:eastAsia="zh-CN"/>
              </w:rPr>
              <w:t>夜间50</w:t>
            </w:r>
            <w:r>
              <w:rPr>
                <w:rFonts w:hint="default" w:ascii="Times New Roman" w:hAnsi="Times New Roman" w:eastAsia="宋体" w:cs="Times New Roman"/>
                <w:color w:val="auto"/>
                <w:highlight w:val="none"/>
                <w:lang w:val="en-US" w:eastAsia="zh-CN"/>
              </w:rPr>
              <w:t>dB（A）</w:t>
            </w:r>
            <w:r>
              <w:rPr>
                <w:rFonts w:hint="eastAsia" w:ascii="Times New Roman" w:hAnsi="Times New Roman" w:eastAsia="宋体" w:cs="Times New Roman"/>
                <w:color w:val="auto"/>
                <w:highlight w:val="none"/>
                <w:lang w:val="en-US" w:eastAsia="zh-CN"/>
              </w:rPr>
              <w:t>。</w:t>
            </w:r>
          </w:p>
          <w:p w14:paraId="66BDF655">
            <w:pPr>
              <w:keepNext w:val="0"/>
              <w:keepLines w:val="0"/>
              <w:pageBreakBefore w:val="0"/>
              <w:widowControl w:val="0"/>
              <w:shd w:val="clear"/>
              <w:kinsoku/>
              <w:wordWrap/>
              <w:overflowPunct/>
              <w:topLinePunct w:val="0"/>
              <w:bidi w:val="0"/>
              <w:spacing w:line="480" w:lineRule="exact"/>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⑶</w:t>
            </w:r>
            <w:r>
              <w:rPr>
                <w:rFonts w:hint="eastAsia" w:ascii="Times New Roman" w:hAnsi="Times New Roman" w:cs="Times New Roman"/>
                <w:color w:val="auto"/>
                <w:highlight w:val="none"/>
                <w:lang w:val="en-US" w:eastAsia="zh-CN"/>
              </w:rPr>
              <w:t>固体废物</w:t>
            </w:r>
          </w:p>
          <w:p w14:paraId="499E66E9">
            <w:pPr>
              <w:shd w:val="clear"/>
              <w:bidi w:val="0"/>
              <w:rPr>
                <w:rFonts w:hint="default"/>
                <w:color w:val="auto"/>
                <w:lang w:val="en-US" w:eastAsia="zh-CN"/>
              </w:rPr>
            </w:pPr>
            <w:r>
              <w:rPr>
                <w:snapToGrid w:val="0"/>
                <w:color w:val="auto"/>
                <w:sz w:val="24"/>
                <w:szCs w:val="24"/>
                <w:highlight w:val="none"/>
              </w:rPr>
              <w:t>一般固体废弃物</w:t>
            </w:r>
            <w:r>
              <w:rPr>
                <w:rFonts w:hint="eastAsia"/>
                <w:snapToGrid w:val="0"/>
                <w:color w:val="auto"/>
                <w:sz w:val="24"/>
                <w:szCs w:val="24"/>
                <w:highlight w:val="none"/>
                <w:lang w:val="en-US" w:eastAsia="zh-CN"/>
              </w:rPr>
              <w:t>贮存</w:t>
            </w:r>
            <w:r>
              <w:rPr>
                <w:rFonts w:hint="eastAsia"/>
                <w:snapToGrid w:val="0"/>
                <w:color w:val="auto"/>
                <w:sz w:val="24"/>
                <w:szCs w:val="24"/>
                <w:highlight w:val="none"/>
              </w:rPr>
              <w:t>参照</w:t>
            </w:r>
            <w:r>
              <w:rPr>
                <w:snapToGrid w:val="0"/>
                <w:color w:val="auto"/>
                <w:sz w:val="24"/>
                <w:szCs w:val="24"/>
                <w:highlight w:val="none"/>
              </w:rPr>
              <w:t>执行</w:t>
            </w:r>
            <w:r>
              <w:rPr>
                <w:rFonts w:hint="eastAsia"/>
                <w:snapToGrid w:val="0"/>
                <w:color w:val="auto"/>
                <w:sz w:val="24"/>
                <w:szCs w:val="24"/>
                <w:highlight w:val="none"/>
              </w:rPr>
              <w:t>《</w:t>
            </w:r>
            <w:r>
              <w:rPr>
                <w:snapToGrid w:val="0"/>
                <w:color w:val="auto"/>
                <w:sz w:val="24"/>
                <w:szCs w:val="24"/>
                <w:highlight w:val="none"/>
              </w:rPr>
              <w:fldChar w:fldCharType="begin"/>
            </w:r>
            <w:r>
              <w:rPr>
                <w:snapToGrid w:val="0"/>
                <w:color w:val="auto"/>
                <w:sz w:val="24"/>
                <w:szCs w:val="24"/>
                <w:highlight w:val="none"/>
              </w:rPr>
              <w:instrText xml:space="preserve"> HYPERLINK "https://www.eiacloud.com/hpyzs/lawsRegulations/searchDetail?id=aa2796ebd34247bfb15db7bdfa5bf721&amp;modelName=%E9%A6%96%E9%A1%B5" \t "https://www.eiacloud.com/hpyzs/lawsRegulations/_blank" </w:instrText>
            </w:r>
            <w:r>
              <w:rPr>
                <w:snapToGrid w:val="0"/>
                <w:color w:val="auto"/>
                <w:sz w:val="24"/>
                <w:szCs w:val="24"/>
                <w:highlight w:val="none"/>
              </w:rPr>
              <w:fldChar w:fldCharType="separate"/>
            </w:r>
            <w:r>
              <w:rPr>
                <w:snapToGrid w:val="0"/>
                <w:color w:val="auto"/>
                <w:sz w:val="24"/>
                <w:szCs w:val="24"/>
                <w:highlight w:val="none"/>
              </w:rPr>
              <w:t>一般工业固体废物贮存和填埋污染控制标准</w:t>
            </w:r>
            <w:r>
              <w:rPr>
                <w:snapToGrid w:val="0"/>
                <w:color w:val="auto"/>
                <w:sz w:val="24"/>
                <w:szCs w:val="24"/>
                <w:highlight w:val="none"/>
              </w:rPr>
              <w:fldChar w:fldCharType="end"/>
            </w:r>
            <w:r>
              <w:rPr>
                <w:rFonts w:hint="eastAsia"/>
                <w:snapToGrid w:val="0"/>
                <w:color w:val="auto"/>
                <w:sz w:val="24"/>
                <w:szCs w:val="24"/>
                <w:highlight w:val="none"/>
              </w:rPr>
              <w:t>》（</w:t>
            </w:r>
            <w:r>
              <w:rPr>
                <w:rFonts w:hint="eastAsia" w:ascii="Times New Roman" w:hAnsi="Times New Roman" w:eastAsia="宋体" w:cs="Times New Roman"/>
                <w:snapToGrid w:val="0"/>
                <w:color w:val="auto"/>
                <w:sz w:val="24"/>
                <w:szCs w:val="24"/>
                <w:highlight w:val="none"/>
              </w:rPr>
              <w:t>GB18599-2020）</w:t>
            </w:r>
            <w:r>
              <w:rPr>
                <w:rFonts w:hint="eastAsia" w:ascii="Times New Roman" w:hAnsi="Times New Roman" w:eastAsia="宋体" w:cs="Times New Roman"/>
                <w:snapToGrid w:val="0"/>
                <w:color w:val="auto"/>
                <w:sz w:val="24"/>
                <w:szCs w:val="24"/>
                <w:highlight w:val="none"/>
                <w:lang w:eastAsia="zh-CN"/>
              </w:rPr>
              <w:t>；</w:t>
            </w:r>
            <w:r>
              <w:rPr>
                <w:rFonts w:hint="eastAsia" w:ascii="Times New Roman" w:hAnsi="Times New Roman" w:eastAsia="宋体" w:cs="Times New Roman"/>
                <w:snapToGrid w:val="0"/>
                <w:color w:val="auto"/>
                <w:sz w:val="24"/>
                <w:szCs w:val="24"/>
                <w:highlight w:val="none"/>
              </w:rPr>
              <w:t>危险废物</w:t>
            </w:r>
            <w:r>
              <w:rPr>
                <w:rFonts w:hint="eastAsia" w:ascii="Times New Roman" w:hAnsi="Times New Roman" w:eastAsia="宋体" w:cs="Times New Roman"/>
                <w:snapToGrid w:val="0"/>
                <w:color w:val="auto"/>
                <w:sz w:val="24"/>
                <w:szCs w:val="24"/>
                <w:highlight w:val="none"/>
                <w:lang w:val="en-US" w:eastAsia="zh-CN"/>
              </w:rPr>
              <w:t>贮存</w:t>
            </w:r>
            <w:r>
              <w:rPr>
                <w:rFonts w:hint="eastAsia" w:ascii="Times New Roman" w:hAnsi="Times New Roman" w:eastAsia="宋体" w:cs="Times New Roman"/>
                <w:snapToGrid w:val="0"/>
                <w:color w:val="auto"/>
                <w:sz w:val="24"/>
                <w:szCs w:val="24"/>
                <w:highlight w:val="none"/>
              </w:rPr>
              <w:t>执行《危险废物贮存污染控制标准》（GB18597-20</w:t>
            </w:r>
            <w:r>
              <w:rPr>
                <w:rFonts w:hint="eastAsia" w:ascii="Times New Roman" w:hAnsi="Times New Roman" w:eastAsia="宋体" w:cs="Times New Roman"/>
                <w:snapToGrid w:val="0"/>
                <w:color w:val="auto"/>
                <w:sz w:val="24"/>
                <w:szCs w:val="24"/>
                <w:highlight w:val="none"/>
                <w:lang w:val="en-US" w:eastAsia="zh-CN"/>
              </w:rPr>
              <w:t>23</w:t>
            </w:r>
            <w:r>
              <w:rPr>
                <w:rFonts w:hint="eastAsia" w:ascii="Times New Roman" w:hAnsi="Times New Roman" w:eastAsia="宋体" w:cs="Times New Roman"/>
                <w:snapToGrid w:val="0"/>
                <w:color w:val="auto"/>
                <w:sz w:val="24"/>
                <w:szCs w:val="24"/>
                <w:highlight w:val="none"/>
              </w:rPr>
              <w:t>）</w:t>
            </w:r>
            <w:r>
              <w:rPr>
                <w:rFonts w:hint="eastAsia" w:ascii="Times New Roman" w:hAnsi="Times New Roman" w:eastAsia="宋体" w:cs="Times New Roman"/>
                <w:snapToGrid w:val="0"/>
                <w:color w:val="auto"/>
                <w:sz w:val="24"/>
                <w:szCs w:val="24"/>
                <w:highlight w:val="none"/>
                <w:lang w:val="en-US" w:eastAsia="zh-CN"/>
              </w:rPr>
              <w:t>中</w:t>
            </w:r>
            <w:r>
              <w:rPr>
                <w:rFonts w:hint="eastAsia" w:ascii="Times New Roman" w:hAnsi="Times New Roman" w:eastAsia="宋体" w:cs="Times New Roman"/>
                <w:snapToGrid w:val="0"/>
                <w:color w:val="auto"/>
                <w:sz w:val="24"/>
                <w:szCs w:val="24"/>
                <w:highlight w:val="none"/>
              </w:rPr>
              <w:t>的标准</w:t>
            </w:r>
            <w:r>
              <w:rPr>
                <w:rFonts w:hint="eastAsia" w:ascii="Times New Roman" w:hAnsi="Times New Roman" w:eastAsia="宋体" w:cs="Times New Roman"/>
                <w:snapToGrid w:val="0"/>
                <w:color w:val="auto"/>
                <w:sz w:val="24"/>
                <w:szCs w:val="24"/>
                <w:highlight w:val="none"/>
                <w:lang w:eastAsia="zh-CN"/>
              </w:rPr>
              <w:t>；</w:t>
            </w:r>
            <w:r>
              <w:rPr>
                <w:rFonts w:hint="default" w:ascii="Times New Roman" w:hAnsi="Times New Roman" w:eastAsia="宋体" w:cs="Times New Roman"/>
                <w:color w:val="auto"/>
                <w:sz w:val="24"/>
                <w:szCs w:val="24"/>
                <w:highlight w:val="none"/>
              </w:rPr>
              <w:t>生活垃圾</w:t>
            </w:r>
            <w:r>
              <w:rPr>
                <w:rFonts w:hint="eastAsia" w:ascii="Times New Roman" w:hAnsi="Times New Roman" w:eastAsia="宋体" w:cs="Times New Roman"/>
                <w:color w:val="auto"/>
                <w:sz w:val="24"/>
                <w:szCs w:val="24"/>
                <w:highlight w:val="none"/>
                <w:lang w:val="en-US" w:eastAsia="zh-CN"/>
              </w:rPr>
              <w:t>贮存</w:t>
            </w:r>
            <w:r>
              <w:rPr>
                <w:rFonts w:hint="default" w:ascii="Times New Roman" w:hAnsi="Times New Roman" w:eastAsia="宋体" w:cs="Times New Roman"/>
                <w:color w:val="auto"/>
                <w:sz w:val="24"/>
                <w:szCs w:val="24"/>
                <w:highlight w:val="none"/>
              </w:rPr>
              <w:t>参照执行《中华人民共和国固体废物污染环境防治法》（2020年9月1日）</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第四章生活垃圾</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的相关规定</w:t>
            </w:r>
            <w:r>
              <w:rPr>
                <w:rFonts w:hint="eastAsia" w:ascii="Times New Roman" w:hAnsi="Times New Roman" w:eastAsia="宋体" w:cs="Times New Roman"/>
                <w:color w:val="auto"/>
                <w:sz w:val="24"/>
                <w:szCs w:val="24"/>
                <w:highlight w:val="none"/>
                <w:lang w:eastAsia="zh-CN"/>
              </w:rPr>
              <w:t>。</w:t>
            </w:r>
          </w:p>
        </w:tc>
      </w:tr>
      <w:tr w14:paraId="4C25128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800" w:type="dxa"/>
            <w:tcBorders>
              <w:tl2br w:val="nil"/>
              <w:tr2bl w:val="nil"/>
            </w:tcBorders>
            <w:noWrap w:val="0"/>
            <w:vAlign w:val="center"/>
          </w:tcPr>
          <w:p w14:paraId="4302FF18">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总量</w:t>
            </w:r>
          </w:p>
          <w:p w14:paraId="64DC77A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控制</w:t>
            </w:r>
          </w:p>
          <w:p w14:paraId="7CD31D36">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指标</w:t>
            </w:r>
          </w:p>
        </w:tc>
        <w:tc>
          <w:tcPr>
            <w:tcW w:w="8346" w:type="dxa"/>
            <w:tcBorders>
              <w:tl2br w:val="nil"/>
              <w:tr2bl w:val="nil"/>
            </w:tcBorders>
            <w:noWrap w:val="0"/>
            <w:vAlign w:val="center"/>
          </w:tcPr>
          <w:p w14:paraId="41E14689">
            <w:pPr>
              <w:keepNext w:val="0"/>
              <w:keepLines w:val="0"/>
              <w:pageBreakBefore w:val="0"/>
              <w:widowControl w:val="0"/>
              <w:shd w:val="clear"/>
              <w:kinsoku/>
              <w:wordWrap/>
              <w:overflowPunct/>
              <w:topLinePunct w:val="0"/>
              <w:bidi w:val="0"/>
              <w:snapToGrid/>
              <w:spacing w:line="45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color w:val="auto"/>
                <w:highlight w:val="none"/>
                <w:lang w:val="en-US" w:eastAsia="zh-CN"/>
              </w:rPr>
              <w:t>根据国家相关</w:t>
            </w:r>
            <w:r>
              <w:rPr>
                <w:rFonts w:hint="default" w:ascii="Times New Roman" w:hAnsi="Times New Roman" w:cs="Times New Roman"/>
                <w:color w:val="auto"/>
                <w:sz w:val="24"/>
                <w:szCs w:val="24"/>
                <w:highlight w:val="none"/>
              </w:rPr>
              <w:t>总量控制</w:t>
            </w:r>
            <w:r>
              <w:rPr>
                <w:rFonts w:hint="eastAsia"/>
                <w:color w:val="auto"/>
                <w:highlight w:val="none"/>
                <w:lang w:val="en-US" w:eastAsia="zh-CN"/>
              </w:rPr>
              <w:t>要求</w:t>
            </w:r>
            <w:r>
              <w:rPr>
                <w:rFonts w:hint="default" w:ascii="Times New Roman" w:hAnsi="Times New Roman" w:eastAsia="宋体" w:cs="Times New Roman"/>
                <w:color w:val="auto"/>
                <w:sz w:val="24"/>
                <w:szCs w:val="24"/>
                <w:highlight w:val="none"/>
              </w:rPr>
              <w:t>，总量控制因子为COD、氨氮、SO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、NOx，同时根据河北省水污染防治工作领导小组办公室发布《河北省碧水保卫战三年行动计划（2018-2020年）》（冀水领办[2018]123号），确定实施总氮排放总量控制。</w:t>
            </w:r>
          </w:p>
          <w:p w14:paraId="48B8B3BD">
            <w:pPr>
              <w:keepNext w:val="0"/>
              <w:keepLines w:val="0"/>
              <w:pageBreakBefore w:val="0"/>
              <w:widowControl w:val="0"/>
              <w:shd w:val="clear"/>
              <w:kinsoku/>
              <w:wordWrap/>
              <w:overflowPunct/>
              <w:topLinePunct w:val="0"/>
              <w:bidi w:val="0"/>
              <w:snapToGrid/>
              <w:spacing w:line="45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highlight w:val="none"/>
              </w:rPr>
              <w:t>根据《关于印发&lt;建设项目主要污染物排放总量指标审核及管理暂行办法&gt;的通知》（环发[2014]197号）中指标审核规定</w:t>
            </w:r>
            <w:r>
              <w:rPr>
                <w:rFonts w:hint="eastAsia" w:ascii="宋体" w:hAnsi="宋体" w:eastAsia="宋体" w:cs="宋体"/>
                <w:color w:val="auto"/>
                <w:highlight w:val="none"/>
              </w:rPr>
              <w:t>“火电、钢铁、水泥、造纸、印染行业建设项目所需替代的主要污染物排放总量指标采用绩效方法核定，其他行业依照国家或地方污染物排放标准及单位产品基准排水量（行业最高允许排水量）、</w:t>
            </w:r>
            <w:r>
              <w:rPr>
                <w:rFonts w:hint="eastAsia" w:ascii="宋体" w:hAnsi="宋体" w:cs="宋体"/>
                <w:color w:val="auto"/>
                <w:highlight w:val="none"/>
                <w:lang w:val="en-US" w:eastAsia="zh-CN"/>
              </w:rPr>
              <w:t>烟气</w:t>
            </w:r>
            <w:r>
              <w:rPr>
                <w:rFonts w:hint="eastAsia" w:ascii="宋体" w:hAnsi="宋体" w:eastAsia="宋体" w:cs="宋体"/>
                <w:color w:val="auto"/>
                <w:highlight w:val="none"/>
              </w:rPr>
              <w:t>量等予以核定”。</w:t>
            </w:r>
            <w:r>
              <w:rPr>
                <w:rFonts w:hint="default" w:ascii="Times New Roman" w:hAnsi="Times New Roman" w:cs="Times New Roman"/>
                <w:color w:val="auto"/>
                <w:highlight w:val="none"/>
              </w:rPr>
              <w:t>项目污染</w:t>
            </w:r>
            <w:r>
              <w:rPr>
                <w:rFonts w:hint="default" w:ascii="Times New Roman" w:hAnsi="Times New Roman" w:cs="Times New Roman"/>
                <w:color w:val="auto"/>
                <w:highlight w:val="none"/>
                <w:lang w:val="en-US" w:eastAsia="zh-CN"/>
              </w:rPr>
              <w:t>物</w:t>
            </w:r>
            <w:r>
              <w:rPr>
                <w:rFonts w:hint="default" w:ascii="Times New Roman" w:hAnsi="Times New Roman" w:cs="Times New Roman"/>
                <w:color w:val="auto"/>
                <w:highlight w:val="none"/>
              </w:rPr>
              <w:t>总量指标按照排放标准进行核定</w:t>
            </w:r>
            <w:r>
              <w:rPr>
                <w:rFonts w:hint="default" w:ascii="Times New Roman" w:hAnsi="Times New Roman" w:eastAsia="宋体" w:cs="Times New Roman"/>
                <w:color w:val="auto"/>
                <w:sz w:val="24"/>
                <w:szCs w:val="24"/>
                <w:highlight w:val="none"/>
              </w:rPr>
              <w:t>。</w:t>
            </w:r>
          </w:p>
          <w:p w14:paraId="0952F18F">
            <w:pPr>
              <w:keepNext w:val="0"/>
              <w:keepLines w:val="0"/>
              <w:pageBreakBefore w:val="0"/>
              <w:widowControl w:val="0"/>
              <w:shd w:val="clear"/>
              <w:kinsoku/>
              <w:wordWrap/>
              <w:overflowPunct/>
              <w:topLinePunct w:val="0"/>
              <w:bidi w:val="0"/>
              <w:snapToGrid/>
              <w:spacing w:line="450"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废水</w:t>
            </w:r>
          </w:p>
          <w:p w14:paraId="76E19CEB">
            <w:pPr>
              <w:keepNext w:val="0"/>
              <w:keepLines w:val="0"/>
              <w:pageBreakBefore w:val="0"/>
              <w:widowControl w:val="0"/>
              <w:shd w:val="clear"/>
              <w:kinsoku/>
              <w:wordWrap/>
              <w:overflowPunct/>
              <w:topLinePunct w:val="0"/>
              <w:autoSpaceDE w:val="0"/>
              <w:autoSpaceDN w:val="0"/>
              <w:bidi w:val="0"/>
              <w:adjustRightInd w:val="0"/>
              <w:snapToGrid/>
              <w:spacing w:afterAutospacing="0" w:line="450" w:lineRule="exact"/>
              <w:ind w:firstLine="480" w:firstLineChars="200"/>
              <w:textAlignment w:val="auto"/>
              <w:rPr>
                <w:rFonts w:hint="default" w:cs="Times New Roman"/>
                <w:color w:val="auto"/>
                <w:kern w:val="0"/>
                <w:sz w:val="24"/>
                <w:highlight w:val="none"/>
                <w:lang w:val="en-US" w:eastAsia="zh-CN"/>
              </w:rPr>
            </w:pPr>
            <w:r>
              <w:rPr>
                <w:rFonts w:hint="eastAsia" w:cs="Times New Roman"/>
                <w:color w:val="auto"/>
                <w:kern w:val="0"/>
                <w:sz w:val="24"/>
                <w:highlight w:val="none"/>
                <w:lang w:val="en-US" w:eastAsia="zh-CN"/>
              </w:rPr>
              <w:t>本项目产生废水主要为员工生活污水及车辆冲洗废水。其中，生活污水水质简单，全部用于厂区地面洒水抑尘；车辆冲洗废水经收集处理后循环回用，不外排。项目生产、生活废水均实现内部综合回用，无废水外排。因此，本项目不设置COD、氨氮、总氮等水污染物排放总量，对应污染物总量控制指标均为0t/a</w:t>
            </w:r>
            <w:r>
              <w:rPr>
                <w:rFonts w:hint="default" w:cs="Times New Roman"/>
                <w:color w:val="auto"/>
                <w:kern w:val="0"/>
                <w:sz w:val="24"/>
                <w:highlight w:val="none"/>
                <w:lang w:val="en-US" w:eastAsia="zh-CN"/>
              </w:rPr>
              <w:t>。</w:t>
            </w:r>
          </w:p>
          <w:p w14:paraId="1B8F55DD">
            <w:pPr>
              <w:keepNext w:val="0"/>
              <w:keepLines w:val="0"/>
              <w:pageBreakBefore w:val="0"/>
              <w:widowControl w:val="0"/>
              <w:shd w:val="clear"/>
              <w:tabs>
                <w:tab w:val="left" w:pos="3667"/>
              </w:tabs>
              <w:kinsoku/>
              <w:wordWrap/>
              <w:overflowPunct/>
              <w:topLinePunct w:val="0"/>
              <w:autoSpaceDE w:val="0"/>
              <w:autoSpaceDN w:val="0"/>
              <w:bidi w:val="0"/>
              <w:adjustRightInd w:val="0"/>
              <w:snapToGrid/>
              <w:spacing w:line="45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废气</w:t>
            </w:r>
          </w:p>
          <w:p w14:paraId="6421C47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本项目运营期废气主要为颗粒物，不涉及SO</w:t>
            </w:r>
            <w:r>
              <w:rPr>
                <w:rFonts w:hint="eastAsia" w:ascii="Times New Roman" w:hAnsi="Times New Roman" w:eastAsia="宋体" w:cs="Times New Roman"/>
                <w:color w:val="auto"/>
                <w:sz w:val="24"/>
                <w:highlight w:val="none"/>
                <w:vertAlign w:val="subscript"/>
              </w:rPr>
              <w:t>2</w:t>
            </w:r>
            <w:r>
              <w:rPr>
                <w:rFonts w:hint="eastAsia" w:ascii="Times New Roman" w:hAnsi="Times New Roman" w:eastAsia="宋体" w:cs="Times New Roman"/>
                <w:color w:val="auto"/>
                <w:sz w:val="24"/>
                <w:highlight w:val="none"/>
              </w:rPr>
              <w:t>、NOx。</w:t>
            </w:r>
          </w:p>
          <w:p w14:paraId="51C424C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本项目除尘器风量</w:t>
            </w:r>
            <w:r>
              <w:rPr>
                <w:rFonts w:hint="eastAsia" w:cs="Times New Roman"/>
                <w:color w:val="auto"/>
                <w:sz w:val="24"/>
                <w:highlight w:val="none"/>
                <w:lang w:val="en-US" w:eastAsia="zh-CN"/>
              </w:rPr>
              <w:t>38000</w:t>
            </w:r>
            <w:r>
              <w:rPr>
                <w:rFonts w:hint="eastAsia" w:ascii="Times New Roman" w:hAnsi="Times New Roman" w:eastAsia="宋体" w:cs="Times New Roman"/>
                <w:color w:val="auto"/>
                <w:sz w:val="24"/>
                <w:szCs w:val="22"/>
                <w:highlight w:val="none"/>
              </w:rPr>
              <w:t>m</w:t>
            </w:r>
            <w:r>
              <w:rPr>
                <w:rFonts w:hint="eastAsia" w:ascii="Times New Roman" w:hAnsi="Times New Roman" w:eastAsia="宋体" w:cs="Times New Roman"/>
                <w:color w:val="auto"/>
                <w:sz w:val="24"/>
                <w:szCs w:val="22"/>
                <w:highlight w:val="none"/>
                <w:vertAlign w:val="superscript"/>
              </w:rPr>
              <w:t>3</w:t>
            </w:r>
            <w:r>
              <w:rPr>
                <w:rFonts w:hint="eastAsia" w:ascii="Times New Roman" w:hAnsi="Times New Roman" w:eastAsia="宋体" w:cs="Times New Roman"/>
                <w:color w:val="auto"/>
                <w:sz w:val="24"/>
                <w:szCs w:val="22"/>
                <w:highlight w:val="none"/>
              </w:rPr>
              <w:t>/h。最大工作时间</w:t>
            </w:r>
            <w:r>
              <w:rPr>
                <w:rFonts w:hint="eastAsia" w:ascii="Times New Roman" w:hAnsi="Times New Roman" w:eastAsia="宋体" w:cs="Times New Roman"/>
                <w:color w:val="auto"/>
                <w:sz w:val="24"/>
                <w:szCs w:val="22"/>
                <w:highlight w:val="none"/>
                <w:lang w:val="en-US" w:eastAsia="zh-CN"/>
              </w:rPr>
              <w:t>2250</w:t>
            </w:r>
            <w:r>
              <w:rPr>
                <w:rFonts w:hint="eastAsia" w:ascii="Times New Roman" w:hAnsi="Times New Roman" w:eastAsia="宋体" w:cs="Times New Roman"/>
                <w:color w:val="auto"/>
                <w:sz w:val="24"/>
                <w:szCs w:val="22"/>
                <w:highlight w:val="none"/>
              </w:rPr>
              <w:t>h，颗粒物有组织排放参照执行</w:t>
            </w:r>
            <w:r>
              <w:rPr>
                <w:rFonts w:hint="default" w:ascii="Times New Roman" w:hAnsi="Times New Roman" w:eastAsia="宋体" w:cs="Times New Roman"/>
                <w:color w:val="auto"/>
                <w:sz w:val="24"/>
                <w:szCs w:val="24"/>
                <w:highlight w:val="none"/>
                <w:lang w:val="en-US" w:eastAsia="zh-CN"/>
              </w:rPr>
              <w:t>《石灰行业大气污染物排放标准》（DB13/1641-2025）及《2019年“十项重点工作”工作方案》（唐办发﹝2019﹞3号）颗粒物有组织排放限值要求：10mg/m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highlight w:val="none"/>
              </w:rPr>
              <w:t>则颗粒物总量控制指标计算如下：</w:t>
            </w:r>
          </w:p>
          <w:p w14:paraId="54CD782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颗粒物=</w:t>
            </w:r>
            <w:r>
              <w:rPr>
                <w:rFonts w:hint="eastAsia" w:cs="Times New Roman"/>
                <w:color w:val="auto"/>
                <w:sz w:val="24"/>
                <w:highlight w:val="none"/>
                <w:lang w:val="en-US" w:eastAsia="zh-CN"/>
              </w:rPr>
              <w:t>38000</w:t>
            </w:r>
            <w:r>
              <w:rPr>
                <w:rFonts w:hint="eastAsia" w:ascii="Times New Roman" w:hAnsi="Times New Roman" w:eastAsia="宋体" w:cs="Times New Roman"/>
                <w:color w:val="auto"/>
                <w:sz w:val="24"/>
                <w:szCs w:val="22"/>
                <w:highlight w:val="none"/>
              </w:rPr>
              <w:t>m</w:t>
            </w:r>
            <w:r>
              <w:rPr>
                <w:rFonts w:hint="eastAsia" w:ascii="Times New Roman" w:hAnsi="Times New Roman" w:eastAsia="宋体" w:cs="Times New Roman"/>
                <w:color w:val="auto"/>
                <w:sz w:val="24"/>
                <w:szCs w:val="22"/>
                <w:highlight w:val="none"/>
                <w:vertAlign w:val="superscript"/>
              </w:rPr>
              <w:t>3</w:t>
            </w:r>
            <w:r>
              <w:rPr>
                <w:rFonts w:hint="eastAsia" w:ascii="Times New Roman" w:hAnsi="Times New Roman" w:eastAsia="宋体" w:cs="Times New Roman"/>
                <w:color w:val="auto"/>
                <w:sz w:val="24"/>
                <w:szCs w:val="22"/>
                <w:highlight w:val="none"/>
              </w:rPr>
              <w:t>/h</w:t>
            </w:r>
            <w:r>
              <w:rPr>
                <w:rFonts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2250</w:t>
            </w:r>
            <w:r>
              <w:rPr>
                <w:rFonts w:hint="eastAsia" w:cs="Times New Roman"/>
                <w:color w:val="auto"/>
                <w:sz w:val="24"/>
                <w:highlight w:val="none"/>
                <w:lang w:val="en-US" w:eastAsia="zh-CN"/>
              </w:rPr>
              <w:t>h/a</w:t>
            </w:r>
            <w:r>
              <w:rPr>
                <w:rFonts w:ascii="Times New Roman" w:hAnsi="Times New Roman" w:eastAsia="宋体" w:cs="Times New Roman"/>
                <w:color w:val="auto"/>
                <w:sz w:val="24"/>
                <w:highlight w:val="none"/>
              </w:rPr>
              <w:t>×1</w:t>
            </w:r>
            <w:r>
              <w:rPr>
                <w:rFonts w:hint="eastAsia" w:ascii="Times New Roman" w:hAnsi="Times New Roman" w:eastAsia="宋体" w:cs="Times New Roman"/>
                <w:color w:val="auto"/>
                <w:sz w:val="24"/>
                <w:highlight w:val="none"/>
              </w:rPr>
              <w:t>0</w:t>
            </w:r>
            <w:r>
              <w:rPr>
                <w:rFonts w:hint="default" w:ascii="Times New Roman" w:hAnsi="Times New Roman" w:eastAsia="宋体" w:cs="Times New Roman"/>
                <w:color w:val="auto"/>
                <w:sz w:val="24"/>
                <w:szCs w:val="24"/>
                <w:highlight w:val="none"/>
                <w:lang w:val="en-US" w:eastAsia="zh-CN"/>
              </w:rPr>
              <w:t>mg/m</w:t>
            </w:r>
            <w:r>
              <w:rPr>
                <w:rFonts w:hint="default" w:ascii="Times New Roman" w:hAnsi="Times New Roman" w:eastAsia="宋体" w:cs="Times New Roman"/>
                <w:color w:val="auto"/>
                <w:sz w:val="24"/>
                <w:szCs w:val="24"/>
                <w:highlight w:val="none"/>
                <w:vertAlign w:val="superscript"/>
                <w:lang w:val="en-US" w:eastAsia="zh-CN"/>
              </w:rPr>
              <w:t>3</w:t>
            </w:r>
            <w:r>
              <w:rPr>
                <w:rFonts w:ascii="Times New Roman" w:hAnsi="Times New Roman" w:eastAsia="宋体" w:cs="Times New Roman"/>
                <w:color w:val="auto"/>
                <w:sz w:val="24"/>
                <w:highlight w:val="none"/>
              </w:rPr>
              <w:t>×10</w:t>
            </w:r>
            <w:r>
              <w:rPr>
                <w:rFonts w:ascii="Times New Roman" w:hAnsi="Times New Roman" w:eastAsia="宋体" w:cs="Times New Roman"/>
                <w:color w:val="auto"/>
                <w:sz w:val="24"/>
                <w:highlight w:val="none"/>
                <w:vertAlign w:val="superscript"/>
              </w:rPr>
              <w:t>-9</w:t>
            </w:r>
            <w:r>
              <w:rPr>
                <w:rFonts w:hint="eastAsia" w:ascii="Times New Roman" w:hAnsi="Times New Roman" w:eastAsia="宋体" w:cs="Times New Roman"/>
                <w:color w:val="auto"/>
                <w:sz w:val="24"/>
                <w:highlight w:val="none"/>
                <w:vertAlign w:val="baseline"/>
                <w:lang w:val="en-US" w:eastAsia="zh-CN"/>
              </w:rPr>
              <w:t>=</w:t>
            </w:r>
            <w:r>
              <w:rPr>
                <w:rFonts w:hint="eastAsia" w:cs="Times New Roman"/>
                <w:color w:val="auto"/>
                <w:sz w:val="24"/>
                <w:highlight w:val="none"/>
                <w:lang w:val="en-US" w:eastAsia="zh-CN"/>
              </w:rPr>
              <w:t>0.855</w:t>
            </w:r>
            <w:r>
              <w:rPr>
                <w:rFonts w:ascii="Times New Roman" w:hAnsi="Times New Roman" w:eastAsia="宋体" w:cs="Times New Roman"/>
                <w:color w:val="auto"/>
                <w:sz w:val="24"/>
                <w:highlight w:val="none"/>
              </w:rPr>
              <w:t>t/a。</w:t>
            </w:r>
          </w:p>
          <w:p w14:paraId="29B03913">
            <w:pPr>
              <w:keepNext w:val="0"/>
              <w:keepLines w:val="0"/>
              <w:pageBreakBefore w:val="0"/>
              <w:widowControl w:val="0"/>
              <w:shd w:val="clear"/>
              <w:kinsoku/>
              <w:wordWrap/>
              <w:overflowPunct/>
              <w:topLinePunct w:val="0"/>
              <w:autoSpaceDE w:val="0"/>
              <w:autoSpaceDN w:val="0"/>
              <w:bidi w:val="0"/>
              <w:adjustRightInd w:val="0"/>
              <w:snapToGrid/>
              <w:spacing w:afterAutospacing="0" w:line="450" w:lineRule="exact"/>
              <w:ind w:firstLine="480" w:firstLineChars="200"/>
              <w:textAlignment w:val="auto"/>
              <w:rPr>
                <w:rFonts w:hint="default"/>
                <w:color w:val="auto"/>
                <w:lang w:val="en-US" w:eastAsia="zh-CN"/>
              </w:rPr>
            </w:pPr>
            <w:r>
              <w:rPr>
                <w:rFonts w:ascii="Times New Roman" w:hAnsi="Times New Roman" w:eastAsia="宋体" w:cs="Times New Roman"/>
                <w:color w:val="auto"/>
                <w:sz w:val="24"/>
                <w:highlight w:val="none"/>
              </w:rPr>
              <w:t>因此，</w:t>
            </w:r>
            <w:r>
              <w:rPr>
                <w:rFonts w:hint="eastAsia" w:ascii="Times New Roman" w:hAnsi="Times New Roman" w:eastAsia="宋体" w:cs="Times New Roman"/>
                <w:color w:val="auto"/>
                <w:sz w:val="24"/>
                <w:highlight w:val="none"/>
                <w:lang w:eastAsia="zh-CN"/>
              </w:rPr>
              <w:t>本项目</w:t>
            </w:r>
            <w:r>
              <w:rPr>
                <w:rFonts w:ascii="Times New Roman" w:hAnsi="Times New Roman" w:eastAsia="宋体" w:cs="Times New Roman"/>
                <w:color w:val="auto"/>
                <w:sz w:val="24"/>
                <w:highlight w:val="none"/>
              </w:rPr>
              <w:t>总量控制指标为：颗粒物</w:t>
            </w:r>
            <w:r>
              <w:rPr>
                <w:rFonts w:hint="eastAsia" w:cs="Times New Roman"/>
                <w:color w:val="auto"/>
                <w:sz w:val="24"/>
                <w:highlight w:val="none"/>
                <w:lang w:val="en-US" w:eastAsia="zh-CN"/>
              </w:rPr>
              <w:t>0.855</w:t>
            </w:r>
            <w:r>
              <w:rPr>
                <w:rFonts w:ascii="Times New Roman" w:hAnsi="Times New Roman" w:eastAsia="宋体" w:cs="Times New Roman"/>
                <w:color w:val="auto"/>
                <w:sz w:val="24"/>
                <w:highlight w:val="none"/>
              </w:rPr>
              <w:t>t/a、</w:t>
            </w:r>
            <w:r>
              <w:rPr>
                <w:rFonts w:hint="eastAsia" w:ascii="Times New Roman" w:hAnsi="Times New Roman" w:eastAsia="宋体" w:cs="Times New Roman"/>
                <w:color w:val="auto"/>
                <w:sz w:val="24"/>
                <w:highlight w:val="none"/>
              </w:rPr>
              <w:t>SO</w:t>
            </w:r>
            <w:r>
              <w:rPr>
                <w:rFonts w:hint="eastAsia" w:ascii="Times New Roman" w:hAnsi="Times New Roman" w:eastAsia="宋体" w:cs="Times New Roman"/>
                <w:color w:val="auto"/>
                <w:sz w:val="24"/>
                <w:highlight w:val="none"/>
                <w:vertAlign w:val="subscript"/>
              </w:rPr>
              <w:t>2</w:t>
            </w:r>
            <w:r>
              <w:rPr>
                <w:rFonts w:ascii="Times New Roman" w:hAnsi="Times New Roman" w:eastAsia="宋体" w:cs="Times New Roman"/>
                <w:color w:val="auto"/>
                <w:sz w:val="24"/>
                <w:highlight w:val="none"/>
              </w:rPr>
              <w:t>：0t/a、NOx：0t/a；COD：0t/a、NH</w:t>
            </w:r>
            <w:r>
              <w:rPr>
                <w:rFonts w:ascii="Times New Roman" w:hAnsi="Times New Roman" w:eastAsia="宋体" w:cs="Times New Roman"/>
                <w:color w:val="auto"/>
                <w:sz w:val="24"/>
                <w:highlight w:val="none"/>
                <w:vertAlign w:val="subscript"/>
              </w:rPr>
              <w:t>3</w:t>
            </w:r>
            <w:r>
              <w:rPr>
                <w:rFonts w:ascii="Times New Roman" w:hAnsi="Times New Roman" w:eastAsia="宋体" w:cs="Times New Roman"/>
                <w:color w:val="auto"/>
                <w:sz w:val="24"/>
                <w:highlight w:val="none"/>
              </w:rPr>
              <w:t>-N：0t/a。</w:t>
            </w:r>
          </w:p>
        </w:tc>
      </w:tr>
    </w:tbl>
    <w:p w14:paraId="7E17DC9F">
      <w:pPr>
        <w:shd w:val="clear"/>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br w:type="page"/>
      </w:r>
    </w:p>
    <w:p w14:paraId="51A03E32">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四、主要环境影响和保护措施</w:t>
      </w:r>
    </w:p>
    <w:tbl>
      <w:tblPr>
        <w:tblStyle w:val="32"/>
        <w:tblW w:w="934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746"/>
        <w:gridCol w:w="8601"/>
      </w:tblGrid>
      <w:tr w14:paraId="2EC7293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5175" w:hRule="atLeast"/>
          <w:jc w:val="center"/>
        </w:trPr>
        <w:tc>
          <w:tcPr>
            <w:tcW w:w="746" w:type="dxa"/>
            <w:tcBorders>
              <w:tl2br w:val="nil"/>
              <w:tr2bl w:val="nil"/>
            </w:tcBorders>
            <w:shd w:val="clear" w:color="auto" w:fill="FFFFFF"/>
            <w:noWrap w:val="0"/>
            <w:tcMar>
              <w:left w:w="28" w:type="dxa"/>
              <w:right w:w="28" w:type="dxa"/>
            </w:tcMar>
            <w:vAlign w:val="center"/>
          </w:tcPr>
          <w:p w14:paraId="2B021FFA">
            <w:pPr>
              <w:pStyle w:val="43"/>
              <w:keepNext w:val="0"/>
              <w:keepLines w:val="0"/>
              <w:pageBreakBefore w:val="0"/>
              <w:widowControl w:val="0"/>
              <w:shd w:val="clear"/>
              <w:kinsoku/>
              <w:wordWrap/>
              <w:overflowPunct/>
              <w:topLinePunct w:val="0"/>
              <w:autoSpaceDE/>
              <w:autoSpaceDN/>
              <w:bidi w:val="0"/>
              <w:adjustRightInd/>
              <w:snapToGrid/>
              <w:spacing w:before="0" w:after="0" w:line="240" w:lineRule="atLeast"/>
              <w:ind w:right="0"/>
              <w:jc w:val="center"/>
              <w:textAlignment w:val="auto"/>
              <w:rPr>
                <w:rFonts w:hint="default" w:ascii="Times New Roman" w:hAnsi="Times New Roman" w:cs="Times New Roman"/>
                <w:bCs/>
                <w:color w:val="auto"/>
                <w:kern w:val="2"/>
                <w:szCs w:val="21"/>
                <w:highlight w:val="none"/>
              </w:rPr>
            </w:pPr>
            <w:r>
              <w:rPr>
                <w:rFonts w:hint="default" w:ascii="Times New Roman" w:hAnsi="Times New Roman" w:cs="Times New Roman"/>
                <w:b w:val="0"/>
                <w:bCs w:val="0"/>
                <w:color w:val="auto"/>
                <w:sz w:val="24"/>
                <w:szCs w:val="24"/>
                <w:highlight w:val="none"/>
              </w:rPr>
              <w:t>施工期环境保护措施</w:t>
            </w:r>
          </w:p>
        </w:tc>
        <w:tc>
          <w:tcPr>
            <w:tcW w:w="8601" w:type="dxa"/>
            <w:tcBorders>
              <w:tl2br w:val="nil"/>
              <w:tr2bl w:val="nil"/>
            </w:tcBorders>
            <w:shd w:val="clear" w:color="auto" w:fill="FFFFFF"/>
            <w:noWrap w:val="0"/>
            <w:vAlign w:val="top"/>
          </w:tcPr>
          <w:p w14:paraId="0D303E67">
            <w:pPr>
              <w:keepNext/>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1"/>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w:t>
            </w:r>
            <w:r>
              <w:rPr>
                <w:rFonts w:hint="default" w:ascii="Times New Roman" w:hAnsi="Times New Roman" w:eastAsia="宋体" w:cs="Times New Roman"/>
                <w:color w:val="auto"/>
                <w:kern w:val="2"/>
                <w:sz w:val="24"/>
                <w:szCs w:val="24"/>
                <w:highlight w:val="none"/>
                <w:lang w:val="en-US" w:eastAsia="zh-CN" w:bidi="ar-SA"/>
              </w:rPr>
              <w:t>施工期不设施工营地，施工期对周围环境产生的影响主要为：施工设备运行噪声影响，施工扬尘、废气影响，废水影响，固体废物影响。</w:t>
            </w:r>
          </w:p>
          <w:p w14:paraId="327D07C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一</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废气</w:t>
            </w:r>
          </w:p>
          <w:p w14:paraId="7C2379C8">
            <w:pPr>
              <w:keepNext w:val="0"/>
              <w:keepLines w:val="0"/>
              <w:pageBreakBefore w:val="0"/>
              <w:widowControl w:val="0"/>
              <w:shd w:val="clear"/>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施工期大气污染源主要为</w:t>
            </w:r>
            <w:r>
              <w:rPr>
                <w:rFonts w:hint="eastAsia" w:cs="Times New Roman"/>
                <w:color w:val="auto"/>
                <w:kern w:val="0"/>
                <w:sz w:val="24"/>
                <w:szCs w:val="24"/>
                <w:highlight w:val="none"/>
                <w:lang w:val="en-US" w:eastAsia="zh-CN" w:bidi="ar-SA"/>
              </w:rPr>
              <w:t>场地</w:t>
            </w:r>
            <w:r>
              <w:rPr>
                <w:rFonts w:hint="eastAsia" w:ascii="Times New Roman" w:hAnsi="Times New Roman" w:eastAsia="宋体" w:cs="Times New Roman"/>
                <w:color w:val="auto"/>
                <w:kern w:val="0"/>
                <w:sz w:val="24"/>
                <w:szCs w:val="24"/>
                <w:highlight w:val="none"/>
                <w:lang w:val="en-US" w:eastAsia="zh-CN" w:bidi="ar-SA"/>
              </w:rPr>
              <w:t>平整和施工</w:t>
            </w:r>
            <w:r>
              <w:rPr>
                <w:rFonts w:hint="eastAsia" w:ascii="Times New Roman" w:hAnsi="Times New Roman" w:eastAsia="宋体" w:cs="Times New Roman"/>
                <w:snapToGrid w:val="0"/>
                <w:color w:val="auto"/>
                <w:kern w:val="0"/>
                <w:sz w:val="24"/>
                <w:szCs w:val="24"/>
                <w:highlight w:val="none"/>
                <w:lang w:val="en-US" w:eastAsia="zh-CN" w:bidi="ar-SA"/>
              </w:rPr>
              <w:t>、建筑材料的装卸、运输、堆放等施工过程中产生的</w:t>
            </w:r>
            <w:r>
              <w:rPr>
                <w:rFonts w:hint="default" w:ascii="Times New Roman" w:hAnsi="Times New Roman" w:eastAsia="宋体" w:cs="Times New Roman"/>
                <w:color w:val="auto"/>
                <w:kern w:val="0"/>
                <w:sz w:val="24"/>
                <w:szCs w:val="24"/>
                <w:highlight w:val="none"/>
                <w:lang w:val="en-US" w:eastAsia="zh-CN" w:bidi="ar-SA"/>
              </w:rPr>
              <w:t>施工扬尘</w:t>
            </w:r>
            <w:r>
              <w:rPr>
                <w:rFonts w:hint="eastAsia" w:ascii="Times New Roman" w:hAnsi="Times New Roman" w:eastAsia="宋体" w:cs="Times New Roman"/>
                <w:color w:val="auto"/>
                <w:kern w:val="0"/>
                <w:sz w:val="24"/>
                <w:szCs w:val="24"/>
                <w:highlight w:val="none"/>
                <w:lang w:val="en-US" w:eastAsia="zh-CN" w:bidi="ar-SA"/>
              </w:rPr>
              <w:t>以及</w:t>
            </w:r>
            <w:r>
              <w:rPr>
                <w:rFonts w:hint="default" w:ascii="Times New Roman" w:hAnsi="Times New Roman" w:eastAsia="宋体" w:cs="Times New Roman"/>
                <w:color w:val="auto"/>
                <w:kern w:val="0"/>
                <w:sz w:val="24"/>
                <w:szCs w:val="24"/>
                <w:highlight w:val="none"/>
                <w:lang w:val="en-US" w:eastAsia="zh-CN" w:bidi="ar-SA"/>
              </w:rPr>
              <w:t>施工机械尾气。</w:t>
            </w:r>
          </w:p>
          <w:p w14:paraId="7D7D88BC">
            <w:pPr>
              <w:keepNext w:val="0"/>
              <w:keepLines w:val="0"/>
              <w:pageBreakBefore w:val="0"/>
              <w:widowControl w:val="0"/>
              <w:shd w:val="clear"/>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⑴施工扬尘</w:t>
            </w:r>
          </w:p>
          <w:p w14:paraId="01935DEB">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施工扬尘的主要来源有：场地平整、土方挖掘、建筑垃圾和建筑材料的运输。</w:t>
            </w:r>
            <w:r>
              <w:rPr>
                <w:rFonts w:hint="default" w:ascii="Times New Roman" w:hAnsi="Times New Roman" w:eastAsia="宋体" w:cs="Times New Roman"/>
                <w:color w:val="auto"/>
                <w:sz w:val="24"/>
                <w:szCs w:val="24"/>
                <w:highlight w:val="none"/>
              </w:rPr>
              <w:t>本评价提出在施工中必须采取如下措施，来减轻对施工期周围大气环境的影响：</w:t>
            </w:r>
          </w:p>
          <w:p w14:paraId="167B2EBF">
            <w:pPr>
              <w:keepNext w:val="0"/>
              <w:keepLines w:val="0"/>
              <w:pageBreakBefore w:val="0"/>
              <w:widowControl w:val="0"/>
              <w:shd w:val="clear"/>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1、严格执行《河北省扬尘污染防治办法》（河北省人民政府令[2020]第1号）、《河北省大气污染防治条例》（河北省第十三届人民代表大会常务委员会第二十五次会议修正，2021年11月1日发布并实施）、《关于印发</w:t>
            </w:r>
            <w:r>
              <w:rPr>
                <w:rFonts w:hint="eastAsia" w:ascii="Times New Roman" w:hAnsi="Times New Roman" w:eastAsia="宋体" w:cs="Times New Roman"/>
                <w:color w:val="auto"/>
                <w:kern w:val="0"/>
                <w:sz w:val="24"/>
                <w:szCs w:val="24"/>
                <w:highlight w:val="none"/>
                <w:lang w:val="en-US" w:eastAsia="zh-CN" w:bidi="ar-SA"/>
              </w:rPr>
              <w:t>&lt;</w:t>
            </w:r>
            <w:r>
              <w:rPr>
                <w:rFonts w:hint="default" w:ascii="Times New Roman" w:hAnsi="Times New Roman" w:eastAsia="宋体" w:cs="Times New Roman"/>
                <w:color w:val="auto"/>
                <w:kern w:val="0"/>
                <w:sz w:val="24"/>
                <w:szCs w:val="24"/>
                <w:highlight w:val="none"/>
                <w:lang w:val="en-US" w:eastAsia="zh-CN" w:bidi="ar-SA"/>
              </w:rPr>
              <w:t>河北省2023年建筑施工扬尘污染防治工作方案</w:t>
            </w:r>
            <w:r>
              <w:rPr>
                <w:rFonts w:hint="eastAsia" w:ascii="Times New Roman" w:hAnsi="Times New Roman" w:eastAsia="宋体" w:cs="Times New Roman"/>
                <w:color w:val="auto"/>
                <w:kern w:val="0"/>
                <w:sz w:val="24"/>
                <w:szCs w:val="24"/>
                <w:highlight w:val="none"/>
                <w:lang w:val="en-US" w:eastAsia="zh-CN" w:bidi="ar-SA"/>
              </w:rPr>
              <w:t>&gt;</w:t>
            </w:r>
            <w:r>
              <w:rPr>
                <w:rFonts w:hint="default" w:ascii="Times New Roman" w:hAnsi="Times New Roman" w:eastAsia="宋体" w:cs="Times New Roman"/>
                <w:color w:val="auto"/>
                <w:kern w:val="0"/>
                <w:sz w:val="24"/>
                <w:szCs w:val="24"/>
                <w:highlight w:val="none"/>
                <w:lang w:val="en-US" w:eastAsia="zh-CN" w:bidi="ar-SA"/>
              </w:rPr>
              <w:t>的通知》（冀建质安函〔2023〕105号）、《唐山市重污染天气应急预案的通知》（唐政办字[2021]37号）等文件要求</w:t>
            </w:r>
            <w:r>
              <w:rPr>
                <w:rFonts w:hint="eastAsia" w:ascii="Times New Roman" w:hAnsi="Times New Roman" w:eastAsia="宋体" w:cs="Times New Roman"/>
                <w:color w:val="auto"/>
                <w:kern w:val="0"/>
                <w:sz w:val="24"/>
                <w:szCs w:val="24"/>
                <w:highlight w:val="none"/>
                <w:lang w:val="en-US" w:eastAsia="zh-CN" w:bidi="ar-SA"/>
              </w:rPr>
              <w:t>。施工期应</w:t>
            </w:r>
            <w:r>
              <w:rPr>
                <w:rFonts w:hint="default" w:ascii="Times New Roman" w:hAnsi="Times New Roman" w:eastAsia="宋体" w:cs="Times New Roman"/>
                <w:color w:val="auto"/>
                <w:kern w:val="0"/>
                <w:sz w:val="24"/>
                <w:szCs w:val="24"/>
                <w:highlight w:val="none"/>
                <w:lang w:val="en-US" w:eastAsia="zh-CN" w:bidi="ar-SA"/>
              </w:rPr>
              <w:t>满足《施工场地扬尘排放标准》（DB13/2934-2019）排放浓度限值要求</w:t>
            </w:r>
            <w:r>
              <w:rPr>
                <w:rFonts w:hint="eastAsia" w:ascii="Times New Roman" w:hAnsi="Times New Roman" w:eastAsia="宋体" w:cs="Times New Roman"/>
                <w:color w:val="auto"/>
                <w:kern w:val="0"/>
                <w:sz w:val="24"/>
                <w:szCs w:val="24"/>
                <w:highlight w:val="none"/>
                <w:lang w:val="en-US" w:eastAsia="zh-CN" w:bidi="ar-SA"/>
              </w:rPr>
              <w:t>。</w:t>
            </w:r>
          </w:p>
          <w:p w14:paraId="76F4C62C">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2、施工现场出入口必须配备车辆冲洗设施，建立冲洗制度并设专人管理，严禁车辆带泥上路。</w:t>
            </w:r>
          </w:p>
          <w:p w14:paraId="086D90E8">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3、施工现场的建筑垃圾必须设置垃圾存放点，集中堆放并严密覆盖，及时清运。生活垃圾应用封闭式容器存放，日产日清，严禁随意丢弃。</w:t>
            </w:r>
          </w:p>
          <w:p w14:paraId="77509F1E">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4、施工现场必须建立洒水清扫抑尘制度，配备洒水设备。每天洒水不少于2次，并有专人负责。重污染天气时相应增加洒水频次。</w:t>
            </w:r>
          </w:p>
          <w:p w14:paraId="4D757D3F">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5、施工现场必须使用商品混凝土、预拌砂浆，严禁现场搅拌。</w:t>
            </w:r>
          </w:p>
          <w:p w14:paraId="0EEDF04F">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必须在施工现场出入口明显位置设置扬尘防治公示牌，内容包括建设、施工、监理及监管等单位名称、扬尘防治负责人的名称、联系电话</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举报电话等。</w:t>
            </w:r>
          </w:p>
          <w:p w14:paraId="472C73DC">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施工现场连续设置硬质围挡，围挡应坚固、美观，严禁围挡不严或敞开式施工。城区主干道两侧的围挡高度不低于2.5米，一般路段高度不低于1.8米。</w:t>
            </w:r>
          </w:p>
          <w:p w14:paraId="73EDD3FB">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施工现场出入口和场内施工道路、材料加工堆放区、办公区、生活区必须采用混凝土硬化或用硬质砌块铺设，硬化后的地面应清扫整洁无浮土、积土，严禁使用其他软质材料铺设。</w:t>
            </w:r>
          </w:p>
          <w:p w14:paraId="1CBF8862">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施工现场出入口配备车辆冲洗设施，设置排水、泥浆沉淀池等设施，建立冲洗制度并设专人管理，严禁车辆带泥上路。</w:t>
            </w:r>
          </w:p>
          <w:p w14:paraId="1A289BF0">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施工现场出入口、加工区和主作业区等处必须安装视频监控系统，对施工扬尘实时监控。</w:t>
            </w:r>
          </w:p>
          <w:p w14:paraId="400AA36B">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11、</w:t>
            </w:r>
            <w:r>
              <w:rPr>
                <w:rFonts w:hint="default" w:ascii="Times New Roman" w:hAnsi="Times New Roman" w:eastAsia="宋体" w:cs="Times New Roman"/>
                <w:color w:val="auto"/>
                <w:sz w:val="24"/>
                <w:szCs w:val="24"/>
                <w:highlight w:val="none"/>
              </w:rPr>
              <w:t>施工现场集中堆放的土方和裸露场地必须采取覆盖、固化或绿化等防尘措施，严禁裸露。</w:t>
            </w:r>
          </w:p>
          <w:p w14:paraId="47023309">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施工现场在道路、围墙、脚手架等部位安装喷淋或喷淋等降尘装置。</w:t>
            </w:r>
          </w:p>
          <w:p w14:paraId="7F727F22">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rPr>
              <w:t>基坑开挖作业过程中，四周应采取洒水、喷淋等降尘措施。</w:t>
            </w:r>
          </w:p>
          <w:p w14:paraId="7B596BFD">
            <w:pPr>
              <w:keepNext w:val="0"/>
              <w:keepLines w:val="0"/>
              <w:pageBreakBefore w:val="0"/>
              <w:widowControl w:val="0"/>
              <w:shd w:val="clear"/>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rPr>
              <w:t>施工现场易飞扬的细颗粒建筑材料必须密闭存放或严密覆盖，严禁露天放置；搬运时应有降尘措施，余料及时回收。</w:t>
            </w:r>
          </w:p>
          <w:p w14:paraId="4EA8816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施工现场运送土方、渣土的车辆必须封闭或遮盖严密，严禁使用未办理相关手续的渣土等运输车辆，严禁沿路遗撒和随意倾倒。</w:t>
            </w:r>
          </w:p>
          <w:p w14:paraId="5F4196F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16、</w:t>
            </w:r>
            <w:r>
              <w:rPr>
                <w:rFonts w:hint="default" w:ascii="Times New Roman" w:hAnsi="Times New Roman" w:eastAsia="宋体" w:cs="Times New Roman"/>
                <w:color w:val="auto"/>
                <w:sz w:val="24"/>
                <w:szCs w:val="24"/>
                <w:highlight w:val="none"/>
              </w:rPr>
              <w:t>建筑物内应保持干净整洁，清扫垃圾时要洒水抑尘，施工层建筑垃圾必须采用封闭式管道或装袋用垂直升降机械清运，严禁凌空抛掷和焚烧垃圾。</w:t>
            </w:r>
          </w:p>
          <w:p w14:paraId="1B4064A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17、</w:t>
            </w:r>
            <w:r>
              <w:rPr>
                <w:rFonts w:hint="default" w:ascii="Times New Roman" w:hAnsi="Times New Roman" w:eastAsia="宋体" w:cs="Times New Roman"/>
                <w:color w:val="auto"/>
                <w:sz w:val="24"/>
                <w:szCs w:val="24"/>
                <w:highlight w:val="none"/>
              </w:rPr>
              <w:t>建筑工程主体外侧脚手架及临边防护栏杆必须使用符合标准的密目式安全网封闭施工，并保持整洁、牢固、无破损。</w:t>
            </w:r>
          </w:p>
          <w:p w14:paraId="601A95A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rPr>
              <w:t>遇有4级以上大风或重污染天气预警时，必须采取扬尘防治应急措施，严禁土方开挖、土方回填、房屋拆除、材料切割、金属焊接、喷涂或其他有可能产生扬尘的作业。</w:t>
            </w:r>
          </w:p>
          <w:p w14:paraId="305CDCF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19、</w:t>
            </w:r>
            <w:r>
              <w:rPr>
                <w:rFonts w:hint="default" w:ascii="Times New Roman" w:hAnsi="Times New Roman" w:eastAsia="宋体" w:cs="Times New Roman"/>
                <w:color w:val="auto"/>
                <w:sz w:val="24"/>
                <w:szCs w:val="24"/>
                <w:highlight w:val="none"/>
              </w:rPr>
              <w:t>组织相关单位做好工程外管网及绿化施工阶段的扬尘防治工作。</w:t>
            </w:r>
          </w:p>
          <w:p w14:paraId="0F9B3887">
            <w:pPr>
              <w:keepNext w:val="0"/>
              <w:keepLines w:val="0"/>
              <w:pageBreakBefore w:val="0"/>
              <w:widowControl w:val="0"/>
              <w:shd w:val="clear"/>
              <w:tabs>
                <w:tab w:val="left" w:pos="0"/>
                <w:tab w:val="left" w:pos="1020"/>
              </w:tabs>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rPr>
              <w:t>施工现场按规定连续设置硬质围挡（围墙），实施全封闭管理。施工现场要安排人员定期冲洗、清洁，保持围挡（围墙）整洁、美观。建筑工地全面做到周边围挡、物料堆放覆盖、土方开挖湿法作业、路面硬化、出入车辆清洗、渣土车辆密闭运输</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六个百分之百</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，建筑工地实现视频监控和PM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在线监测联网全覆盖，并与当地有关主管部门联网。建立扬尘控制责任制度，扬尘治理费用列入工程造价。</w:t>
            </w:r>
          </w:p>
          <w:p w14:paraId="10DB3885">
            <w:pPr>
              <w:keepNext w:val="0"/>
              <w:keepLines w:val="0"/>
              <w:pageBreakBefore w:val="0"/>
              <w:widowControl w:val="0"/>
              <w:shd w:val="clear"/>
              <w:tabs>
                <w:tab w:val="left" w:pos="0"/>
                <w:tab w:val="left" w:pos="1020"/>
              </w:tabs>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根据河北省《扬尘在线监测系统建设及运行技术规范》（DB13/T2935</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2019）</w:t>
            </w:r>
            <w:r>
              <w:rPr>
                <w:rFonts w:hint="default" w:ascii="Times New Roman" w:hAnsi="Times New Roman" w:eastAsia="宋体" w:cs="Times New Roman"/>
                <w:color w:val="auto"/>
                <w:sz w:val="24"/>
                <w:szCs w:val="24"/>
                <w:highlight w:val="none"/>
                <w:lang w:eastAsia="zh-CN"/>
              </w:rPr>
              <w:t>要求：</w:t>
            </w:r>
            <w:r>
              <w:rPr>
                <w:rFonts w:hint="default" w:ascii="Times New Roman" w:hAnsi="Times New Roman" w:eastAsia="宋体" w:cs="Times New Roman"/>
                <w:color w:val="auto"/>
                <w:sz w:val="24"/>
                <w:szCs w:val="24"/>
                <w:highlight w:val="none"/>
              </w:rPr>
              <w:t>监测点位</w:t>
            </w:r>
            <w:r>
              <w:rPr>
                <w:rFonts w:hint="default" w:ascii="Times New Roman" w:hAnsi="Times New Roman" w:eastAsia="宋体" w:cs="Times New Roman"/>
                <w:color w:val="auto"/>
                <w:sz w:val="24"/>
                <w:szCs w:val="24"/>
                <w:highlight w:val="none"/>
                <w:lang w:eastAsia="zh-CN"/>
              </w:rPr>
              <w:t>应</w:t>
            </w:r>
            <w:r>
              <w:rPr>
                <w:rFonts w:hint="default" w:ascii="Times New Roman" w:hAnsi="Times New Roman" w:eastAsia="宋体" w:cs="Times New Roman"/>
                <w:color w:val="auto"/>
                <w:sz w:val="24"/>
                <w:szCs w:val="24"/>
                <w:highlight w:val="none"/>
              </w:rPr>
              <w:t>设置于施工区域围栏安全范围内，可直接监控施工场地主要施工活动。监测点位不宜轻易变动，以保证监测的连续性和数据的可比性；监测点位</w:t>
            </w:r>
            <w:r>
              <w:rPr>
                <w:rFonts w:hint="default" w:ascii="Times New Roman" w:hAnsi="Times New Roman" w:eastAsia="宋体" w:cs="Times New Roman"/>
                <w:color w:val="auto"/>
                <w:sz w:val="24"/>
                <w:szCs w:val="24"/>
                <w:highlight w:val="none"/>
                <w:lang w:eastAsia="zh-CN"/>
              </w:rPr>
              <w:t>应</w:t>
            </w:r>
            <w:r>
              <w:rPr>
                <w:rFonts w:hint="default" w:ascii="Times New Roman" w:hAnsi="Times New Roman" w:eastAsia="宋体" w:cs="Times New Roman"/>
                <w:color w:val="auto"/>
                <w:sz w:val="24"/>
                <w:szCs w:val="24"/>
                <w:highlight w:val="none"/>
              </w:rPr>
              <w:t>优先设置于车辆进出口处。监测点数量多于车辆进出口数量时，其它监测点位应结合常年主导风向，设置在工地所在区域主导风向下风向的施工场地边界，兼顾扬尘最大落地浓度；当与其他施工场地相邻或施工场地外侧是交通道路且受道路扬尘影响较大时，</w:t>
            </w:r>
            <w:r>
              <w:rPr>
                <w:rFonts w:hint="default" w:ascii="Times New Roman" w:hAnsi="Times New Roman" w:eastAsia="宋体" w:cs="Times New Roman"/>
                <w:color w:val="auto"/>
                <w:sz w:val="24"/>
                <w:szCs w:val="24"/>
                <w:highlight w:val="none"/>
                <w:lang w:eastAsia="zh-CN"/>
              </w:rPr>
              <w:t>应</w:t>
            </w:r>
            <w:r>
              <w:rPr>
                <w:rFonts w:hint="default" w:ascii="Times New Roman" w:hAnsi="Times New Roman" w:eastAsia="宋体" w:cs="Times New Roman"/>
                <w:color w:val="auto"/>
                <w:sz w:val="24"/>
                <w:szCs w:val="24"/>
                <w:highlight w:val="none"/>
              </w:rPr>
              <w:t>避开在相邻边界处设置监测点；采样口离地面的高度</w:t>
            </w:r>
            <w:r>
              <w:rPr>
                <w:rFonts w:hint="default" w:ascii="Times New Roman" w:hAnsi="Times New Roman" w:eastAsia="宋体" w:cs="Times New Roman"/>
                <w:color w:val="auto"/>
                <w:sz w:val="24"/>
                <w:szCs w:val="24"/>
                <w:highlight w:val="none"/>
                <w:lang w:eastAsia="zh-CN"/>
              </w:rPr>
              <w:t>应</w:t>
            </w:r>
            <w:r>
              <w:rPr>
                <w:rFonts w:hint="default" w:ascii="Times New Roman" w:hAnsi="Times New Roman" w:eastAsia="宋体" w:cs="Times New Roman"/>
                <w:color w:val="auto"/>
                <w:sz w:val="24"/>
                <w:szCs w:val="24"/>
                <w:highlight w:val="none"/>
              </w:rPr>
              <w:t>在3m～5m范围内。施工场地扬尘监测点数量宜符合</w:t>
            </w:r>
            <w:r>
              <w:rPr>
                <w:rFonts w:hint="eastAsia" w:ascii="Times New Roman" w:hAnsi="Times New Roman" w:eastAsia="宋体"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rPr>
              <w:t>表要求。</w:t>
            </w:r>
          </w:p>
          <w:p w14:paraId="0DC0A20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施工场地扬尘监测点数量设置</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2826"/>
              <w:gridCol w:w="5081"/>
            </w:tblGrid>
            <w:tr w14:paraId="5CEAD3A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2826" w:type="dxa"/>
                  <w:tcBorders>
                    <w:tl2br w:val="nil"/>
                    <w:tr2bl w:val="nil"/>
                  </w:tcBorders>
                  <w:noWrap w:val="0"/>
                  <w:vAlign w:val="center"/>
                </w:tcPr>
                <w:p w14:paraId="71D302F0">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占地面积S（m</w:t>
                  </w:r>
                  <w:r>
                    <w:rPr>
                      <w:rFonts w:hint="default" w:ascii="Times New Roman" w:hAnsi="Times New Roman" w:eastAsia="宋体" w:cs="Times New Roman"/>
                      <w:b w:val="0"/>
                      <w:bCs w:val="0"/>
                      <w:color w:val="auto"/>
                      <w:kern w:val="2"/>
                      <w:sz w:val="21"/>
                      <w:szCs w:val="21"/>
                      <w:highlight w:val="none"/>
                      <w:vertAlign w:val="superscript"/>
                      <w:lang w:val="en-US" w:eastAsia="zh-CN" w:bidi="ar-SA"/>
                    </w:rPr>
                    <w:t>2</w:t>
                  </w:r>
                  <w:r>
                    <w:rPr>
                      <w:rFonts w:hint="default" w:ascii="Times New Roman" w:hAnsi="Times New Roman" w:eastAsia="宋体" w:cs="Times New Roman"/>
                      <w:b w:val="0"/>
                      <w:bCs w:val="0"/>
                      <w:color w:val="auto"/>
                      <w:kern w:val="2"/>
                      <w:sz w:val="21"/>
                      <w:szCs w:val="21"/>
                      <w:highlight w:val="none"/>
                      <w:lang w:val="en-US" w:eastAsia="zh-CN" w:bidi="ar-SA"/>
                    </w:rPr>
                    <w:t>）</w:t>
                  </w:r>
                </w:p>
              </w:tc>
              <w:tc>
                <w:tcPr>
                  <w:tcW w:w="5081" w:type="dxa"/>
                  <w:tcBorders>
                    <w:tl2br w:val="nil"/>
                    <w:tr2bl w:val="nil"/>
                  </w:tcBorders>
                  <w:noWrap w:val="0"/>
                  <w:vAlign w:val="center"/>
                </w:tcPr>
                <w:p w14:paraId="531E1BD4">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监测点数量</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kern w:val="2"/>
                      <w:sz w:val="21"/>
                      <w:szCs w:val="21"/>
                      <w:highlight w:val="none"/>
                      <w:lang w:val="en-US" w:eastAsia="zh-CN" w:bidi="ar-SA"/>
                    </w:rPr>
                    <w:t>个</w:t>
                  </w:r>
                  <w:r>
                    <w:rPr>
                      <w:rFonts w:hint="eastAsia" w:ascii="Times New Roman" w:hAnsi="Times New Roman" w:eastAsia="宋体" w:cs="Times New Roman"/>
                      <w:b w:val="0"/>
                      <w:bCs w:val="0"/>
                      <w:color w:val="auto"/>
                      <w:kern w:val="2"/>
                      <w:sz w:val="21"/>
                      <w:szCs w:val="21"/>
                      <w:highlight w:val="none"/>
                      <w:lang w:val="en-US" w:eastAsia="zh-CN" w:bidi="ar-SA"/>
                    </w:rPr>
                    <w:t>）</w:t>
                  </w:r>
                </w:p>
              </w:tc>
            </w:tr>
            <w:tr w14:paraId="0288407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5DC9882C">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S≤5000</w:t>
                  </w:r>
                </w:p>
              </w:tc>
              <w:tc>
                <w:tcPr>
                  <w:tcW w:w="5081" w:type="dxa"/>
                  <w:tcBorders>
                    <w:tl2br w:val="nil"/>
                    <w:tr2bl w:val="nil"/>
                  </w:tcBorders>
                  <w:noWrap w:val="0"/>
                  <w:vAlign w:val="center"/>
                </w:tcPr>
                <w:p w14:paraId="72A07D63">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w:t>
                  </w:r>
                </w:p>
              </w:tc>
            </w:tr>
            <w:tr w14:paraId="3A5F4D6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66F31B2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5000＜S≤10000</w:t>
                  </w:r>
                </w:p>
              </w:tc>
              <w:tc>
                <w:tcPr>
                  <w:tcW w:w="5081" w:type="dxa"/>
                  <w:tcBorders>
                    <w:tl2br w:val="nil"/>
                    <w:tr2bl w:val="nil"/>
                  </w:tcBorders>
                  <w:noWrap w:val="0"/>
                  <w:vAlign w:val="center"/>
                </w:tcPr>
                <w:p w14:paraId="0FF1BAFA">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r>
            <w:tr w14:paraId="56208BB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3A30174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10000＜S≤100000</w:t>
                  </w:r>
                </w:p>
              </w:tc>
              <w:tc>
                <w:tcPr>
                  <w:tcW w:w="5081" w:type="dxa"/>
                  <w:tcBorders>
                    <w:tl2br w:val="nil"/>
                    <w:tr2bl w:val="nil"/>
                  </w:tcBorders>
                  <w:noWrap w:val="0"/>
                  <w:vAlign w:val="center"/>
                </w:tcPr>
                <w:p w14:paraId="55031523">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w:t>
                  </w:r>
                </w:p>
              </w:tc>
            </w:tr>
            <w:tr w14:paraId="0432445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0956AA5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S＞100000</w:t>
                  </w:r>
                </w:p>
              </w:tc>
              <w:tc>
                <w:tcPr>
                  <w:tcW w:w="5081" w:type="dxa"/>
                  <w:tcBorders>
                    <w:tl2br w:val="nil"/>
                    <w:tr2bl w:val="nil"/>
                  </w:tcBorders>
                  <w:noWrap w:val="0"/>
                  <w:vAlign w:val="center"/>
                </w:tcPr>
                <w:p w14:paraId="3C541996">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在10万平方米最少设置4个监测点的基础上，每增加10万平方米最少增设1个监测点（不足10万平方米的部分按10万平方米计）。</w:t>
                  </w:r>
                </w:p>
              </w:tc>
            </w:tr>
          </w:tbl>
          <w:p w14:paraId="6FFE3D31">
            <w:pPr>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本项目</w:t>
            </w:r>
            <w:r>
              <w:rPr>
                <w:rFonts w:hint="eastAsia" w:ascii="Times New Roman" w:hAnsi="Times New Roman" w:cs="Times New Roman"/>
                <w:color w:val="auto"/>
                <w:sz w:val="24"/>
                <w:szCs w:val="24"/>
                <w:highlight w:val="none"/>
                <w:lang w:eastAsia="zh-CN"/>
              </w:rPr>
              <w:t>建筑面积</w:t>
            </w:r>
            <w:r>
              <w:rPr>
                <w:rFonts w:hint="eastAsia" w:ascii="Times New Roman" w:hAnsi="Times New Roman" w:eastAsia="宋体" w:cs="Times New Roman"/>
                <w:color w:val="auto"/>
                <w:sz w:val="24"/>
                <w:szCs w:val="24"/>
                <w:highlight w:val="none"/>
                <w:lang w:val="en-US" w:eastAsia="zh-CN"/>
              </w:rPr>
              <w:t>为</w:t>
            </w:r>
            <w:r>
              <w:rPr>
                <w:rFonts w:hint="eastAsia" w:ascii="Times New Roman" w:hAnsi="Times New Roman" w:cs="Times New Roman"/>
                <w:color w:val="auto"/>
                <w:sz w:val="24"/>
                <w:szCs w:val="24"/>
                <w:highlight w:val="none"/>
                <w:lang w:val="en-US" w:eastAsia="zh-CN"/>
              </w:rPr>
              <w:t>5000</w:t>
            </w:r>
            <w:r>
              <w:rPr>
                <w:rFonts w:hint="default"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施工场地面积约6000</w:t>
            </w:r>
            <w:r>
              <w:rPr>
                <w:rFonts w:hint="default"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根据河北省《扬尘在线监测系统建设及运行技术规范》（DB13/T2935</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2019）</w:t>
            </w:r>
            <w:r>
              <w:rPr>
                <w:rFonts w:hint="default" w:ascii="Times New Roman" w:hAnsi="Times New Roman" w:eastAsia="宋体" w:cs="Times New Roman"/>
                <w:color w:val="auto"/>
                <w:sz w:val="24"/>
                <w:szCs w:val="24"/>
                <w:highlight w:val="none"/>
                <w:lang w:eastAsia="zh-CN"/>
              </w:rPr>
              <w:t>要求</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项目施工期场区设置</w:t>
            </w:r>
            <w:r>
              <w:rPr>
                <w:rFonts w:hint="eastAsia"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个废气监测点位监测施工扬尘，</w:t>
            </w:r>
            <w:r>
              <w:rPr>
                <w:rFonts w:hint="eastAsia"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个废气监测点位分别设置于</w:t>
            </w:r>
            <w:r>
              <w:rPr>
                <w:rFonts w:hint="eastAsia" w:ascii="Times New Roman" w:hAnsi="Times New Roman" w:eastAsia="宋体" w:cs="Times New Roman"/>
                <w:color w:val="auto"/>
                <w:sz w:val="24"/>
                <w:szCs w:val="24"/>
                <w:highlight w:val="none"/>
                <w:lang w:val="en-US" w:eastAsia="zh-CN"/>
              </w:rPr>
              <w:t>施工区出入口处、</w:t>
            </w:r>
            <w:r>
              <w:rPr>
                <w:rFonts w:hint="default" w:ascii="Times New Roman" w:hAnsi="Times New Roman" w:eastAsia="宋体" w:cs="Times New Roman"/>
                <w:snapToGrid w:val="0"/>
                <w:color w:val="auto"/>
                <w:kern w:val="0"/>
                <w:sz w:val="24"/>
                <w:szCs w:val="24"/>
                <w:highlight w:val="none"/>
                <w:lang w:val="en-US" w:eastAsia="zh-CN" w:bidi="ar-SA"/>
              </w:rPr>
              <w:t>区域内下风向位置</w:t>
            </w:r>
            <w:r>
              <w:rPr>
                <w:rFonts w:hint="default" w:ascii="Times New Roman" w:hAnsi="Times New Roman" w:eastAsia="宋体" w:cs="Times New Roman"/>
                <w:color w:val="auto"/>
                <w:sz w:val="24"/>
                <w:szCs w:val="24"/>
                <w:highlight w:val="none"/>
              </w:rPr>
              <w:t>。</w:t>
            </w:r>
          </w:p>
          <w:p w14:paraId="7D4E207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采取以上措施后，可有效的控制施工扬尘，</w:t>
            </w:r>
            <w:r>
              <w:rPr>
                <w:rFonts w:hint="eastAsia" w:ascii="Times New Roman" w:hAnsi="Times New Roman" w:eastAsia="宋体" w:cs="Times New Roman"/>
                <w:color w:val="auto"/>
                <w:sz w:val="24"/>
                <w:szCs w:val="24"/>
                <w:highlight w:val="none"/>
                <w:lang w:eastAsia="zh-CN"/>
              </w:rPr>
              <w:t>施工期废气满足</w:t>
            </w:r>
            <w:r>
              <w:rPr>
                <w:rFonts w:hint="default" w:ascii="Times New Roman" w:hAnsi="Times New Roman" w:eastAsia="宋体" w:cs="Times New Roman"/>
                <w:color w:val="auto"/>
                <w:sz w:val="24"/>
                <w:szCs w:val="24"/>
                <w:highlight w:val="none"/>
              </w:rPr>
              <w:t>《施工场地扬尘排放标准》（DB13/2934</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2019）表1中的</w:t>
            </w:r>
            <w:r>
              <w:rPr>
                <w:rFonts w:hint="eastAsia" w:ascii="Times New Roman" w:hAnsi="Times New Roman" w:eastAsia="宋体" w:cs="Times New Roman"/>
                <w:color w:val="auto"/>
                <w:sz w:val="24"/>
                <w:szCs w:val="24"/>
                <w:highlight w:val="none"/>
                <w:lang w:eastAsia="zh-CN"/>
              </w:rPr>
              <w:t>要求。</w:t>
            </w:r>
            <w:r>
              <w:rPr>
                <w:rFonts w:hint="default" w:ascii="Times New Roman" w:hAnsi="Times New Roman" w:eastAsia="宋体" w:cs="Times New Roman"/>
                <w:color w:val="auto"/>
                <w:sz w:val="24"/>
                <w:szCs w:val="24"/>
                <w:highlight w:val="none"/>
              </w:rPr>
              <w:t>80μg/m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（指监测点PM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小时平均浓度实测值与同时段所属县（市、区）PM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小时平均浓度的差值）；当县（市、区）PM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小时平均浓度值大于150µg/m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时，以150µg/m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p>
          <w:p w14:paraId="707C48D7">
            <w:pPr>
              <w:keepNext w:val="0"/>
              <w:keepLines w:val="0"/>
              <w:pageBreakBefore w:val="0"/>
              <w:widowControl w:val="0"/>
              <w:shd w:val="clear"/>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⑵</w:t>
            </w:r>
            <w:r>
              <w:rPr>
                <w:rFonts w:hint="default" w:ascii="Times New Roman" w:hAnsi="Times New Roman" w:eastAsia="宋体" w:cs="Times New Roman"/>
                <w:color w:val="auto"/>
                <w:sz w:val="24"/>
                <w:szCs w:val="24"/>
                <w:highlight w:val="none"/>
                <w:lang w:val="en-US" w:eastAsia="zh-CN"/>
              </w:rPr>
              <w:t>施工机械废气</w:t>
            </w:r>
          </w:p>
          <w:p w14:paraId="6073C703">
            <w:pPr>
              <w:keepNext w:val="0"/>
              <w:keepLines w:val="0"/>
              <w:pageBreakBefore w:val="0"/>
              <w:widowControl w:val="0"/>
              <w:shd w:val="clear"/>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各类燃油动力机械在场地开挖、建筑施工、物料运输等施工作业时，会排出燃油废气，主要污染物为CO、NO</w:t>
            </w:r>
            <w:r>
              <w:rPr>
                <w:rFonts w:hint="default" w:ascii="Times New Roman" w:hAnsi="Times New Roman" w:eastAsia="宋体" w:cs="Times New Roman"/>
                <w:color w:val="auto"/>
                <w:sz w:val="24"/>
                <w:szCs w:val="24"/>
                <w:highlight w:val="none"/>
                <w:vertAlign w:val="subscript"/>
                <w:lang w:val="en-US" w:eastAsia="zh-CN"/>
              </w:rPr>
              <w:t>X</w:t>
            </w:r>
            <w:r>
              <w:rPr>
                <w:rFonts w:hint="default" w:ascii="Times New Roman" w:hAnsi="Times New Roman" w:eastAsia="宋体" w:cs="Times New Roman"/>
                <w:color w:val="auto"/>
                <w:sz w:val="24"/>
                <w:szCs w:val="24"/>
                <w:highlight w:val="none"/>
                <w:lang w:val="en-US" w:eastAsia="zh-CN"/>
              </w:rPr>
              <w:t>、NMHC。此类污染物为无组织排放，排放量小，对环境影响不大。建议施工期间加强机械维护，能够提高各类燃油机械的使用效率，降低燃油废气排放量。</w:t>
            </w:r>
          </w:p>
          <w:p w14:paraId="1C0579C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72" w:firstLineChars="196"/>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二、</w:t>
            </w:r>
            <w:r>
              <w:rPr>
                <w:rFonts w:hint="default" w:ascii="Times New Roman" w:hAnsi="Times New Roman" w:eastAsia="宋体" w:cs="Times New Roman"/>
                <w:b/>
                <w:bCs/>
                <w:color w:val="auto"/>
                <w:sz w:val="24"/>
                <w:szCs w:val="24"/>
                <w:highlight w:val="none"/>
              </w:rPr>
              <w:t>废水影响分析</w:t>
            </w:r>
          </w:p>
          <w:p w14:paraId="6D4E77E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⑴</w:t>
            </w:r>
            <w:r>
              <w:rPr>
                <w:rFonts w:hint="default" w:ascii="Times New Roman" w:hAnsi="Times New Roman" w:eastAsia="宋体" w:cs="Times New Roman"/>
                <w:color w:val="auto"/>
                <w:sz w:val="24"/>
                <w:szCs w:val="24"/>
                <w:highlight w:val="none"/>
              </w:rPr>
              <w:t>施工期废水类别</w:t>
            </w:r>
          </w:p>
          <w:p w14:paraId="09DF703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项目施工废水主要有混凝土养护废水</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运输车辆冲洗废水、</w:t>
            </w:r>
            <w:r>
              <w:rPr>
                <w:rFonts w:hint="default" w:ascii="Times New Roman" w:hAnsi="Times New Roman" w:eastAsia="宋体" w:cs="Times New Roman"/>
                <w:color w:val="auto"/>
                <w:sz w:val="24"/>
                <w:szCs w:val="24"/>
                <w:highlight w:val="none"/>
              </w:rPr>
              <w:t>施工人员生活污水</w:t>
            </w:r>
            <w:r>
              <w:rPr>
                <w:rFonts w:hint="eastAsia" w:ascii="Times New Roman" w:hAnsi="Times New Roman" w:eastAsia="宋体" w:cs="Times New Roman"/>
                <w:color w:val="auto"/>
                <w:sz w:val="24"/>
                <w:szCs w:val="24"/>
                <w:highlight w:val="none"/>
                <w:lang w:val="en-US" w:eastAsia="zh-CN"/>
              </w:rPr>
              <w:t>。</w:t>
            </w:r>
          </w:p>
          <w:p w14:paraId="20036CA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⑵</w:t>
            </w:r>
            <w:r>
              <w:rPr>
                <w:rFonts w:hint="default" w:ascii="Times New Roman" w:hAnsi="Times New Roman" w:eastAsia="宋体" w:cs="Times New Roman"/>
                <w:color w:val="auto"/>
                <w:sz w:val="24"/>
                <w:szCs w:val="24"/>
                <w:highlight w:val="none"/>
              </w:rPr>
              <w:t>影响分析</w:t>
            </w:r>
          </w:p>
          <w:p w14:paraId="6BE957D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①混凝土养护废水：封闭混凝土中水分不蒸发外逸，水泥依靠混凝土中水分完成水化作用，水量较小</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无外排废水</w:t>
            </w:r>
            <w:r>
              <w:rPr>
                <w:rFonts w:hint="default" w:ascii="Times New Roman" w:hAnsi="Times New Roman" w:eastAsia="宋体" w:cs="Times New Roman"/>
                <w:color w:val="auto"/>
                <w:sz w:val="24"/>
                <w:szCs w:val="24"/>
                <w:highlight w:val="none"/>
              </w:rPr>
              <w:t>。②</w:t>
            </w:r>
            <w:r>
              <w:rPr>
                <w:rFonts w:hint="eastAsia" w:ascii="Times New Roman" w:hAnsi="Times New Roman" w:eastAsia="宋体" w:cs="Times New Roman"/>
                <w:color w:val="auto"/>
                <w:sz w:val="24"/>
                <w:szCs w:val="24"/>
                <w:highlight w:val="none"/>
                <w:lang w:val="en-US" w:eastAsia="zh-CN"/>
              </w:rPr>
              <w:t>运输车辆</w:t>
            </w:r>
            <w:r>
              <w:rPr>
                <w:rFonts w:hint="default" w:ascii="Times New Roman" w:hAnsi="Times New Roman" w:eastAsia="宋体" w:cs="Times New Roman"/>
                <w:color w:val="auto"/>
                <w:sz w:val="24"/>
                <w:szCs w:val="24"/>
                <w:highlight w:val="none"/>
              </w:rPr>
              <w:t>冲洗废水：</w:t>
            </w:r>
            <w:r>
              <w:rPr>
                <w:rFonts w:hint="eastAsia" w:ascii="Times New Roman" w:hAnsi="Times New Roman" w:eastAsia="宋体" w:cs="Times New Roman"/>
                <w:color w:val="auto"/>
                <w:sz w:val="24"/>
                <w:szCs w:val="24"/>
                <w:highlight w:val="none"/>
                <w:lang w:val="en-US" w:eastAsia="zh-CN"/>
              </w:rPr>
              <w:t>施工场地出入口设立洗车平台</w:t>
            </w:r>
            <w:r>
              <w:rPr>
                <w:rFonts w:hint="default" w:ascii="Times New Roman" w:hAnsi="Times New Roman" w:eastAsia="宋体" w:cs="Times New Roman"/>
                <w:color w:val="auto"/>
                <w:sz w:val="24"/>
                <w:szCs w:val="24"/>
                <w:highlight w:val="none"/>
              </w:rPr>
              <w:t>对</w:t>
            </w:r>
            <w:r>
              <w:rPr>
                <w:rFonts w:hint="eastAsia" w:ascii="Times New Roman" w:hAnsi="Times New Roman" w:eastAsia="宋体" w:cs="Times New Roman"/>
                <w:color w:val="auto"/>
                <w:sz w:val="24"/>
                <w:szCs w:val="24"/>
                <w:highlight w:val="none"/>
                <w:lang w:val="en-US" w:eastAsia="zh-CN"/>
              </w:rPr>
              <w:t>运输</w:t>
            </w:r>
            <w:r>
              <w:rPr>
                <w:rFonts w:hint="default" w:ascii="Times New Roman" w:hAnsi="Times New Roman" w:eastAsia="宋体" w:cs="Times New Roman"/>
                <w:color w:val="auto"/>
                <w:sz w:val="24"/>
                <w:szCs w:val="24"/>
                <w:highlight w:val="none"/>
              </w:rPr>
              <w:t>车辆进行清</w:t>
            </w:r>
            <w:r>
              <w:rPr>
                <w:rFonts w:hint="eastAsia" w:ascii="Times New Roman" w:hAnsi="Times New Roman" w:eastAsia="宋体" w:cs="Times New Roman"/>
                <w:color w:val="auto"/>
                <w:sz w:val="24"/>
                <w:szCs w:val="24"/>
                <w:highlight w:val="none"/>
                <w:lang w:val="en-US" w:eastAsia="zh-CN"/>
              </w:rPr>
              <w:t>洗</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废水通过排水沟排入沉淀池</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沉淀后</w:t>
            </w:r>
            <w:r>
              <w:rPr>
                <w:rFonts w:hint="eastAsia" w:ascii="Times New Roman" w:hAnsi="Times New Roman" w:eastAsia="宋体" w:cs="Times New Roman"/>
                <w:color w:val="auto"/>
                <w:sz w:val="24"/>
                <w:szCs w:val="24"/>
                <w:highlight w:val="none"/>
                <w:lang w:val="en-US" w:eastAsia="zh-CN"/>
              </w:rPr>
              <w:t>上层清</w:t>
            </w:r>
            <w:r>
              <w:rPr>
                <w:rFonts w:hint="default" w:ascii="Times New Roman" w:hAnsi="Times New Roman" w:eastAsia="宋体" w:cs="Times New Roman"/>
                <w:color w:val="auto"/>
                <w:sz w:val="24"/>
                <w:szCs w:val="24"/>
                <w:highlight w:val="none"/>
              </w:rPr>
              <w:t>水循环使用，不</w:t>
            </w:r>
            <w:r>
              <w:rPr>
                <w:rFonts w:hint="eastAsia" w:ascii="Times New Roman" w:hAnsi="Times New Roman" w:eastAsia="宋体" w:cs="Times New Roman"/>
                <w:color w:val="auto"/>
                <w:sz w:val="24"/>
                <w:szCs w:val="24"/>
                <w:highlight w:val="none"/>
                <w:lang w:val="en-US" w:eastAsia="zh-CN"/>
              </w:rPr>
              <w:t>外排</w:t>
            </w:r>
            <w:r>
              <w:rPr>
                <w:rFonts w:hint="default" w:ascii="Times New Roman" w:hAnsi="Times New Roman" w:eastAsia="宋体" w:cs="Times New Roman"/>
                <w:color w:val="auto"/>
                <w:sz w:val="24"/>
                <w:szCs w:val="24"/>
                <w:highlight w:val="none"/>
              </w:rPr>
              <w:t>。③施工人员生活污水，排入化粪池，定期清掏。</w:t>
            </w:r>
          </w:p>
          <w:p w14:paraId="2E846EC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三、</w:t>
            </w:r>
            <w:r>
              <w:rPr>
                <w:rFonts w:hint="default" w:ascii="Times New Roman" w:hAnsi="Times New Roman" w:eastAsia="宋体" w:cs="Times New Roman"/>
                <w:b/>
                <w:bCs/>
                <w:color w:val="auto"/>
                <w:sz w:val="24"/>
                <w:szCs w:val="24"/>
                <w:highlight w:val="none"/>
              </w:rPr>
              <w:t>噪声影响分析</w:t>
            </w:r>
          </w:p>
          <w:p w14:paraId="628D7BC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施工噪声主要为建筑基础挖掘、建筑材料运输、设备吊装等施工机械产生的噪声。</w:t>
            </w:r>
            <w:r>
              <w:rPr>
                <w:rFonts w:ascii="Times New Roman" w:hAnsi="Times New Roman" w:eastAsia="宋体" w:cs="Times New Roman"/>
                <w:color w:val="auto"/>
                <w:sz w:val="24"/>
                <w:szCs w:val="24"/>
                <w:highlight w:val="none"/>
              </w:rPr>
              <w:t>建筑施工期的噪声源特点是间歇或阵发性的，并具备流动性、噪声较高（5m处噪声值81dB</w:t>
            </w: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-92dB</w:t>
            </w: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）的特征。</w:t>
            </w:r>
            <w:r>
              <w:rPr>
                <w:rFonts w:hint="eastAsia" w:ascii="Times New Roman" w:hAnsi="Times New Roman" w:eastAsia="宋体" w:cs="Times New Roman"/>
                <w:color w:val="auto"/>
                <w:sz w:val="24"/>
                <w:szCs w:val="24"/>
                <w:highlight w:val="none"/>
                <w:lang w:eastAsia="zh-CN"/>
              </w:rPr>
              <w:t>本项目</w:t>
            </w:r>
            <w:r>
              <w:rPr>
                <w:rFonts w:hint="eastAsia" w:ascii="Times New Roman" w:hAnsi="Times New Roman" w:cs="Times New Roman"/>
                <w:color w:val="auto"/>
                <w:sz w:val="24"/>
                <w:szCs w:val="24"/>
                <w:highlight w:val="none"/>
                <w:lang w:eastAsia="zh-CN"/>
              </w:rPr>
              <w:t>施工场地</w:t>
            </w:r>
            <w:r>
              <w:rPr>
                <w:rFonts w:hint="eastAsia" w:ascii="Times New Roman" w:hAnsi="Times New Roman" w:eastAsia="宋体" w:cs="Times New Roman"/>
                <w:color w:val="auto"/>
                <w:sz w:val="24"/>
                <w:szCs w:val="24"/>
                <w:highlight w:val="none"/>
                <w:lang w:eastAsia="zh-CN"/>
              </w:rPr>
              <w:t>距离</w:t>
            </w:r>
            <w:r>
              <w:rPr>
                <w:rFonts w:hint="eastAsia" w:ascii="Times New Roman" w:hAnsi="Times New Roman" w:cs="Times New Roman"/>
                <w:color w:val="auto"/>
                <w:sz w:val="24"/>
                <w:szCs w:val="24"/>
                <w:highlight w:val="none"/>
                <w:lang w:eastAsia="zh-CN"/>
              </w:rPr>
              <w:t>最近的</w:t>
            </w:r>
            <w:r>
              <w:rPr>
                <w:rFonts w:hint="eastAsia" w:ascii="Times New Roman" w:hAnsi="Times New Roman" w:eastAsia="宋体" w:cs="Times New Roman"/>
                <w:color w:val="auto"/>
                <w:sz w:val="24"/>
                <w:szCs w:val="24"/>
                <w:highlight w:val="none"/>
                <w:lang w:eastAsia="zh-CN"/>
              </w:rPr>
              <w:t>声环境敏感目标</w:t>
            </w:r>
            <w:r>
              <w:rPr>
                <w:rFonts w:hint="eastAsia" w:ascii="Times New Roman" w:hAnsi="Times New Roman" w:cs="Times New Roman"/>
                <w:color w:val="auto"/>
                <w:sz w:val="24"/>
                <w:szCs w:val="24"/>
                <w:highlight w:val="none"/>
                <w:lang w:eastAsia="zh-CN"/>
              </w:rPr>
              <w:t>新店子村</w:t>
            </w:r>
            <w:r>
              <w:rPr>
                <w:rFonts w:hint="eastAsia" w:ascii="Times New Roman" w:hAnsi="Times New Roman" w:cs="Times New Roman"/>
                <w:color w:val="auto"/>
                <w:sz w:val="24"/>
                <w:szCs w:val="24"/>
                <w:highlight w:val="none"/>
                <w:lang w:val="en-US" w:eastAsia="zh-CN"/>
              </w:rPr>
              <w:t>390m</w:t>
            </w:r>
            <w:r>
              <w:rPr>
                <w:rFonts w:hint="eastAsia" w:ascii="Times New Roman" w:hAnsi="Times New Roman" w:eastAsia="宋体" w:cs="Times New Roman"/>
                <w:color w:val="auto"/>
                <w:sz w:val="24"/>
                <w:szCs w:val="24"/>
                <w:highlight w:val="none"/>
                <w:lang w:val="en-US" w:eastAsia="zh-CN"/>
              </w:rPr>
              <w:t>。</w:t>
            </w:r>
            <w:r>
              <w:rPr>
                <w:rFonts w:ascii="Times New Roman" w:hAnsi="Times New Roman" w:eastAsia="宋体" w:cs="Times New Roman"/>
                <w:color w:val="auto"/>
                <w:sz w:val="24"/>
                <w:szCs w:val="24"/>
                <w:highlight w:val="none"/>
              </w:rPr>
              <w:t>为最大限度避免和减轻施工和交通噪声对施工场地周围环境的影响，本评价对施工噪声的控制提出以下要求和建议：</w:t>
            </w:r>
          </w:p>
          <w:p w14:paraId="50BE715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rPr>
              <w:t>⑴</w:t>
            </w:r>
            <w:r>
              <w:rPr>
                <w:rFonts w:ascii="Times New Roman" w:hAnsi="Times New Roman" w:eastAsia="宋体" w:cs="Times New Roman"/>
                <w:color w:val="auto"/>
                <w:sz w:val="24"/>
                <w:szCs w:val="24"/>
                <w:highlight w:val="none"/>
              </w:rPr>
              <w:t>施工期建设单位合理安排施工计划和施工机械设备组合以及施工时间，避免同一时间集中使用大量的动力机械设备。施工单位严格执行《建筑施工场界环境噪声排放标准》（GB12523-20</w:t>
            </w:r>
            <w:r>
              <w:rPr>
                <w:rFonts w:hint="eastAsia" w:ascii="Times New Roman" w:hAnsi="Times New Roman" w:cs="Times New Roman"/>
                <w:color w:val="auto"/>
                <w:sz w:val="24"/>
                <w:szCs w:val="24"/>
                <w:highlight w:val="none"/>
                <w:lang w:val="en-US" w:eastAsia="zh-CN"/>
              </w:rPr>
              <w:t>25</w:t>
            </w:r>
            <w:r>
              <w:rPr>
                <w:rFonts w:ascii="Times New Roman" w:hAnsi="Times New Roman" w:eastAsia="宋体" w:cs="Times New Roman"/>
                <w:color w:val="auto"/>
                <w:sz w:val="24"/>
                <w:szCs w:val="24"/>
                <w:highlight w:val="none"/>
              </w:rPr>
              <w:t>）的要求，在施工过程中，尽量减少运行动力机械设备的数量，尽可能使动力机械设备比较均匀地使用</w:t>
            </w:r>
            <w:r>
              <w:rPr>
                <w:rFonts w:hint="eastAsia" w:ascii="Times New Roman" w:hAnsi="Times New Roman" w:cs="Times New Roman"/>
                <w:color w:val="auto"/>
                <w:sz w:val="24"/>
                <w:szCs w:val="24"/>
                <w:highlight w:val="none"/>
                <w:lang w:val="en-US" w:eastAsia="zh-CN"/>
              </w:rPr>
              <w:t>；</w:t>
            </w:r>
          </w:p>
          <w:p w14:paraId="6871C20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⑵</w:t>
            </w:r>
            <w:r>
              <w:rPr>
                <w:rFonts w:ascii="Times New Roman" w:hAnsi="Times New Roman" w:eastAsia="宋体" w:cs="Times New Roman"/>
                <w:color w:val="auto"/>
                <w:sz w:val="24"/>
                <w:szCs w:val="24"/>
                <w:highlight w:val="none"/>
              </w:rPr>
              <w:t>建设招标单位将投标方的低噪声、低振动施工设备和相应技术作为中标的重要内容考虑，将施工过程所用各类机械及其噪声值列入招标文件中；</w:t>
            </w:r>
          </w:p>
          <w:p w14:paraId="055B25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⑶施工过程中应合理安排施工时间，禁止在夜间进行施工，尽量避免在午休等休息时段施工，同时做好施工期公示，提前安排施工计划，缩短施工期及加强施工过程管理，避免偶发和频发噪声产生；</w:t>
            </w:r>
          </w:p>
          <w:p w14:paraId="06D6AC3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⑷</w:t>
            </w:r>
            <w:r>
              <w:rPr>
                <w:rFonts w:ascii="Times New Roman" w:hAnsi="Times New Roman" w:eastAsia="宋体" w:cs="Times New Roman"/>
                <w:color w:val="auto"/>
                <w:sz w:val="24"/>
                <w:szCs w:val="24"/>
                <w:highlight w:val="none"/>
              </w:rPr>
              <w:t>使用商品混凝土及商品砂浆，避免混凝土及砂浆生产时噪声的影响；</w:t>
            </w:r>
          </w:p>
          <w:p w14:paraId="55C6114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rPr>
              <w:t>⑸</w:t>
            </w:r>
            <w:r>
              <w:rPr>
                <w:rFonts w:ascii="Times New Roman" w:hAnsi="Times New Roman" w:eastAsia="宋体" w:cs="Times New Roman"/>
                <w:color w:val="auto"/>
                <w:sz w:val="24"/>
                <w:szCs w:val="24"/>
                <w:highlight w:val="none"/>
              </w:rPr>
              <w:t>运载建筑材料及建筑垃圾的车辆要选择合适的时间路线进行运输，运输车辆行驶路线应尽量避开沿途可能的居民点和环境敏感点。</w:t>
            </w:r>
          </w:p>
          <w:p w14:paraId="2D2B04A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采取以上措施后，施工噪声对周围环境影响较小，且将随着施工期的结束而消失。</w:t>
            </w:r>
          </w:p>
          <w:p w14:paraId="7E73B1D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四、</w:t>
            </w:r>
            <w:r>
              <w:rPr>
                <w:rFonts w:hint="default" w:ascii="Times New Roman" w:hAnsi="Times New Roman" w:eastAsia="宋体" w:cs="Times New Roman"/>
                <w:b/>
                <w:bCs/>
                <w:color w:val="auto"/>
                <w:sz w:val="24"/>
                <w:szCs w:val="24"/>
                <w:highlight w:val="none"/>
              </w:rPr>
              <w:t>固废影响分析</w:t>
            </w:r>
          </w:p>
          <w:p w14:paraId="2A7D1FB2">
            <w:pPr>
              <w:keepNext w:val="0"/>
              <w:keepLines w:val="0"/>
              <w:pageBreakBefore w:val="0"/>
              <w:widowControl w:val="0"/>
              <w:shd w:val="clear"/>
              <w:tabs>
                <w:tab w:val="left" w:pos="0"/>
                <w:tab w:val="left" w:pos="672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施工期固体废物主要为</w:t>
            </w:r>
            <w:r>
              <w:rPr>
                <w:rFonts w:hint="eastAsia" w:ascii="Times New Roman" w:hAnsi="Times New Roman" w:eastAsia="宋体" w:cs="Times New Roman"/>
                <w:color w:val="auto"/>
                <w:sz w:val="24"/>
                <w:szCs w:val="24"/>
                <w:highlight w:val="none"/>
                <w:lang w:eastAsia="zh-CN"/>
              </w:rPr>
              <w:t>场地整理产生的表土、植被、建筑垃圾及</w:t>
            </w:r>
            <w:r>
              <w:rPr>
                <w:rFonts w:ascii="Times New Roman" w:hAnsi="Times New Roman" w:eastAsia="宋体" w:cs="Times New Roman"/>
                <w:color w:val="auto"/>
                <w:sz w:val="24"/>
                <w:szCs w:val="24"/>
                <w:highlight w:val="none"/>
              </w:rPr>
              <w:t>施工垃圾</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施工人员的生活垃圾</w:t>
            </w:r>
            <w:r>
              <w:rPr>
                <w:rFonts w:ascii="Times New Roman" w:hAnsi="Times New Roman" w:eastAsia="宋体" w:cs="Times New Roman"/>
                <w:color w:val="auto"/>
                <w:sz w:val="24"/>
                <w:szCs w:val="24"/>
                <w:highlight w:val="none"/>
              </w:rPr>
              <w:t>。</w:t>
            </w:r>
          </w:p>
          <w:p w14:paraId="3FD9D984">
            <w:pPr>
              <w:keepNext w:val="0"/>
              <w:keepLines w:val="0"/>
              <w:pageBreakBefore w:val="0"/>
              <w:widowControl w:val="0"/>
              <w:shd w:val="clear"/>
              <w:tabs>
                <w:tab w:val="left" w:pos="360"/>
                <w:tab w:val="left" w:pos="672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场地整理产生的表土应集中苫盖存放，后期作为厂区绿化种植土进行重新使用。</w:t>
            </w:r>
          </w:p>
          <w:p w14:paraId="377DE503">
            <w:pPr>
              <w:keepNext w:val="0"/>
              <w:keepLines w:val="0"/>
              <w:pageBreakBefore w:val="0"/>
              <w:widowControl w:val="0"/>
              <w:shd w:val="clear"/>
              <w:tabs>
                <w:tab w:val="left" w:pos="360"/>
                <w:tab w:val="left" w:pos="672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施工期建筑垃圾主要包括施工中的下脚料，如废弃的堆土、砖瓦、混凝土块等，对于这些废物，应集中处理，分类收集并尽可能的回收再利用，不能回收再利用</w:t>
            </w:r>
            <w:r>
              <w:rPr>
                <w:rFonts w:hint="eastAsia" w:ascii="Times New Roman" w:hAnsi="Times New Roman" w:eastAsia="宋体" w:cs="Times New Roman"/>
                <w:color w:val="auto"/>
                <w:sz w:val="24"/>
                <w:szCs w:val="24"/>
                <w:highlight w:val="none"/>
                <w:lang w:eastAsia="zh-CN"/>
              </w:rPr>
              <w:t>满足本项目建筑垃圾堆砌要求的可进入本项目堆砌场进行堆砌</w:t>
            </w:r>
            <w:r>
              <w:rPr>
                <w:rFonts w:ascii="Times New Roman" w:hAnsi="Times New Roman" w:eastAsia="宋体" w:cs="Times New Roman"/>
                <w:color w:val="auto"/>
                <w:sz w:val="24"/>
                <w:szCs w:val="24"/>
                <w:highlight w:val="none"/>
              </w:rPr>
              <w:t>。本次评价提出措施如下：</w:t>
            </w:r>
          </w:p>
          <w:p w14:paraId="35C52D0D">
            <w:pPr>
              <w:keepNext w:val="0"/>
              <w:keepLines w:val="0"/>
              <w:pageBreakBefore w:val="0"/>
              <w:widowControl w:val="0"/>
              <w:shd w:val="clear"/>
              <w:tabs>
                <w:tab w:val="left" w:pos="360"/>
                <w:tab w:val="left" w:pos="6720"/>
              </w:tabs>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rPr>
              <w:t>①对钢筋、钢板、木材等可分类回收利用</w:t>
            </w: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对于其它不能回收利用的要集中收集，定时清运。②对混凝土废料、含砖、石、砂的杂土应集中堆放，</w:t>
            </w:r>
            <w:r>
              <w:rPr>
                <w:rFonts w:hint="eastAsia" w:ascii="Times New Roman" w:hAnsi="Times New Roman" w:eastAsia="宋体" w:cs="Times New Roman"/>
                <w:color w:val="auto"/>
                <w:sz w:val="24"/>
                <w:szCs w:val="24"/>
                <w:highlight w:val="none"/>
                <w:lang w:eastAsia="zh-CN"/>
              </w:rPr>
              <w:t>进入本项目堆砌场地进行堆砌</w:t>
            </w:r>
            <w:r>
              <w:rPr>
                <w:rFonts w:ascii="Times New Roman" w:hAnsi="Times New Roman" w:eastAsia="宋体" w:cs="Times New Roman"/>
                <w:color w:val="auto"/>
                <w:sz w:val="24"/>
                <w:szCs w:val="24"/>
                <w:highlight w:val="none"/>
              </w:rPr>
              <w:t>。③清场废物处置：应及时清运。表层土可集中堆存，用作绿化用土，不适于土地利用的表土可供附近填筑低凹地，或作其他用土。废土全部作为弃方做统一规划处置，将多余弃土及时清运。</w:t>
            </w:r>
            <w:r>
              <w:rPr>
                <w:rFonts w:hint="eastAsia" w:ascii="宋体" w:hAnsi="宋体" w:eastAsia="宋体" w:cs="宋体"/>
                <w:color w:val="auto"/>
                <w:sz w:val="24"/>
                <w:szCs w:val="24"/>
                <w:highlight w:val="none"/>
              </w:rPr>
              <w:t>④</w:t>
            </w:r>
            <w:r>
              <w:rPr>
                <w:rFonts w:hint="default" w:ascii="Times New Roman" w:hAnsi="Times New Roman" w:eastAsia="宋体" w:cs="Times New Roman"/>
                <w:color w:val="auto"/>
                <w:sz w:val="24"/>
                <w:szCs w:val="24"/>
                <w:highlight w:val="none"/>
              </w:rPr>
              <w:t>施工人员的生活垃圾由专门人员收集后送生活垃圾处理场统一处理。</w:t>
            </w:r>
            <w:r>
              <w:rPr>
                <w:rFonts w:hint="eastAsia" w:ascii="Times New Roman" w:hAnsi="Times New Roman" w:eastAsia="宋体" w:cs="Times New Roman"/>
                <w:color w:val="auto"/>
                <w:sz w:val="24"/>
                <w:szCs w:val="24"/>
                <w:highlight w:val="none"/>
                <w:lang w:eastAsia="zh-CN"/>
              </w:rPr>
              <w:t>⑤可进行移栽的乔木植被，应进行移栽，无法移栽利用的可清理后集中收集外售资源化利用。</w:t>
            </w:r>
          </w:p>
          <w:p w14:paraId="1AC6B46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rPr>
              <w:t>采取上述措施，施工期产生的固废都可得到合理处置，对外界环境影响较小</w:t>
            </w:r>
            <w:r>
              <w:rPr>
                <w:rFonts w:hint="eastAsia" w:ascii="Times New Roman" w:hAnsi="Times New Roman" w:eastAsia="宋体" w:cs="Times New Roman"/>
                <w:color w:val="auto"/>
                <w:sz w:val="24"/>
                <w:szCs w:val="24"/>
                <w:highlight w:val="none"/>
              </w:rPr>
              <w:t>。</w:t>
            </w:r>
          </w:p>
          <w:p w14:paraId="697BB40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、生态影响防治措施</w:t>
            </w:r>
          </w:p>
          <w:p w14:paraId="03555BF6">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⑴项目建设对生态环境的影响</w:t>
            </w:r>
          </w:p>
          <w:p w14:paraId="307F9A7C">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项目的建设对生态环境的影响主要为场地清理平整、工程压占土地、施工扰动地貌、施工机械碾压、施工人员践踏等破坏施工区域内的地貌，并破坏和影响施工区周围环境。</w:t>
            </w:r>
          </w:p>
          <w:p w14:paraId="1704FB3C">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⑵生态环境保护与恢复措施</w:t>
            </w:r>
          </w:p>
          <w:p w14:paraId="44F2E7F5">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施工过程应加强施工管理，尽量缩小施工范围，施工活动应严格控制在施工区域内，将临时占地面积控制在最低限度，尽可能的不破坏原有的地表植被，以免造成植被大面积破坏。</w:t>
            </w:r>
          </w:p>
          <w:p w14:paraId="03B0FC0F">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施工单位在施工过程中应严格控制施工作业区面积，以减少土壤扰动，减少裸地和土方暴露面积；现场施工作业机械应严格管理，划定活动范围，不得在道路、施工场地以外的地方行驶和作业；表土单独堆放，用于施工期结束后植被恢复；施工结束后，临时占地应进行植被恢复工作，凡受到施工车辆、施工机械破坏的地方均需要进行土地平整，生态恢复</w:t>
            </w:r>
            <w:r>
              <w:rPr>
                <w:rFonts w:hint="eastAsia" w:ascii="Times New Roman" w:hAnsi="Times New Roman" w:eastAsia="宋体" w:cs="Times New Roman"/>
                <w:color w:val="auto"/>
                <w:sz w:val="24"/>
                <w:szCs w:val="24"/>
                <w:lang w:eastAsia="zh-CN"/>
              </w:rPr>
              <w:t>。</w:t>
            </w:r>
          </w:p>
          <w:p w14:paraId="6D3E4EA4">
            <w:pPr>
              <w:widowControl w:val="0"/>
              <w:shd w:val="clear"/>
              <w:autoSpaceDE w:val="0"/>
              <w:autoSpaceDN w:val="0"/>
              <w:adjustRightInd w:val="0"/>
              <w:spacing w:beforeLines="10" w:afterLines="10" w:line="360" w:lineRule="auto"/>
              <w:ind w:firstLine="480" w:firstLineChars="200"/>
              <w:jc w:val="left"/>
              <w:rPr>
                <w:rFonts w:hint="eastAsia" w:ascii="宋体"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sz w:val="24"/>
                <w:szCs w:val="24"/>
                <w:lang w:eastAsia="zh-CN"/>
              </w:rPr>
              <w:t>施工过程采取上述措施后，不会对区域生态环境产生影响，不会对区域土地沙化产生影响。项目建成后，通过采取厂区硬化、绿化，可一定程度上防止区域水土流失。</w:t>
            </w:r>
          </w:p>
          <w:p w14:paraId="71038CA3">
            <w:pPr>
              <w:keepNext w:val="0"/>
              <w:keepLines w:val="0"/>
              <w:pageBreakBefore w:val="0"/>
              <w:shd w:val="clear"/>
              <w:kinsoku/>
              <w:wordWrap/>
              <w:overflowPunct/>
              <w:topLinePunct w:val="0"/>
              <w:autoSpaceDE/>
              <w:autoSpaceDN/>
              <w:bidi w:val="0"/>
              <w:adjustRightInd/>
              <w:snapToGrid/>
              <w:spacing w:line="480" w:lineRule="exact"/>
              <w:ind w:left="0" w:leftChars="0" w:right="0" w:rightChars="0" w:firstLine="480" w:firstLineChars="200"/>
              <w:textAlignment w:val="auto"/>
              <w:rPr>
                <w:color w:val="auto"/>
              </w:rPr>
            </w:pPr>
            <w:r>
              <w:rPr>
                <w:rFonts w:hint="default" w:ascii="Times New Roman" w:hAnsi="Times New Roman" w:eastAsia="宋体" w:cs="Times New Roman"/>
                <w:color w:val="auto"/>
                <w:sz w:val="24"/>
                <w:szCs w:val="24"/>
                <w:highlight w:val="none"/>
              </w:rPr>
              <w:t>综上所述，以上施工影响均为短期影响，将会随施工期的结束而消除，落实上述防治措施后对周围环境的影响可接受</w:t>
            </w:r>
            <w:r>
              <w:rPr>
                <w:rFonts w:hint="eastAsia" w:ascii="Times New Roman" w:hAnsi="Times New Roman" w:eastAsia="宋体" w:cs="Times New Roman"/>
                <w:color w:val="auto"/>
                <w:sz w:val="24"/>
                <w:szCs w:val="24"/>
                <w:highlight w:val="none"/>
                <w:lang w:eastAsia="zh-CN"/>
              </w:rPr>
              <w:t>。</w:t>
            </w:r>
          </w:p>
          <w:p w14:paraId="5F899CD4">
            <w:pPr>
              <w:pStyle w:val="15"/>
              <w:keepNext w:val="0"/>
              <w:keepLines w:val="0"/>
              <w:pageBreakBefore w:val="0"/>
              <w:widowControl w:val="0"/>
              <w:shd w:val="clear"/>
              <w:kinsoku/>
              <w:wordWrap/>
              <w:overflowPunct/>
              <w:topLinePunct w:val="0"/>
              <w:autoSpaceDE/>
              <w:autoSpaceDN/>
              <w:bidi w:val="0"/>
              <w:adjustRightInd/>
              <w:snapToGrid/>
              <w:spacing w:after="0"/>
              <w:ind w:left="0" w:leftChars="0" w:right="0" w:rightChars="0"/>
              <w:textAlignment w:val="auto"/>
              <w:rPr>
                <w:rFonts w:hint="default" w:ascii="Times New Roman" w:hAnsi="Times New Roman" w:eastAsia="宋体" w:cs="Times New Roman"/>
                <w:color w:val="auto"/>
                <w:kern w:val="24"/>
                <w:sz w:val="24"/>
                <w:szCs w:val="24"/>
                <w:highlight w:val="none"/>
              </w:rPr>
            </w:pPr>
          </w:p>
          <w:p w14:paraId="680E46F8">
            <w:pPr>
              <w:shd w:val="clear"/>
              <w:rPr>
                <w:rFonts w:hint="default" w:ascii="Times New Roman" w:hAnsi="Times New Roman" w:eastAsia="宋体" w:cs="Times New Roman"/>
                <w:color w:val="auto"/>
                <w:kern w:val="24"/>
                <w:sz w:val="24"/>
                <w:szCs w:val="24"/>
                <w:highlight w:val="none"/>
              </w:rPr>
            </w:pPr>
          </w:p>
          <w:p w14:paraId="5EE87609">
            <w:pPr>
              <w:shd w:val="clear"/>
              <w:bidi w:val="0"/>
              <w:ind w:left="0" w:leftChars="0" w:firstLine="0" w:firstLineChars="0"/>
              <w:jc w:val="both"/>
              <w:rPr>
                <w:rFonts w:hint="default" w:ascii="Times New Roman" w:hAnsi="Times New Roman" w:cs="Times New Roman"/>
                <w:color w:val="auto"/>
                <w:highlight w:val="none"/>
              </w:rPr>
            </w:pPr>
          </w:p>
          <w:p w14:paraId="1A3FB2F4">
            <w:pPr>
              <w:shd w:val="clear"/>
              <w:bidi w:val="0"/>
              <w:ind w:left="0" w:leftChars="0" w:firstLine="0" w:firstLineChars="0"/>
              <w:jc w:val="both"/>
              <w:rPr>
                <w:rFonts w:hint="default" w:ascii="Times New Roman" w:hAnsi="Times New Roman" w:cs="Times New Roman"/>
                <w:color w:val="auto"/>
                <w:highlight w:val="none"/>
              </w:rPr>
            </w:pPr>
          </w:p>
          <w:p w14:paraId="421075F5">
            <w:pPr>
              <w:shd w:val="clear"/>
              <w:bidi w:val="0"/>
              <w:ind w:left="0" w:leftChars="0" w:firstLine="0" w:firstLineChars="0"/>
              <w:jc w:val="both"/>
              <w:rPr>
                <w:rFonts w:hint="default" w:ascii="Times New Roman" w:hAnsi="Times New Roman" w:cs="Times New Roman"/>
                <w:color w:val="auto"/>
                <w:highlight w:val="none"/>
              </w:rPr>
            </w:pPr>
          </w:p>
          <w:p w14:paraId="1FB2FAA0">
            <w:pPr>
              <w:shd w:val="clear"/>
              <w:bidi w:val="0"/>
              <w:ind w:left="0" w:leftChars="0" w:firstLine="0" w:firstLineChars="0"/>
              <w:jc w:val="both"/>
              <w:rPr>
                <w:rFonts w:hint="default" w:ascii="Times New Roman" w:hAnsi="Times New Roman" w:cs="Times New Roman"/>
                <w:color w:val="auto"/>
                <w:highlight w:val="none"/>
              </w:rPr>
            </w:pPr>
          </w:p>
          <w:p w14:paraId="46D6C163">
            <w:pPr>
              <w:shd w:val="clear"/>
              <w:bidi w:val="0"/>
              <w:ind w:left="0" w:leftChars="0" w:firstLine="0" w:firstLineChars="0"/>
              <w:jc w:val="both"/>
              <w:rPr>
                <w:rFonts w:hint="default" w:ascii="Times New Roman" w:hAnsi="Times New Roman" w:cs="Times New Roman"/>
                <w:color w:val="auto"/>
                <w:highlight w:val="none"/>
              </w:rPr>
            </w:pPr>
          </w:p>
          <w:p w14:paraId="50B19D8B">
            <w:pPr>
              <w:shd w:val="clear"/>
              <w:bidi w:val="0"/>
              <w:ind w:left="0" w:leftChars="0" w:firstLine="0" w:firstLineChars="0"/>
              <w:jc w:val="both"/>
              <w:rPr>
                <w:rFonts w:hint="default" w:ascii="Times New Roman" w:hAnsi="Times New Roman" w:cs="Times New Roman"/>
                <w:color w:val="auto"/>
                <w:highlight w:val="none"/>
              </w:rPr>
            </w:pPr>
          </w:p>
          <w:p w14:paraId="6950A5FC">
            <w:pPr>
              <w:shd w:val="clear"/>
              <w:bidi w:val="0"/>
              <w:ind w:left="0" w:leftChars="0" w:firstLine="0" w:firstLineChars="0"/>
              <w:jc w:val="both"/>
              <w:rPr>
                <w:rFonts w:hint="default" w:ascii="Times New Roman" w:hAnsi="Times New Roman" w:cs="Times New Roman"/>
                <w:color w:val="auto"/>
                <w:highlight w:val="none"/>
              </w:rPr>
            </w:pPr>
          </w:p>
          <w:p w14:paraId="371F7978">
            <w:pPr>
              <w:pStyle w:val="31"/>
              <w:shd w:val="clear"/>
              <w:rPr>
                <w:rFonts w:hint="default" w:ascii="Times New Roman" w:hAnsi="Times New Roman" w:cs="Times New Roman"/>
                <w:color w:val="auto"/>
                <w:highlight w:val="none"/>
              </w:rPr>
            </w:pPr>
          </w:p>
          <w:p w14:paraId="6BB55C05">
            <w:pPr>
              <w:shd w:val="clear"/>
              <w:rPr>
                <w:rFonts w:hint="default" w:ascii="Times New Roman" w:hAnsi="Times New Roman" w:cs="Times New Roman"/>
                <w:color w:val="auto"/>
                <w:highlight w:val="none"/>
              </w:rPr>
            </w:pPr>
          </w:p>
          <w:p w14:paraId="2923C112">
            <w:pPr>
              <w:shd w:val="clear"/>
              <w:bidi w:val="0"/>
              <w:ind w:left="0" w:leftChars="0" w:firstLine="0" w:firstLineChars="0"/>
              <w:jc w:val="both"/>
              <w:rPr>
                <w:rFonts w:hint="default" w:ascii="Times New Roman" w:hAnsi="Times New Roman" w:cs="Times New Roman"/>
                <w:color w:val="auto"/>
                <w:highlight w:val="none"/>
              </w:rPr>
            </w:pPr>
          </w:p>
          <w:p w14:paraId="203AC3FD">
            <w:pPr>
              <w:shd w:val="clear"/>
              <w:bidi w:val="0"/>
              <w:ind w:left="0" w:leftChars="0" w:firstLine="0" w:firstLineChars="0"/>
              <w:jc w:val="both"/>
              <w:rPr>
                <w:rFonts w:hint="default" w:ascii="Times New Roman" w:hAnsi="Times New Roman" w:cs="Times New Roman"/>
                <w:color w:val="auto"/>
                <w:highlight w:val="none"/>
              </w:rPr>
            </w:pPr>
          </w:p>
          <w:p w14:paraId="15EE0C9A">
            <w:pPr>
              <w:shd w:val="clear"/>
              <w:bidi w:val="0"/>
              <w:ind w:left="0" w:leftChars="0" w:firstLine="0" w:firstLineChars="0"/>
              <w:jc w:val="both"/>
              <w:rPr>
                <w:rFonts w:hint="default" w:ascii="Times New Roman" w:hAnsi="Times New Roman" w:cs="Times New Roman"/>
                <w:color w:val="auto"/>
                <w:highlight w:val="none"/>
              </w:rPr>
            </w:pPr>
          </w:p>
          <w:p w14:paraId="18EA975E">
            <w:pPr>
              <w:pStyle w:val="15"/>
              <w:shd w:val="clear"/>
              <w:rPr>
                <w:rFonts w:hint="default" w:ascii="Times New Roman" w:hAnsi="Times New Roman" w:cs="Times New Roman"/>
                <w:color w:val="auto"/>
                <w:highlight w:val="none"/>
              </w:rPr>
            </w:pPr>
          </w:p>
          <w:p w14:paraId="47A4F61E">
            <w:pPr>
              <w:shd w:val="clear"/>
              <w:rPr>
                <w:rFonts w:hint="default"/>
                <w:color w:val="auto"/>
              </w:rPr>
            </w:pPr>
          </w:p>
          <w:p w14:paraId="0848C4CF">
            <w:pPr>
              <w:shd w:val="clear"/>
              <w:bidi w:val="0"/>
              <w:ind w:left="0" w:leftChars="0" w:firstLine="0" w:firstLineChars="0"/>
              <w:jc w:val="both"/>
              <w:rPr>
                <w:rFonts w:hint="default" w:ascii="Times New Roman" w:hAnsi="Times New Roman" w:cs="Times New Roman"/>
                <w:color w:val="auto"/>
                <w:highlight w:val="none"/>
              </w:rPr>
            </w:pPr>
          </w:p>
          <w:p w14:paraId="1F07A10F">
            <w:pPr>
              <w:shd w:val="clear"/>
              <w:bidi w:val="0"/>
              <w:ind w:left="0" w:leftChars="0" w:firstLine="0" w:firstLineChars="0"/>
              <w:jc w:val="both"/>
              <w:rPr>
                <w:rFonts w:hint="default" w:ascii="Times New Roman" w:hAnsi="Times New Roman" w:cs="Times New Roman"/>
                <w:color w:val="auto"/>
                <w:highlight w:val="none"/>
              </w:rPr>
            </w:pPr>
          </w:p>
          <w:p w14:paraId="7A60321F">
            <w:pPr>
              <w:shd w:val="clear"/>
              <w:bidi w:val="0"/>
              <w:ind w:left="0" w:leftChars="0" w:firstLine="0" w:firstLineChars="0"/>
              <w:jc w:val="both"/>
              <w:rPr>
                <w:rFonts w:hint="default" w:ascii="Times New Roman" w:hAnsi="Times New Roman" w:cs="Times New Roman"/>
                <w:color w:val="auto"/>
                <w:highlight w:val="none"/>
              </w:rPr>
            </w:pPr>
          </w:p>
          <w:p w14:paraId="185988FB">
            <w:pPr>
              <w:shd w:val="clear"/>
              <w:bidi w:val="0"/>
              <w:ind w:left="0" w:leftChars="0" w:firstLine="0" w:firstLineChars="0"/>
              <w:jc w:val="both"/>
              <w:rPr>
                <w:rFonts w:hint="default" w:ascii="Times New Roman" w:hAnsi="Times New Roman" w:cs="Times New Roman"/>
                <w:color w:val="auto"/>
                <w:highlight w:val="none"/>
              </w:rPr>
            </w:pPr>
          </w:p>
          <w:p w14:paraId="71516C4D">
            <w:pPr>
              <w:shd w:val="clear"/>
              <w:bidi w:val="0"/>
              <w:ind w:left="0" w:leftChars="0" w:firstLine="0" w:firstLineChars="0"/>
              <w:jc w:val="both"/>
              <w:rPr>
                <w:rFonts w:hint="default" w:ascii="Times New Roman" w:hAnsi="Times New Roman" w:cs="Times New Roman"/>
                <w:color w:val="auto"/>
                <w:highlight w:val="none"/>
              </w:rPr>
            </w:pPr>
          </w:p>
          <w:p w14:paraId="56D6C4F7">
            <w:pPr>
              <w:shd w:val="clear"/>
              <w:bidi w:val="0"/>
              <w:ind w:left="0" w:leftChars="0" w:firstLine="0" w:firstLineChars="0"/>
              <w:jc w:val="both"/>
              <w:rPr>
                <w:rFonts w:hint="default" w:ascii="Times New Roman" w:hAnsi="Times New Roman" w:cs="Times New Roman"/>
                <w:color w:val="auto"/>
                <w:highlight w:val="none"/>
              </w:rPr>
            </w:pPr>
          </w:p>
          <w:p w14:paraId="5198BA0C">
            <w:pPr>
              <w:pStyle w:val="31"/>
              <w:shd w:val="clear"/>
              <w:rPr>
                <w:rFonts w:hint="default"/>
                <w:color w:val="auto"/>
              </w:rPr>
            </w:pPr>
          </w:p>
          <w:p w14:paraId="30873AA8">
            <w:pPr>
              <w:shd w:val="clear"/>
              <w:bidi w:val="0"/>
              <w:ind w:left="0" w:leftChars="0" w:firstLine="0" w:firstLineChars="0"/>
              <w:jc w:val="both"/>
              <w:rPr>
                <w:rFonts w:hint="default" w:ascii="Times New Roman" w:hAnsi="Times New Roman" w:cs="Times New Roman"/>
                <w:color w:val="auto"/>
                <w:highlight w:val="none"/>
              </w:rPr>
            </w:pPr>
          </w:p>
          <w:p w14:paraId="780A8E7B">
            <w:pPr>
              <w:shd w:val="clear"/>
              <w:bidi w:val="0"/>
              <w:ind w:left="0" w:leftChars="0" w:firstLine="0" w:firstLineChars="0"/>
              <w:jc w:val="both"/>
              <w:rPr>
                <w:rFonts w:hint="default" w:ascii="Times New Roman" w:hAnsi="Times New Roman" w:cs="Times New Roman"/>
                <w:color w:val="auto"/>
                <w:highlight w:val="none"/>
              </w:rPr>
            </w:pPr>
          </w:p>
          <w:p w14:paraId="0973B8C9">
            <w:pPr>
              <w:shd w:val="clear"/>
              <w:bidi w:val="0"/>
              <w:ind w:left="0" w:leftChars="0" w:firstLine="0" w:firstLineChars="0"/>
              <w:jc w:val="both"/>
              <w:rPr>
                <w:rFonts w:hint="default" w:ascii="Times New Roman" w:hAnsi="Times New Roman" w:cs="Times New Roman"/>
                <w:color w:val="auto"/>
                <w:highlight w:val="none"/>
              </w:rPr>
            </w:pPr>
          </w:p>
        </w:tc>
      </w:tr>
    </w:tbl>
    <w:p w14:paraId="76A2376E">
      <w:pPr>
        <w:shd w:val="clear"/>
        <w:rPr>
          <w:rFonts w:hint="default" w:ascii="Times New Roman" w:hAnsi="Times New Roman" w:cs="Times New Roman"/>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13923" w:type="dxa"/>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739"/>
        <w:gridCol w:w="13184"/>
      </w:tblGrid>
      <w:tr w14:paraId="53903B95">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9114" w:hRule="atLeast"/>
          <w:jc w:val="center"/>
        </w:trPr>
        <w:tc>
          <w:tcPr>
            <w:tcW w:w="739" w:type="dxa"/>
            <w:tcBorders>
              <w:tl2br w:val="nil"/>
              <w:tr2bl w:val="nil"/>
            </w:tcBorders>
            <w:noWrap w:val="0"/>
            <w:vAlign w:val="center"/>
          </w:tcPr>
          <w:p w14:paraId="7A2777DF">
            <w:pPr>
              <w:keepNext w:val="0"/>
              <w:keepLines w:val="0"/>
              <w:pageBreakBefore w:val="0"/>
              <w:widowControl w:val="0"/>
              <w:shd w:val="clear"/>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outlineLvl w:val="9"/>
              <w:rPr>
                <w:rFonts w:hint="default" w:ascii="Times New Roman" w:hAnsi="Times New Roman" w:cs="Times New Roman"/>
                <w:color w:val="auto"/>
                <w:highlight w:val="none"/>
                <w:vertAlign w:val="baseline"/>
              </w:rPr>
            </w:pPr>
            <w:r>
              <w:rPr>
                <w:rFonts w:hint="default" w:ascii="Times New Roman" w:hAnsi="Times New Roman" w:eastAsia="宋体" w:cs="Times New Roman"/>
                <w:bCs/>
                <w:color w:val="auto"/>
                <w:sz w:val="24"/>
                <w:szCs w:val="24"/>
                <w:highlight w:val="none"/>
              </w:rPr>
              <w:t>运营期环境影响和保护措施</w:t>
            </w:r>
          </w:p>
        </w:tc>
        <w:tc>
          <w:tcPr>
            <w:tcW w:w="13184" w:type="dxa"/>
            <w:tcBorders>
              <w:tl2br w:val="nil"/>
              <w:tr2bl w:val="nil"/>
            </w:tcBorders>
            <w:noWrap w:val="0"/>
            <w:vAlign w:val="top"/>
          </w:tcPr>
          <w:p w14:paraId="599668B5">
            <w:pPr>
              <w:keepNext w:val="0"/>
              <w:keepLines w:val="0"/>
              <w:pageBreakBefore w:val="0"/>
              <w:widowControl w:val="0"/>
              <w:shd w:val="clear"/>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val="0"/>
                <w:smallCaps w:val="0"/>
                <w:color w:val="auto"/>
                <w:spacing w:val="0"/>
                <w:position w:val="0"/>
                <w:sz w:val="24"/>
                <w:szCs w:val="24"/>
                <w:highlight w:val="none"/>
                <w:lang w:val="en-US" w:eastAsia="zh-CN"/>
              </w:rPr>
            </w:pPr>
            <w:r>
              <w:rPr>
                <w:rFonts w:hint="default" w:ascii="Times New Roman" w:hAnsi="Times New Roman" w:eastAsia="宋体" w:cs="Times New Roman"/>
                <w:b/>
                <w:bCs w:val="0"/>
                <w:smallCaps w:val="0"/>
                <w:color w:val="auto"/>
                <w:spacing w:val="0"/>
                <w:position w:val="0"/>
                <w:sz w:val="24"/>
                <w:szCs w:val="24"/>
                <w:highlight w:val="none"/>
                <w:lang w:val="en-US" w:eastAsia="zh-CN"/>
              </w:rPr>
              <w:t>1</w:t>
            </w:r>
            <w:r>
              <w:rPr>
                <w:rFonts w:hint="eastAsia" w:cs="Times New Roman"/>
                <w:b/>
                <w:bCs w:val="0"/>
                <w:smallCaps w:val="0"/>
                <w:color w:val="auto"/>
                <w:spacing w:val="0"/>
                <w:position w:val="0"/>
                <w:sz w:val="24"/>
                <w:szCs w:val="24"/>
                <w:highlight w:val="none"/>
                <w:lang w:val="en-US" w:eastAsia="zh-CN"/>
              </w:rPr>
              <w:t>、</w:t>
            </w:r>
            <w:r>
              <w:rPr>
                <w:rFonts w:hint="default" w:ascii="Times New Roman" w:hAnsi="Times New Roman" w:eastAsia="宋体" w:cs="Times New Roman"/>
                <w:b/>
                <w:bCs w:val="0"/>
                <w:smallCaps w:val="0"/>
                <w:color w:val="auto"/>
                <w:spacing w:val="0"/>
                <w:position w:val="0"/>
                <w:sz w:val="24"/>
                <w:szCs w:val="24"/>
                <w:highlight w:val="none"/>
                <w:lang w:val="en-US" w:eastAsia="zh-CN"/>
              </w:rPr>
              <w:t>废气</w:t>
            </w:r>
          </w:p>
          <w:p w14:paraId="09C038E8">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本项目废气污染源主要为不合格原料矿石装卸、堆存过程产生的废气；上料过程产生的废气；颚式破碎机物料破碎、落料过程产生的废气；圆锥破碎机物料上料、破碎、落料过程产生的废气；</w:t>
            </w:r>
            <w:r>
              <w:rPr>
                <w:rFonts w:hint="default" w:ascii="Times New Roman" w:hAnsi="Times New Roman" w:eastAsia="Segoe UI Symbol" w:cs="Times New Roman"/>
                <w:i w:val="0"/>
                <w:iCs w:val="0"/>
                <w:caps w:val="0"/>
                <w:color w:val="auto"/>
                <w:spacing w:val="0"/>
                <w:sz w:val="24"/>
                <w:szCs w:val="24"/>
                <w:highlight w:val="none"/>
              </w:rPr>
              <w:t>复式摇筛</w:t>
            </w:r>
            <w:r>
              <w:rPr>
                <w:rFonts w:hint="eastAsia" w:ascii="Times New Roman" w:hAnsi="Times New Roman" w:eastAsia="宋体" w:cs="Times New Roman"/>
                <w:i w:val="0"/>
                <w:iCs w:val="0"/>
                <w:caps w:val="0"/>
                <w:color w:val="auto"/>
                <w:spacing w:val="0"/>
                <w:sz w:val="24"/>
                <w:szCs w:val="24"/>
                <w:highlight w:val="none"/>
                <w:lang w:eastAsia="zh-CN"/>
              </w:rPr>
              <w:t>物料</w:t>
            </w:r>
            <w:r>
              <w:rPr>
                <w:rFonts w:hint="eastAsia" w:ascii="Times New Roman" w:hAnsi="Times New Roman" w:cs="Times New Roman"/>
                <w:color w:val="auto"/>
                <w:highlight w:val="none"/>
                <w:lang w:val="en-US" w:eastAsia="zh-CN"/>
              </w:rPr>
              <w:t>上料、筛分、落料过程产生的废气；合格矿石原料装卸、堆存过程产生的废气；土渣装卸、堆存过程产生的废气。</w:t>
            </w:r>
          </w:p>
          <w:p w14:paraId="6C6F063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smallCaps w:val="0"/>
                <w:color w:val="auto"/>
                <w:spacing w:val="0"/>
                <w:position w:val="0"/>
                <w:sz w:val="24"/>
                <w:szCs w:val="24"/>
                <w:highlight w:val="none"/>
                <w:lang w:val="en-US" w:eastAsia="zh-CN"/>
              </w:rPr>
            </w:pPr>
            <w:r>
              <w:rPr>
                <w:rFonts w:hint="default" w:ascii="Times New Roman" w:hAnsi="Times New Roman" w:cs="Times New Roman"/>
                <w:smallCaps w:val="0"/>
                <w:color w:val="auto"/>
                <w:spacing w:val="0"/>
                <w:position w:val="0"/>
                <w:sz w:val="24"/>
                <w:szCs w:val="24"/>
                <w:highlight w:val="none"/>
                <w:lang w:val="en-US" w:eastAsia="zh-CN"/>
              </w:rPr>
              <w:t>废气源强及治理措施情况见下表。</w:t>
            </w:r>
          </w:p>
          <w:p w14:paraId="018B98B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废气源强、治理措施及排放情况一览表</w:t>
            </w:r>
          </w:p>
          <w:tbl>
            <w:tblPr>
              <w:tblStyle w:val="32"/>
              <w:tblW w:w="12614"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466"/>
              <w:gridCol w:w="462"/>
              <w:gridCol w:w="759"/>
              <w:gridCol w:w="670"/>
              <w:gridCol w:w="551"/>
              <w:gridCol w:w="720"/>
              <w:gridCol w:w="1005"/>
              <w:gridCol w:w="480"/>
              <w:gridCol w:w="2271"/>
              <w:gridCol w:w="658"/>
              <w:gridCol w:w="690"/>
              <w:gridCol w:w="691"/>
              <w:gridCol w:w="1034"/>
              <w:gridCol w:w="825"/>
              <w:gridCol w:w="681"/>
              <w:gridCol w:w="651"/>
            </w:tblGrid>
            <w:tr w14:paraId="27F137D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8" w:hRule="atLeast"/>
                <w:jc w:val="center"/>
              </w:trPr>
              <w:tc>
                <w:tcPr>
                  <w:tcW w:w="466" w:type="dxa"/>
                  <w:vMerge w:val="restart"/>
                  <w:tcBorders>
                    <w:tl2br w:val="nil"/>
                    <w:tr2bl w:val="nil"/>
                  </w:tcBorders>
                  <w:shd w:val="clear" w:color="auto" w:fill="auto"/>
                  <w:vAlign w:val="center"/>
                </w:tcPr>
                <w:p w14:paraId="082FC0D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项目</w:t>
                  </w:r>
                </w:p>
              </w:tc>
              <w:tc>
                <w:tcPr>
                  <w:tcW w:w="462" w:type="dxa"/>
                  <w:vMerge w:val="restart"/>
                  <w:tcBorders>
                    <w:tl2br w:val="nil"/>
                    <w:tr2bl w:val="nil"/>
                  </w:tcBorders>
                  <w:shd w:val="clear" w:color="auto" w:fill="auto"/>
                  <w:vAlign w:val="center"/>
                </w:tcPr>
                <w:p w14:paraId="1D751F4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排放形式</w:t>
                  </w:r>
                </w:p>
              </w:tc>
              <w:tc>
                <w:tcPr>
                  <w:tcW w:w="1429" w:type="dxa"/>
                  <w:gridSpan w:val="2"/>
                  <w:vMerge w:val="restart"/>
                  <w:tcBorders>
                    <w:tl2br w:val="nil"/>
                    <w:tr2bl w:val="nil"/>
                  </w:tcBorders>
                  <w:shd w:val="clear" w:color="auto" w:fill="auto"/>
                  <w:vAlign w:val="center"/>
                </w:tcPr>
                <w:p w14:paraId="7E8F8B6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产污</w:t>
                  </w:r>
                </w:p>
                <w:p w14:paraId="13C9B6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环节</w:t>
                  </w:r>
                </w:p>
              </w:tc>
              <w:tc>
                <w:tcPr>
                  <w:tcW w:w="551" w:type="dxa"/>
                  <w:vMerge w:val="restart"/>
                  <w:tcBorders>
                    <w:tl2br w:val="nil"/>
                    <w:tr2bl w:val="nil"/>
                  </w:tcBorders>
                  <w:shd w:val="clear" w:color="auto" w:fill="auto"/>
                  <w:vAlign w:val="center"/>
                </w:tcPr>
                <w:p w14:paraId="3B025D3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污染物种类</w:t>
                  </w:r>
                </w:p>
              </w:tc>
              <w:tc>
                <w:tcPr>
                  <w:tcW w:w="1725" w:type="dxa"/>
                  <w:gridSpan w:val="2"/>
                  <w:tcBorders>
                    <w:tl2br w:val="nil"/>
                    <w:tr2bl w:val="nil"/>
                  </w:tcBorders>
                  <w:shd w:val="clear" w:color="auto" w:fill="auto"/>
                  <w:vAlign w:val="center"/>
                </w:tcPr>
                <w:p w14:paraId="694D695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污染物产生情况</w:t>
                  </w:r>
                </w:p>
              </w:tc>
              <w:tc>
                <w:tcPr>
                  <w:tcW w:w="480" w:type="dxa"/>
                  <w:vMerge w:val="restart"/>
                  <w:tcBorders>
                    <w:tl2br w:val="nil"/>
                    <w:tr2bl w:val="nil"/>
                  </w:tcBorders>
                  <w:shd w:val="clear" w:color="auto" w:fill="auto"/>
                  <w:vAlign w:val="center"/>
                </w:tcPr>
                <w:p w14:paraId="3A5239C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收集效率</w:t>
                  </w:r>
                </w:p>
              </w:tc>
              <w:tc>
                <w:tcPr>
                  <w:tcW w:w="2929" w:type="dxa"/>
                  <w:gridSpan w:val="2"/>
                  <w:vMerge w:val="restart"/>
                  <w:tcBorders>
                    <w:tl2br w:val="nil"/>
                    <w:tr2bl w:val="nil"/>
                  </w:tcBorders>
                  <w:shd w:val="clear" w:color="auto" w:fill="auto"/>
                  <w:vAlign w:val="center"/>
                </w:tcPr>
                <w:p w14:paraId="1126541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治理设施</w:t>
                  </w:r>
                </w:p>
              </w:tc>
              <w:tc>
                <w:tcPr>
                  <w:tcW w:w="690" w:type="dxa"/>
                  <w:vMerge w:val="restart"/>
                  <w:tcBorders>
                    <w:tl2br w:val="nil"/>
                    <w:tr2bl w:val="nil"/>
                  </w:tcBorders>
                  <w:shd w:val="clear" w:color="auto" w:fill="auto"/>
                  <w:vAlign w:val="center"/>
                </w:tcPr>
                <w:p w14:paraId="63BAE4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治理工艺去除率</w:t>
                  </w:r>
                </w:p>
              </w:tc>
              <w:tc>
                <w:tcPr>
                  <w:tcW w:w="691" w:type="dxa"/>
                  <w:vMerge w:val="restart"/>
                  <w:tcBorders>
                    <w:tl2br w:val="nil"/>
                    <w:tr2bl w:val="nil"/>
                  </w:tcBorders>
                  <w:shd w:val="clear" w:color="auto" w:fill="auto"/>
                  <w:vAlign w:val="center"/>
                </w:tcPr>
                <w:p w14:paraId="4E7F4A1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是否为可行性技术</w:t>
                  </w:r>
                </w:p>
              </w:tc>
              <w:tc>
                <w:tcPr>
                  <w:tcW w:w="2540" w:type="dxa"/>
                  <w:gridSpan w:val="3"/>
                  <w:tcBorders>
                    <w:tl2br w:val="nil"/>
                    <w:tr2bl w:val="nil"/>
                  </w:tcBorders>
                  <w:shd w:val="clear" w:color="auto" w:fill="auto"/>
                  <w:vAlign w:val="center"/>
                </w:tcPr>
                <w:p w14:paraId="2F21D19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污染物排放情况</w:t>
                  </w:r>
                </w:p>
              </w:tc>
              <w:tc>
                <w:tcPr>
                  <w:tcW w:w="651" w:type="dxa"/>
                  <w:vMerge w:val="restart"/>
                  <w:tcBorders>
                    <w:tl2br w:val="nil"/>
                    <w:tr2bl w:val="nil"/>
                  </w:tcBorders>
                  <w:shd w:val="clear" w:color="auto" w:fill="auto"/>
                  <w:vAlign w:val="center"/>
                </w:tcPr>
                <w:p w14:paraId="7D5BE7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排放口编号</w:t>
                  </w:r>
                </w:p>
              </w:tc>
            </w:tr>
            <w:tr w14:paraId="718AE14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95" w:hRule="atLeast"/>
                <w:jc w:val="center"/>
              </w:trPr>
              <w:tc>
                <w:tcPr>
                  <w:tcW w:w="466" w:type="dxa"/>
                  <w:vMerge w:val="continue"/>
                  <w:tcBorders>
                    <w:tl2br w:val="nil"/>
                    <w:tr2bl w:val="nil"/>
                  </w:tcBorders>
                  <w:shd w:val="clear" w:color="auto" w:fill="auto"/>
                  <w:vAlign w:val="center"/>
                </w:tcPr>
                <w:p w14:paraId="4EF6DEC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40FE3D9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1429" w:type="dxa"/>
                  <w:gridSpan w:val="2"/>
                  <w:vMerge w:val="continue"/>
                  <w:tcBorders>
                    <w:tl2br w:val="nil"/>
                    <w:tr2bl w:val="nil"/>
                  </w:tcBorders>
                  <w:shd w:val="clear" w:color="auto" w:fill="auto"/>
                  <w:vAlign w:val="center"/>
                </w:tcPr>
                <w:p w14:paraId="724D822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551" w:type="dxa"/>
                  <w:vMerge w:val="continue"/>
                  <w:tcBorders>
                    <w:tl2br w:val="nil"/>
                    <w:tr2bl w:val="nil"/>
                  </w:tcBorders>
                  <w:shd w:val="clear" w:color="auto" w:fill="auto"/>
                  <w:vAlign w:val="center"/>
                </w:tcPr>
                <w:p w14:paraId="55B855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720" w:type="dxa"/>
                  <w:tcBorders>
                    <w:tl2br w:val="nil"/>
                    <w:tr2bl w:val="nil"/>
                  </w:tcBorders>
                  <w:shd w:val="clear" w:color="auto" w:fill="auto"/>
                  <w:vAlign w:val="center"/>
                </w:tcPr>
                <w:p w14:paraId="2DA5AA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产生量（t/a）</w:t>
                  </w:r>
                </w:p>
              </w:tc>
              <w:tc>
                <w:tcPr>
                  <w:tcW w:w="1005" w:type="dxa"/>
                  <w:tcBorders>
                    <w:tl2br w:val="nil"/>
                    <w:tr2bl w:val="nil"/>
                  </w:tcBorders>
                  <w:shd w:val="clear" w:color="auto" w:fill="auto"/>
                  <w:vAlign w:val="center"/>
                </w:tcPr>
                <w:p w14:paraId="6CC3F4C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产生浓度（mg/m</w:t>
                  </w:r>
                  <w:r>
                    <w:rPr>
                      <w:rFonts w:hint="default" w:ascii="Times New Roman" w:hAnsi="Times New Roman" w:eastAsia="宋体" w:cs="Times New Roman"/>
                      <w:i w:val="0"/>
                      <w:iCs w:val="0"/>
                      <w:color w:val="auto"/>
                      <w:kern w:val="0"/>
                      <w:sz w:val="18"/>
                      <w:szCs w:val="18"/>
                      <w:highlight w:val="none"/>
                      <w:u w:val="none"/>
                      <w:vertAlign w:val="superscript"/>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80" w:type="dxa"/>
                  <w:vMerge w:val="continue"/>
                  <w:tcBorders>
                    <w:tl2br w:val="nil"/>
                    <w:tr2bl w:val="nil"/>
                  </w:tcBorders>
                  <w:shd w:val="clear" w:color="auto" w:fill="auto"/>
                  <w:vAlign w:val="center"/>
                </w:tcPr>
                <w:p w14:paraId="6F62464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2929" w:type="dxa"/>
                  <w:gridSpan w:val="2"/>
                  <w:vMerge w:val="continue"/>
                  <w:tcBorders>
                    <w:tl2br w:val="nil"/>
                    <w:tr2bl w:val="nil"/>
                  </w:tcBorders>
                  <w:shd w:val="clear" w:color="auto" w:fill="auto"/>
                  <w:vAlign w:val="center"/>
                </w:tcPr>
                <w:p w14:paraId="1622D7E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2ADB87E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54B4A38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1034" w:type="dxa"/>
                  <w:tcBorders>
                    <w:tl2br w:val="nil"/>
                    <w:tr2bl w:val="nil"/>
                  </w:tcBorders>
                  <w:shd w:val="clear" w:color="auto" w:fill="auto"/>
                  <w:vAlign w:val="center"/>
                </w:tcPr>
                <w:p w14:paraId="68F86D8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排放浓度（mg/m</w:t>
                  </w:r>
                  <w:r>
                    <w:rPr>
                      <w:rFonts w:hint="default" w:ascii="Times New Roman" w:hAnsi="Times New Roman" w:eastAsia="宋体" w:cs="Times New Roman"/>
                      <w:i w:val="0"/>
                      <w:iCs w:val="0"/>
                      <w:color w:val="auto"/>
                      <w:kern w:val="0"/>
                      <w:sz w:val="18"/>
                      <w:szCs w:val="18"/>
                      <w:highlight w:val="none"/>
                      <w:u w:val="none"/>
                      <w:vertAlign w:val="superscript"/>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825" w:type="dxa"/>
                  <w:tcBorders>
                    <w:tl2br w:val="nil"/>
                    <w:tr2bl w:val="nil"/>
                  </w:tcBorders>
                  <w:shd w:val="clear" w:color="auto" w:fill="auto"/>
                  <w:vAlign w:val="center"/>
                </w:tcPr>
                <w:p w14:paraId="5298D26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排放速率（kg/h）</w:t>
                  </w:r>
                </w:p>
              </w:tc>
              <w:tc>
                <w:tcPr>
                  <w:tcW w:w="681" w:type="dxa"/>
                  <w:tcBorders>
                    <w:tl2br w:val="nil"/>
                    <w:tr2bl w:val="nil"/>
                  </w:tcBorders>
                  <w:shd w:val="clear" w:color="auto" w:fill="auto"/>
                  <w:vAlign w:val="center"/>
                </w:tcPr>
                <w:p w14:paraId="5F0FC21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排放量（t/a）</w:t>
                  </w:r>
                </w:p>
              </w:tc>
              <w:tc>
                <w:tcPr>
                  <w:tcW w:w="651" w:type="dxa"/>
                  <w:vMerge w:val="continue"/>
                  <w:tcBorders>
                    <w:tl2br w:val="nil"/>
                    <w:tr2bl w:val="nil"/>
                  </w:tcBorders>
                  <w:shd w:val="clear" w:color="auto" w:fill="auto"/>
                  <w:vAlign w:val="center"/>
                </w:tcPr>
                <w:p w14:paraId="22C845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r>
            <w:tr w14:paraId="35C8E543">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95" w:hRule="atLeast"/>
                <w:jc w:val="center"/>
              </w:trPr>
              <w:tc>
                <w:tcPr>
                  <w:tcW w:w="466" w:type="dxa"/>
                  <w:vMerge w:val="restart"/>
                  <w:tcBorders>
                    <w:tl2br w:val="nil"/>
                    <w:tr2bl w:val="nil"/>
                  </w:tcBorders>
                  <w:shd w:val="clear" w:color="auto" w:fill="auto"/>
                  <w:vAlign w:val="center"/>
                </w:tcPr>
                <w:p w14:paraId="7555FE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废气</w:t>
                  </w:r>
                </w:p>
              </w:tc>
              <w:tc>
                <w:tcPr>
                  <w:tcW w:w="462" w:type="dxa"/>
                  <w:vMerge w:val="restart"/>
                  <w:tcBorders>
                    <w:tl2br w:val="nil"/>
                    <w:tr2bl w:val="nil"/>
                  </w:tcBorders>
                  <w:shd w:val="clear" w:color="auto" w:fill="auto"/>
                  <w:vAlign w:val="center"/>
                </w:tcPr>
                <w:p w14:paraId="1E0A669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有组织</w:t>
                  </w:r>
                </w:p>
              </w:tc>
              <w:tc>
                <w:tcPr>
                  <w:tcW w:w="1429" w:type="dxa"/>
                  <w:gridSpan w:val="2"/>
                  <w:tcBorders>
                    <w:tl2br w:val="nil"/>
                    <w:tr2bl w:val="nil"/>
                  </w:tcBorders>
                  <w:shd w:val="clear" w:color="auto" w:fill="auto"/>
                  <w:vAlign w:val="center"/>
                </w:tcPr>
                <w:p w14:paraId="096EC46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不合格矿石原料上料过程</w:t>
                  </w:r>
                </w:p>
              </w:tc>
              <w:tc>
                <w:tcPr>
                  <w:tcW w:w="551" w:type="dxa"/>
                  <w:vMerge w:val="restart"/>
                  <w:tcBorders>
                    <w:tl2br w:val="nil"/>
                    <w:tr2bl w:val="nil"/>
                  </w:tcBorders>
                  <w:shd w:val="clear" w:color="auto" w:fill="auto"/>
                  <w:vAlign w:val="center"/>
                </w:tcPr>
                <w:p w14:paraId="7A376A6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颗粒物</w:t>
                  </w:r>
                </w:p>
              </w:tc>
              <w:tc>
                <w:tcPr>
                  <w:tcW w:w="720" w:type="dxa"/>
                  <w:vMerge w:val="restart"/>
                  <w:tcBorders>
                    <w:tl2br w:val="nil"/>
                    <w:tr2bl w:val="nil"/>
                  </w:tcBorders>
                  <w:shd w:val="clear" w:color="auto" w:fill="auto"/>
                  <w:vAlign w:val="center"/>
                </w:tcPr>
                <w:p w14:paraId="37F6E4A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113.4</w:t>
                  </w:r>
                </w:p>
              </w:tc>
              <w:tc>
                <w:tcPr>
                  <w:tcW w:w="1005" w:type="dxa"/>
                  <w:vMerge w:val="restart"/>
                  <w:tcBorders>
                    <w:tl2br w:val="nil"/>
                    <w:tr2bl w:val="nil"/>
                  </w:tcBorders>
                  <w:shd w:val="clear" w:color="auto" w:fill="auto"/>
                  <w:vAlign w:val="center"/>
                </w:tcPr>
                <w:p w14:paraId="0C61DD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1260.00</w:t>
                  </w:r>
                </w:p>
              </w:tc>
              <w:tc>
                <w:tcPr>
                  <w:tcW w:w="480" w:type="dxa"/>
                  <w:vMerge w:val="restart"/>
                  <w:tcBorders>
                    <w:tl2br w:val="nil"/>
                    <w:tr2bl w:val="nil"/>
                  </w:tcBorders>
                  <w:shd w:val="clear" w:color="auto" w:fill="auto"/>
                  <w:vAlign w:val="center"/>
                </w:tcPr>
                <w:p w14:paraId="1609C11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95%</w:t>
                  </w:r>
                </w:p>
              </w:tc>
              <w:tc>
                <w:tcPr>
                  <w:tcW w:w="2271" w:type="dxa"/>
                  <w:tcBorders>
                    <w:tl2br w:val="nil"/>
                    <w:tr2bl w:val="nil"/>
                  </w:tcBorders>
                  <w:shd w:val="clear" w:color="auto" w:fill="auto"/>
                  <w:vAlign w:val="center"/>
                </w:tcPr>
                <w:p w14:paraId="3BFFB9B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cs="Times New Roman"/>
                      <w:b w:val="0"/>
                      <w:bCs w:val="0"/>
                      <w:snapToGrid w:val="0"/>
                      <w:color w:val="auto"/>
                      <w:kern w:val="0"/>
                      <w:sz w:val="18"/>
                      <w:szCs w:val="18"/>
                      <w:highlight w:val="none"/>
                      <w:vertAlign w:val="baseline"/>
                      <w:lang w:val="en-US" w:eastAsia="zh-CN" w:bidi="ar-SA"/>
                    </w:rPr>
                    <w:t>上料</w:t>
                  </w:r>
                  <w:r>
                    <w:rPr>
                      <w:rFonts w:hint="eastAsia" w:cs="Times New Roman"/>
                      <w:b w:val="0"/>
                      <w:bCs w:val="0"/>
                      <w:snapToGrid w:val="0"/>
                      <w:color w:val="auto"/>
                      <w:kern w:val="0"/>
                      <w:sz w:val="18"/>
                      <w:szCs w:val="18"/>
                      <w:highlight w:val="none"/>
                      <w:vertAlign w:val="baseline"/>
                      <w:lang w:val="en-US" w:eastAsia="zh-CN" w:bidi="ar-SA"/>
                    </w:rPr>
                    <w:t>仓</w:t>
                  </w:r>
                  <w:r>
                    <w:rPr>
                      <w:rFonts w:hint="default" w:cs="Times New Roman"/>
                      <w:b w:val="0"/>
                      <w:bCs w:val="0"/>
                      <w:snapToGrid w:val="0"/>
                      <w:color w:val="auto"/>
                      <w:kern w:val="0"/>
                      <w:sz w:val="18"/>
                      <w:szCs w:val="18"/>
                      <w:highlight w:val="none"/>
                      <w:vertAlign w:val="baseline"/>
                      <w:lang w:val="en-US" w:eastAsia="zh-CN" w:bidi="ar-SA"/>
                    </w:rPr>
                    <w:t>三面及顶部围挡，一面设置软帘，</w:t>
                  </w:r>
                  <w:r>
                    <w:rPr>
                      <w:rFonts w:hint="eastAsia" w:cs="Times New Roman"/>
                      <w:b w:val="0"/>
                      <w:bCs w:val="0"/>
                      <w:snapToGrid w:val="0"/>
                      <w:color w:val="auto"/>
                      <w:kern w:val="0"/>
                      <w:sz w:val="18"/>
                      <w:szCs w:val="18"/>
                      <w:highlight w:val="none"/>
                      <w:vertAlign w:val="baseline"/>
                      <w:lang w:val="en-US" w:eastAsia="zh-CN" w:bidi="ar-SA"/>
                    </w:rPr>
                    <w:t>顶部设置集气罩；设置伞状喷雾抑尘装置，喷雾抑尘装置范围应覆盖整个落料点（电伴热）</w:t>
                  </w:r>
                </w:p>
              </w:tc>
              <w:tc>
                <w:tcPr>
                  <w:tcW w:w="658" w:type="dxa"/>
                  <w:vMerge w:val="restart"/>
                  <w:tcBorders>
                    <w:tl2br w:val="nil"/>
                    <w:tr2bl w:val="nil"/>
                  </w:tcBorders>
                  <w:shd w:val="clear" w:color="auto" w:fill="auto"/>
                  <w:vAlign w:val="center"/>
                </w:tcPr>
                <w:p w14:paraId="35FB592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ascii="Times New Roman" w:hAnsi="Times New Roman" w:cs="Times New Roman"/>
                      <w:bCs/>
                      <w:snapToGrid w:val="0"/>
                      <w:color w:val="auto"/>
                      <w:kern w:val="24"/>
                      <w:sz w:val="18"/>
                      <w:szCs w:val="18"/>
                      <w:highlight w:val="none"/>
                      <w:lang w:val="en-US" w:eastAsia="zh-CN"/>
                    </w:rPr>
                    <w:t>1套</w:t>
                  </w:r>
                  <w:r>
                    <w:rPr>
                      <w:rFonts w:hint="default" w:ascii="Times New Roman" w:hAnsi="Times New Roman" w:cs="Times New Roman"/>
                      <w:bCs/>
                      <w:snapToGrid w:val="0"/>
                      <w:color w:val="auto"/>
                      <w:kern w:val="24"/>
                      <w:sz w:val="18"/>
                      <w:szCs w:val="18"/>
                      <w:highlight w:val="none"/>
                      <w:lang w:val="en-US" w:eastAsia="zh-CN"/>
                    </w:rPr>
                    <w:t>脉冲布袋除尘器</w:t>
                  </w:r>
                  <w:r>
                    <w:rPr>
                      <w:rFonts w:hint="eastAsia" w:ascii="Times New Roman" w:hAnsi="Times New Roman" w:eastAsia="宋体" w:cs="Times New Roman"/>
                      <w:color w:val="auto"/>
                      <w:sz w:val="18"/>
                      <w:szCs w:val="18"/>
                      <w:highlight w:val="none"/>
                      <w:lang w:val="en-US" w:eastAsia="zh-CN"/>
                    </w:rPr>
                    <w:t>+15</w:t>
                  </w:r>
                  <w:r>
                    <w:rPr>
                      <w:rFonts w:hint="eastAsia" w:cs="宋体"/>
                      <w:color w:val="auto"/>
                      <w:sz w:val="18"/>
                      <w:szCs w:val="18"/>
                      <w:highlight w:val="none"/>
                      <w:lang w:val="en-US" w:eastAsia="zh-CN"/>
                    </w:rPr>
                    <w:t>m</w:t>
                  </w:r>
                  <w:r>
                    <w:rPr>
                      <w:rFonts w:hint="eastAsia" w:ascii="Times New Roman" w:hAnsi="Times New Roman" w:eastAsia="宋体" w:cs="Times New Roman"/>
                      <w:color w:val="auto"/>
                      <w:sz w:val="18"/>
                      <w:szCs w:val="18"/>
                      <w:highlight w:val="none"/>
                      <w:lang w:val="en-US" w:eastAsia="zh-CN"/>
                    </w:rPr>
                    <w:t>排气筒（DA002），</w:t>
                  </w:r>
                  <w:r>
                    <w:rPr>
                      <w:rFonts w:hint="eastAsia" w:cs="宋体"/>
                      <w:color w:val="auto"/>
                      <w:sz w:val="18"/>
                      <w:szCs w:val="18"/>
                      <w:highlight w:val="none"/>
                      <w:lang w:eastAsia="zh-CN"/>
                    </w:rPr>
                    <w:t>风机风量</w:t>
                  </w:r>
                  <w:r>
                    <w:rPr>
                      <w:rFonts w:hint="eastAsia" w:cs="宋体"/>
                      <w:color w:val="auto"/>
                      <w:sz w:val="18"/>
                      <w:szCs w:val="18"/>
                      <w:highlight w:val="none"/>
                      <w:lang w:val="en-US" w:eastAsia="zh-CN"/>
                    </w:rPr>
                    <w:t>38000m</w:t>
                  </w:r>
                  <w:r>
                    <w:rPr>
                      <w:rFonts w:hint="eastAsia" w:cs="宋体"/>
                      <w:color w:val="auto"/>
                      <w:sz w:val="18"/>
                      <w:szCs w:val="18"/>
                      <w:highlight w:val="none"/>
                      <w:vertAlign w:val="superscript"/>
                      <w:lang w:val="en-US" w:eastAsia="zh-CN"/>
                    </w:rPr>
                    <w:t>3</w:t>
                  </w:r>
                  <w:r>
                    <w:rPr>
                      <w:rFonts w:hint="eastAsia" w:cs="宋体"/>
                      <w:color w:val="auto"/>
                      <w:sz w:val="18"/>
                      <w:szCs w:val="18"/>
                      <w:highlight w:val="none"/>
                      <w:lang w:val="en-US" w:eastAsia="zh-CN"/>
                    </w:rPr>
                    <w:t>/h</w:t>
                  </w:r>
                </w:p>
              </w:tc>
              <w:tc>
                <w:tcPr>
                  <w:tcW w:w="690" w:type="dxa"/>
                  <w:vMerge w:val="restart"/>
                  <w:tcBorders>
                    <w:tl2br w:val="nil"/>
                    <w:tr2bl w:val="nil"/>
                  </w:tcBorders>
                  <w:shd w:val="clear" w:color="auto" w:fill="auto"/>
                  <w:vAlign w:val="center"/>
                </w:tcPr>
                <w:p w14:paraId="50D7810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99.50%</w:t>
                  </w:r>
                </w:p>
              </w:tc>
              <w:tc>
                <w:tcPr>
                  <w:tcW w:w="691" w:type="dxa"/>
                  <w:vMerge w:val="restart"/>
                  <w:tcBorders>
                    <w:tl2br w:val="nil"/>
                    <w:tr2bl w:val="nil"/>
                  </w:tcBorders>
                  <w:shd w:val="clear" w:color="auto" w:fill="auto"/>
                  <w:vAlign w:val="center"/>
                </w:tcPr>
                <w:p w14:paraId="6A12EA1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是</w:t>
                  </w:r>
                </w:p>
              </w:tc>
              <w:tc>
                <w:tcPr>
                  <w:tcW w:w="1034" w:type="dxa"/>
                  <w:vMerge w:val="restart"/>
                  <w:tcBorders>
                    <w:tl2br w:val="nil"/>
                    <w:tr2bl w:val="nil"/>
                  </w:tcBorders>
                  <w:shd w:val="clear" w:color="auto" w:fill="auto"/>
                  <w:vAlign w:val="center"/>
                </w:tcPr>
                <w:p w14:paraId="4DBEF3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6.32</w:t>
                  </w:r>
                </w:p>
              </w:tc>
              <w:tc>
                <w:tcPr>
                  <w:tcW w:w="825" w:type="dxa"/>
                  <w:vMerge w:val="restart"/>
                  <w:tcBorders>
                    <w:tl2br w:val="nil"/>
                    <w:tr2bl w:val="nil"/>
                  </w:tcBorders>
                  <w:shd w:val="clear" w:color="auto" w:fill="auto"/>
                  <w:vAlign w:val="center"/>
                </w:tcPr>
                <w:p w14:paraId="170FFE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0.150</w:t>
                  </w:r>
                </w:p>
              </w:tc>
              <w:tc>
                <w:tcPr>
                  <w:tcW w:w="681" w:type="dxa"/>
                  <w:vMerge w:val="restart"/>
                  <w:tcBorders>
                    <w:tl2br w:val="nil"/>
                    <w:tr2bl w:val="nil"/>
                  </w:tcBorders>
                  <w:shd w:val="clear" w:color="auto" w:fill="auto"/>
                  <w:vAlign w:val="center"/>
                </w:tcPr>
                <w:p w14:paraId="47A9A76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0.539</w:t>
                  </w:r>
                </w:p>
              </w:tc>
              <w:tc>
                <w:tcPr>
                  <w:tcW w:w="651" w:type="dxa"/>
                  <w:vMerge w:val="restart"/>
                  <w:tcBorders>
                    <w:tl2br w:val="nil"/>
                    <w:tr2bl w:val="nil"/>
                  </w:tcBorders>
                  <w:shd w:val="clear" w:color="auto" w:fill="auto"/>
                  <w:vAlign w:val="center"/>
                </w:tcPr>
                <w:p w14:paraId="6E75B6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DA002</w:t>
                  </w:r>
                </w:p>
              </w:tc>
            </w:tr>
            <w:tr w14:paraId="30CF510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523" w:hRule="atLeast"/>
                <w:jc w:val="center"/>
              </w:trPr>
              <w:tc>
                <w:tcPr>
                  <w:tcW w:w="466" w:type="dxa"/>
                  <w:vMerge w:val="continue"/>
                  <w:tcBorders>
                    <w:tl2br w:val="nil"/>
                    <w:tr2bl w:val="nil"/>
                  </w:tcBorders>
                  <w:shd w:val="clear" w:color="auto" w:fill="auto"/>
                  <w:vAlign w:val="center"/>
                </w:tcPr>
                <w:p w14:paraId="70E3069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1DB487D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759" w:type="dxa"/>
                  <w:vMerge w:val="restart"/>
                  <w:tcBorders>
                    <w:tl2br w:val="nil"/>
                    <w:tr2bl w:val="nil"/>
                  </w:tcBorders>
                  <w:shd w:val="clear" w:color="auto" w:fill="auto"/>
                  <w:vAlign w:val="center"/>
                </w:tcPr>
                <w:p w14:paraId="5FB89CF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颚式破碎机</w:t>
                  </w:r>
                </w:p>
              </w:tc>
              <w:tc>
                <w:tcPr>
                  <w:tcW w:w="670" w:type="dxa"/>
                  <w:tcBorders>
                    <w:tl2br w:val="nil"/>
                    <w:tr2bl w:val="nil"/>
                  </w:tcBorders>
                  <w:shd w:val="clear" w:color="auto" w:fill="auto"/>
                  <w:vAlign w:val="center"/>
                </w:tcPr>
                <w:p w14:paraId="71CAFF7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破碎</w:t>
                  </w:r>
                </w:p>
              </w:tc>
              <w:tc>
                <w:tcPr>
                  <w:tcW w:w="551" w:type="dxa"/>
                  <w:vMerge w:val="continue"/>
                  <w:tcBorders>
                    <w:tl2br w:val="nil"/>
                    <w:tr2bl w:val="nil"/>
                  </w:tcBorders>
                  <w:shd w:val="clear" w:color="auto" w:fill="auto"/>
                  <w:vAlign w:val="center"/>
                </w:tcPr>
                <w:p w14:paraId="45D536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720" w:type="dxa"/>
                  <w:vMerge w:val="continue"/>
                  <w:tcBorders>
                    <w:tl2br w:val="nil"/>
                    <w:tr2bl w:val="nil"/>
                  </w:tcBorders>
                  <w:shd w:val="clear" w:color="auto" w:fill="auto"/>
                  <w:vAlign w:val="center"/>
                </w:tcPr>
                <w:p w14:paraId="7A40B6A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1005" w:type="dxa"/>
                  <w:vMerge w:val="continue"/>
                  <w:tcBorders>
                    <w:tl2br w:val="nil"/>
                    <w:tr2bl w:val="nil"/>
                  </w:tcBorders>
                  <w:shd w:val="clear" w:color="auto" w:fill="auto"/>
                  <w:vAlign w:val="center"/>
                </w:tcPr>
                <w:p w14:paraId="4C34CB7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480" w:type="dxa"/>
                  <w:vMerge w:val="continue"/>
                  <w:tcBorders>
                    <w:tl2br w:val="nil"/>
                    <w:tr2bl w:val="nil"/>
                  </w:tcBorders>
                  <w:shd w:val="clear" w:color="auto" w:fill="auto"/>
                  <w:vAlign w:val="center"/>
                </w:tcPr>
                <w:p w14:paraId="2936074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2271" w:type="dxa"/>
                  <w:tcBorders>
                    <w:tl2br w:val="nil"/>
                    <w:tr2bl w:val="nil"/>
                  </w:tcBorders>
                  <w:shd w:val="clear" w:color="auto" w:fill="auto"/>
                  <w:vAlign w:val="center"/>
                </w:tcPr>
                <w:p w14:paraId="28ABF37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auto"/>
                      <w:kern w:val="0"/>
                      <w:sz w:val="18"/>
                      <w:szCs w:val="18"/>
                      <w:highlight w:val="none"/>
                      <w:u w:val="none"/>
                      <w:lang w:val="en-US" w:eastAsia="zh-CN" w:bidi="ar"/>
                    </w:rPr>
                  </w:pPr>
                  <w:r>
                    <w:rPr>
                      <w:rFonts w:hint="default" w:cs="Times New Roman"/>
                      <w:b w:val="0"/>
                      <w:bCs w:val="0"/>
                      <w:snapToGrid w:val="0"/>
                      <w:color w:val="auto"/>
                      <w:kern w:val="0"/>
                      <w:sz w:val="18"/>
                      <w:szCs w:val="18"/>
                      <w:highlight w:val="none"/>
                      <w:vertAlign w:val="baseline"/>
                      <w:lang w:val="en-US" w:eastAsia="zh-CN" w:bidi="ar-SA"/>
                    </w:rPr>
                    <w:t>上料仓与颚式破碎机入料口采用全封闭连接，并在衔接位置设置集气引风口</w:t>
                  </w:r>
                </w:p>
              </w:tc>
              <w:tc>
                <w:tcPr>
                  <w:tcW w:w="658" w:type="dxa"/>
                  <w:vMerge w:val="continue"/>
                  <w:tcBorders>
                    <w:tl2br w:val="nil"/>
                    <w:tr2bl w:val="nil"/>
                  </w:tcBorders>
                  <w:shd w:val="clear" w:color="auto" w:fill="auto"/>
                  <w:vAlign w:val="center"/>
                </w:tcPr>
                <w:p w14:paraId="7218709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14AE934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47E13B5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1034" w:type="dxa"/>
                  <w:vMerge w:val="continue"/>
                  <w:tcBorders>
                    <w:tl2br w:val="nil"/>
                    <w:tr2bl w:val="nil"/>
                  </w:tcBorders>
                  <w:shd w:val="clear" w:color="auto" w:fill="auto"/>
                  <w:vAlign w:val="center"/>
                </w:tcPr>
                <w:p w14:paraId="0CD5D2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825" w:type="dxa"/>
                  <w:vMerge w:val="continue"/>
                  <w:tcBorders>
                    <w:tl2br w:val="nil"/>
                    <w:tr2bl w:val="nil"/>
                  </w:tcBorders>
                  <w:shd w:val="clear" w:color="auto" w:fill="auto"/>
                  <w:vAlign w:val="center"/>
                </w:tcPr>
                <w:p w14:paraId="466E08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81" w:type="dxa"/>
                  <w:vMerge w:val="continue"/>
                  <w:tcBorders>
                    <w:tl2br w:val="nil"/>
                    <w:tr2bl w:val="nil"/>
                  </w:tcBorders>
                  <w:shd w:val="clear" w:color="auto" w:fill="auto"/>
                  <w:vAlign w:val="center"/>
                </w:tcPr>
                <w:p w14:paraId="5900197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51" w:type="dxa"/>
                  <w:vMerge w:val="continue"/>
                  <w:tcBorders>
                    <w:tl2br w:val="nil"/>
                    <w:tr2bl w:val="nil"/>
                  </w:tcBorders>
                  <w:shd w:val="clear" w:color="auto" w:fill="auto"/>
                  <w:vAlign w:val="center"/>
                </w:tcPr>
                <w:p w14:paraId="4A03DEC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r>
            <w:tr w14:paraId="1DA78DA6">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33" w:hRule="atLeast"/>
                <w:jc w:val="center"/>
              </w:trPr>
              <w:tc>
                <w:tcPr>
                  <w:tcW w:w="466" w:type="dxa"/>
                  <w:vMerge w:val="continue"/>
                  <w:tcBorders>
                    <w:tl2br w:val="nil"/>
                    <w:tr2bl w:val="nil"/>
                  </w:tcBorders>
                  <w:shd w:val="clear" w:color="auto" w:fill="auto"/>
                  <w:vAlign w:val="center"/>
                </w:tcPr>
                <w:p w14:paraId="3132003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23F7D2E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759" w:type="dxa"/>
                  <w:vMerge w:val="continue"/>
                  <w:tcBorders>
                    <w:tl2br w:val="nil"/>
                    <w:tr2bl w:val="nil"/>
                  </w:tcBorders>
                  <w:shd w:val="clear" w:color="auto" w:fill="auto"/>
                  <w:vAlign w:val="center"/>
                </w:tcPr>
                <w:p w14:paraId="67BBBC0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70" w:type="dxa"/>
                  <w:tcBorders>
                    <w:tl2br w:val="nil"/>
                    <w:tr2bl w:val="nil"/>
                  </w:tcBorders>
                  <w:shd w:val="clear" w:color="auto" w:fill="auto"/>
                  <w:vAlign w:val="center"/>
                </w:tcPr>
                <w:p w14:paraId="275F68D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落料</w:t>
                  </w:r>
                </w:p>
              </w:tc>
              <w:tc>
                <w:tcPr>
                  <w:tcW w:w="551" w:type="dxa"/>
                  <w:vMerge w:val="continue"/>
                  <w:tcBorders>
                    <w:tl2br w:val="nil"/>
                    <w:tr2bl w:val="nil"/>
                  </w:tcBorders>
                  <w:shd w:val="clear" w:color="auto" w:fill="auto"/>
                  <w:vAlign w:val="center"/>
                </w:tcPr>
                <w:p w14:paraId="720F5DD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20" w:type="dxa"/>
                  <w:vMerge w:val="continue"/>
                  <w:tcBorders>
                    <w:tl2br w:val="nil"/>
                    <w:tr2bl w:val="nil"/>
                  </w:tcBorders>
                  <w:shd w:val="clear" w:color="auto" w:fill="auto"/>
                  <w:vAlign w:val="center"/>
                </w:tcPr>
                <w:p w14:paraId="4F73894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1005" w:type="dxa"/>
                  <w:vMerge w:val="continue"/>
                  <w:tcBorders>
                    <w:tl2br w:val="nil"/>
                    <w:tr2bl w:val="nil"/>
                  </w:tcBorders>
                  <w:shd w:val="clear" w:color="auto" w:fill="auto"/>
                  <w:vAlign w:val="center"/>
                </w:tcPr>
                <w:p w14:paraId="503C9E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480" w:type="dxa"/>
                  <w:vMerge w:val="continue"/>
                  <w:tcBorders>
                    <w:tl2br w:val="nil"/>
                    <w:tr2bl w:val="nil"/>
                  </w:tcBorders>
                  <w:shd w:val="clear" w:color="auto" w:fill="auto"/>
                  <w:vAlign w:val="center"/>
                </w:tcPr>
                <w:p w14:paraId="5E1F439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2271" w:type="dxa"/>
                  <w:tcBorders>
                    <w:tl2br w:val="nil"/>
                    <w:tr2bl w:val="nil"/>
                  </w:tcBorders>
                  <w:shd w:val="clear" w:color="auto" w:fill="auto"/>
                  <w:vAlign w:val="center"/>
                </w:tcPr>
                <w:p w14:paraId="60824DD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auto"/>
                      <w:kern w:val="0"/>
                      <w:sz w:val="18"/>
                      <w:szCs w:val="18"/>
                      <w:highlight w:val="none"/>
                      <w:u w:val="none"/>
                      <w:lang w:val="en-US" w:eastAsia="zh-CN" w:bidi="ar"/>
                    </w:rPr>
                  </w:pPr>
                  <w:r>
                    <w:rPr>
                      <w:rFonts w:hint="eastAsia" w:cs="Times New Roman"/>
                      <w:b w:val="0"/>
                      <w:bCs w:val="0"/>
                      <w:snapToGrid w:val="0"/>
                      <w:color w:val="auto"/>
                      <w:kern w:val="0"/>
                      <w:sz w:val="18"/>
                      <w:szCs w:val="18"/>
                      <w:highlight w:val="none"/>
                      <w:vertAlign w:val="baseline"/>
                      <w:lang w:val="en-US" w:eastAsia="zh-CN" w:bidi="ar-SA"/>
                    </w:rPr>
                    <w:t>物料落料处全封闭，落料点上方设置集气引风口</w:t>
                  </w:r>
                </w:p>
              </w:tc>
              <w:tc>
                <w:tcPr>
                  <w:tcW w:w="658" w:type="dxa"/>
                  <w:vMerge w:val="continue"/>
                  <w:tcBorders>
                    <w:tl2br w:val="nil"/>
                    <w:tr2bl w:val="nil"/>
                  </w:tcBorders>
                  <w:shd w:val="clear" w:color="auto" w:fill="auto"/>
                  <w:vAlign w:val="center"/>
                </w:tcPr>
                <w:p w14:paraId="642344D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2D4135F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2BA6784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1034" w:type="dxa"/>
                  <w:vMerge w:val="continue"/>
                  <w:tcBorders>
                    <w:tl2br w:val="nil"/>
                    <w:tr2bl w:val="nil"/>
                  </w:tcBorders>
                  <w:shd w:val="clear" w:color="auto" w:fill="auto"/>
                  <w:vAlign w:val="center"/>
                </w:tcPr>
                <w:p w14:paraId="5EDB51A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825" w:type="dxa"/>
                  <w:vMerge w:val="continue"/>
                  <w:tcBorders>
                    <w:tl2br w:val="nil"/>
                    <w:tr2bl w:val="nil"/>
                  </w:tcBorders>
                  <w:shd w:val="clear" w:color="auto" w:fill="auto"/>
                  <w:vAlign w:val="center"/>
                </w:tcPr>
                <w:p w14:paraId="1383307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81" w:type="dxa"/>
                  <w:vMerge w:val="continue"/>
                  <w:tcBorders>
                    <w:tl2br w:val="nil"/>
                    <w:tr2bl w:val="nil"/>
                  </w:tcBorders>
                  <w:shd w:val="clear" w:color="auto" w:fill="auto"/>
                  <w:vAlign w:val="center"/>
                </w:tcPr>
                <w:p w14:paraId="144707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51" w:type="dxa"/>
                  <w:vMerge w:val="continue"/>
                  <w:tcBorders>
                    <w:tl2br w:val="nil"/>
                    <w:tr2bl w:val="nil"/>
                  </w:tcBorders>
                  <w:shd w:val="clear" w:color="auto" w:fill="auto"/>
                  <w:vAlign w:val="center"/>
                </w:tcPr>
                <w:p w14:paraId="00C2DA5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auto"/>
                      <w:kern w:val="0"/>
                      <w:sz w:val="18"/>
                      <w:szCs w:val="18"/>
                      <w:highlight w:val="none"/>
                      <w:u w:val="none"/>
                      <w:lang w:val="en-US" w:eastAsia="zh-CN" w:bidi="ar"/>
                    </w:rPr>
                  </w:pPr>
                </w:p>
              </w:tc>
            </w:tr>
            <w:tr w14:paraId="5C132A2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65" w:hRule="atLeast"/>
                <w:jc w:val="center"/>
              </w:trPr>
              <w:tc>
                <w:tcPr>
                  <w:tcW w:w="466" w:type="dxa"/>
                  <w:vMerge w:val="continue"/>
                  <w:tcBorders>
                    <w:tl2br w:val="nil"/>
                    <w:tr2bl w:val="nil"/>
                  </w:tcBorders>
                  <w:shd w:val="clear" w:color="auto" w:fill="auto"/>
                  <w:vAlign w:val="center"/>
                </w:tcPr>
                <w:p w14:paraId="6614CCC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728900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759" w:type="dxa"/>
                  <w:vMerge w:val="restart"/>
                  <w:tcBorders>
                    <w:tl2br w:val="nil"/>
                    <w:tr2bl w:val="nil"/>
                  </w:tcBorders>
                  <w:shd w:val="clear" w:color="auto" w:fill="auto"/>
                  <w:vAlign w:val="center"/>
                </w:tcPr>
                <w:p w14:paraId="2F58A4C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圆锥破碎机</w:t>
                  </w:r>
                </w:p>
              </w:tc>
              <w:tc>
                <w:tcPr>
                  <w:tcW w:w="670" w:type="dxa"/>
                  <w:tcBorders>
                    <w:tl2br w:val="nil"/>
                    <w:tr2bl w:val="nil"/>
                  </w:tcBorders>
                  <w:shd w:val="clear" w:color="auto" w:fill="auto"/>
                  <w:vAlign w:val="center"/>
                </w:tcPr>
                <w:p w14:paraId="478E6FC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上料、破碎</w:t>
                  </w:r>
                </w:p>
              </w:tc>
              <w:tc>
                <w:tcPr>
                  <w:tcW w:w="551" w:type="dxa"/>
                  <w:vMerge w:val="continue"/>
                  <w:tcBorders>
                    <w:tl2br w:val="nil"/>
                    <w:tr2bl w:val="nil"/>
                  </w:tcBorders>
                  <w:shd w:val="clear" w:color="auto" w:fill="auto"/>
                  <w:vAlign w:val="center"/>
                </w:tcPr>
                <w:p w14:paraId="634340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20" w:type="dxa"/>
                  <w:vMerge w:val="continue"/>
                  <w:tcBorders>
                    <w:tl2br w:val="nil"/>
                    <w:tr2bl w:val="nil"/>
                  </w:tcBorders>
                  <w:shd w:val="clear" w:color="auto" w:fill="auto"/>
                  <w:vAlign w:val="center"/>
                </w:tcPr>
                <w:p w14:paraId="276D30A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1005" w:type="dxa"/>
                  <w:vMerge w:val="continue"/>
                  <w:tcBorders>
                    <w:tl2br w:val="nil"/>
                    <w:tr2bl w:val="nil"/>
                  </w:tcBorders>
                  <w:shd w:val="clear" w:color="auto" w:fill="auto"/>
                  <w:vAlign w:val="center"/>
                </w:tcPr>
                <w:p w14:paraId="2C3E646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480" w:type="dxa"/>
                  <w:vMerge w:val="continue"/>
                  <w:tcBorders>
                    <w:tl2br w:val="nil"/>
                    <w:tr2bl w:val="nil"/>
                  </w:tcBorders>
                  <w:shd w:val="clear" w:color="auto" w:fill="auto"/>
                  <w:vAlign w:val="center"/>
                </w:tcPr>
                <w:p w14:paraId="5895A6F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2271" w:type="dxa"/>
                  <w:tcBorders>
                    <w:tl2br w:val="nil"/>
                    <w:tr2bl w:val="nil"/>
                  </w:tcBorders>
                  <w:shd w:val="clear" w:color="auto" w:fill="auto"/>
                  <w:vAlign w:val="center"/>
                </w:tcPr>
                <w:p w14:paraId="222DA3F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auto"/>
                      <w:kern w:val="0"/>
                      <w:sz w:val="18"/>
                      <w:szCs w:val="18"/>
                      <w:highlight w:val="none"/>
                      <w:u w:val="none"/>
                      <w:lang w:val="en-US" w:eastAsia="zh-CN" w:bidi="ar"/>
                    </w:rPr>
                  </w:pPr>
                  <w:r>
                    <w:rPr>
                      <w:rFonts w:hint="eastAsia" w:cs="Times New Roman"/>
                      <w:b w:val="0"/>
                      <w:bCs w:val="0"/>
                      <w:snapToGrid w:val="0"/>
                      <w:color w:val="auto"/>
                      <w:kern w:val="0"/>
                      <w:sz w:val="18"/>
                      <w:szCs w:val="18"/>
                      <w:highlight w:val="none"/>
                      <w:vertAlign w:val="baseline"/>
                      <w:lang w:val="en-US" w:eastAsia="zh-CN" w:bidi="ar-SA"/>
                    </w:rPr>
                    <w:t>皮带输送机与圆锥破碎机封闭相连，圆锥破碎机入料口上方设置集气罩</w:t>
                  </w:r>
                </w:p>
              </w:tc>
              <w:tc>
                <w:tcPr>
                  <w:tcW w:w="658" w:type="dxa"/>
                  <w:vMerge w:val="continue"/>
                  <w:tcBorders>
                    <w:tl2br w:val="nil"/>
                    <w:tr2bl w:val="nil"/>
                  </w:tcBorders>
                  <w:shd w:val="clear" w:color="auto" w:fill="auto"/>
                  <w:vAlign w:val="center"/>
                </w:tcPr>
                <w:p w14:paraId="0462A12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76ABDA0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544CF93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1034" w:type="dxa"/>
                  <w:vMerge w:val="continue"/>
                  <w:tcBorders>
                    <w:tl2br w:val="nil"/>
                    <w:tr2bl w:val="nil"/>
                  </w:tcBorders>
                  <w:shd w:val="clear" w:color="auto" w:fill="auto"/>
                  <w:vAlign w:val="center"/>
                </w:tcPr>
                <w:p w14:paraId="290B6A9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825" w:type="dxa"/>
                  <w:vMerge w:val="continue"/>
                  <w:tcBorders>
                    <w:tl2br w:val="nil"/>
                    <w:tr2bl w:val="nil"/>
                  </w:tcBorders>
                  <w:shd w:val="clear" w:color="auto" w:fill="auto"/>
                  <w:vAlign w:val="center"/>
                </w:tcPr>
                <w:p w14:paraId="494416B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81" w:type="dxa"/>
                  <w:vMerge w:val="continue"/>
                  <w:tcBorders>
                    <w:tl2br w:val="nil"/>
                    <w:tr2bl w:val="nil"/>
                  </w:tcBorders>
                  <w:shd w:val="clear" w:color="auto" w:fill="auto"/>
                  <w:vAlign w:val="center"/>
                </w:tcPr>
                <w:p w14:paraId="2839C92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51" w:type="dxa"/>
                  <w:vMerge w:val="continue"/>
                  <w:tcBorders>
                    <w:tl2br w:val="nil"/>
                    <w:tr2bl w:val="nil"/>
                  </w:tcBorders>
                  <w:shd w:val="clear" w:color="auto" w:fill="auto"/>
                  <w:vAlign w:val="center"/>
                </w:tcPr>
                <w:p w14:paraId="0F66551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auto"/>
                      <w:kern w:val="0"/>
                      <w:sz w:val="18"/>
                      <w:szCs w:val="18"/>
                      <w:highlight w:val="none"/>
                      <w:u w:val="none"/>
                      <w:lang w:val="en-US" w:eastAsia="zh-CN" w:bidi="ar"/>
                    </w:rPr>
                  </w:pPr>
                </w:p>
              </w:tc>
            </w:tr>
            <w:tr w14:paraId="505B16CB">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33" w:hRule="atLeast"/>
                <w:jc w:val="center"/>
              </w:trPr>
              <w:tc>
                <w:tcPr>
                  <w:tcW w:w="466" w:type="dxa"/>
                  <w:vMerge w:val="continue"/>
                  <w:tcBorders>
                    <w:tl2br w:val="nil"/>
                    <w:tr2bl w:val="nil"/>
                  </w:tcBorders>
                  <w:shd w:val="clear" w:color="auto" w:fill="auto"/>
                  <w:vAlign w:val="center"/>
                </w:tcPr>
                <w:p w14:paraId="5561873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390AFAC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759" w:type="dxa"/>
                  <w:vMerge w:val="continue"/>
                  <w:tcBorders>
                    <w:tl2br w:val="nil"/>
                    <w:tr2bl w:val="nil"/>
                  </w:tcBorders>
                  <w:shd w:val="clear" w:color="auto" w:fill="auto"/>
                  <w:vAlign w:val="center"/>
                </w:tcPr>
                <w:p w14:paraId="19E4AA7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70" w:type="dxa"/>
                  <w:tcBorders>
                    <w:tl2br w:val="nil"/>
                    <w:tr2bl w:val="nil"/>
                  </w:tcBorders>
                  <w:shd w:val="clear" w:color="auto" w:fill="auto"/>
                  <w:vAlign w:val="center"/>
                </w:tcPr>
                <w:p w14:paraId="3378925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落料</w:t>
                  </w:r>
                </w:p>
              </w:tc>
              <w:tc>
                <w:tcPr>
                  <w:tcW w:w="551" w:type="dxa"/>
                  <w:vMerge w:val="continue"/>
                  <w:tcBorders>
                    <w:tl2br w:val="nil"/>
                    <w:tr2bl w:val="nil"/>
                  </w:tcBorders>
                  <w:shd w:val="clear" w:color="auto" w:fill="auto"/>
                  <w:vAlign w:val="center"/>
                </w:tcPr>
                <w:p w14:paraId="75E709F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20" w:type="dxa"/>
                  <w:vMerge w:val="continue"/>
                  <w:tcBorders>
                    <w:tl2br w:val="nil"/>
                    <w:tr2bl w:val="nil"/>
                  </w:tcBorders>
                  <w:shd w:val="clear" w:color="auto" w:fill="auto"/>
                  <w:vAlign w:val="center"/>
                </w:tcPr>
                <w:p w14:paraId="4A2DE47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1005" w:type="dxa"/>
                  <w:vMerge w:val="continue"/>
                  <w:tcBorders>
                    <w:tl2br w:val="nil"/>
                    <w:tr2bl w:val="nil"/>
                  </w:tcBorders>
                  <w:shd w:val="clear" w:color="auto" w:fill="auto"/>
                  <w:vAlign w:val="center"/>
                </w:tcPr>
                <w:p w14:paraId="7B9BFF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480" w:type="dxa"/>
                  <w:vMerge w:val="continue"/>
                  <w:tcBorders>
                    <w:tl2br w:val="nil"/>
                    <w:tr2bl w:val="nil"/>
                  </w:tcBorders>
                  <w:shd w:val="clear" w:color="auto" w:fill="auto"/>
                  <w:vAlign w:val="center"/>
                </w:tcPr>
                <w:p w14:paraId="5DE36E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2271" w:type="dxa"/>
                  <w:tcBorders>
                    <w:tl2br w:val="nil"/>
                    <w:tr2bl w:val="nil"/>
                  </w:tcBorders>
                  <w:shd w:val="clear" w:color="auto" w:fill="auto"/>
                  <w:vAlign w:val="center"/>
                </w:tcPr>
                <w:p w14:paraId="2D608391">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auto"/>
                      <w:kern w:val="0"/>
                      <w:sz w:val="18"/>
                      <w:szCs w:val="18"/>
                      <w:highlight w:val="none"/>
                      <w:u w:val="none"/>
                      <w:lang w:val="en-US" w:eastAsia="zh-CN" w:bidi="ar"/>
                    </w:rPr>
                  </w:pPr>
                  <w:r>
                    <w:rPr>
                      <w:rFonts w:hint="eastAsia" w:cs="Times New Roman"/>
                      <w:b w:val="0"/>
                      <w:bCs w:val="0"/>
                      <w:snapToGrid w:val="0"/>
                      <w:color w:val="auto"/>
                      <w:kern w:val="0"/>
                      <w:sz w:val="18"/>
                      <w:szCs w:val="18"/>
                      <w:highlight w:val="none"/>
                      <w:vertAlign w:val="baseline"/>
                      <w:lang w:val="en-US" w:eastAsia="zh-CN" w:bidi="ar-SA"/>
                    </w:rPr>
                    <w:t>物料落料处全封闭，落料点上方设置集气引风口</w:t>
                  </w:r>
                </w:p>
              </w:tc>
              <w:tc>
                <w:tcPr>
                  <w:tcW w:w="658" w:type="dxa"/>
                  <w:vMerge w:val="continue"/>
                  <w:tcBorders>
                    <w:tl2br w:val="nil"/>
                    <w:tr2bl w:val="nil"/>
                  </w:tcBorders>
                  <w:shd w:val="clear" w:color="auto" w:fill="auto"/>
                  <w:vAlign w:val="center"/>
                </w:tcPr>
                <w:p w14:paraId="5434885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0330FBF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5A781B0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1034" w:type="dxa"/>
                  <w:vMerge w:val="continue"/>
                  <w:tcBorders>
                    <w:tl2br w:val="nil"/>
                    <w:tr2bl w:val="nil"/>
                  </w:tcBorders>
                  <w:shd w:val="clear" w:color="auto" w:fill="auto"/>
                  <w:vAlign w:val="center"/>
                </w:tcPr>
                <w:p w14:paraId="382B88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825" w:type="dxa"/>
                  <w:vMerge w:val="continue"/>
                  <w:tcBorders>
                    <w:tl2br w:val="nil"/>
                    <w:tr2bl w:val="nil"/>
                  </w:tcBorders>
                  <w:shd w:val="clear" w:color="auto" w:fill="auto"/>
                  <w:vAlign w:val="center"/>
                </w:tcPr>
                <w:p w14:paraId="5DB2A91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81" w:type="dxa"/>
                  <w:vMerge w:val="continue"/>
                  <w:tcBorders>
                    <w:tl2br w:val="nil"/>
                    <w:tr2bl w:val="nil"/>
                  </w:tcBorders>
                  <w:shd w:val="clear" w:color="auto" w:fill="auto"/>
                  <w:vAlign w:val="center"/>
                </w:tcPr>
                <w:p w14:paraId="650FECF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51" w:type="dxa"/>
                  <w:vMerge w:val="continue"/>
                  <w:tcBorders>
                    <w:tl2br w:val="nil"/>
                    <w:tr2bl w:val="nil"/>
                  </w:tcBorders>
                  <w:shd w:val="clear" w:color="auto" w:fill="auto"/>
                  <w:vAlign w:val="center"/>
                </w:tcPr>
                <w:p w14:paraId="30B1E9C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auto"/>
                      <w:kern w:val="0"/>
                      <w:sz w:val="18"/>
                      <w:szCs w:val="18"/>
                      <w:highlight w:val="none"/>
                      <w:u w:val="none"/>
                      <w:lang w:val="en-US" w:eastAsia="zh-CN" w:bidi="ar"/>
                    </w:rPr>
                  </w:pPr>
                </w:p>
              </w:tc>
            </w:tr>
            <w:tr w14:paraId="62E793C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90" w:hRule="atLeast"/>
                <w:jc w:val="center"/>
              </w:trPr>
              <w:tc>
                <w:tcPr>
                  <w:tcW w:w="466" w:type="dxa"/>
                  <w:vMerge w:val="continue"/>
                  <w:tcBorders>
                    <w:tl2br w:val="nil"/>
                    <w:tr2bl w:val="nil"/>
                  </w:tcBorders>
                  <w:shd w:val="clear" w:color="auto" w:fill="auto"/>
                  <w:vAlign w:val="center"/>
                </w:tcPr>
                <w:p w14:paraId="66CD380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165EFF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759" w:type="dxa"/>
                  <w:vMerge w:val="restart"/>
                  <w:tcBorders>
                    <w:tl2br w:val="nil"/>
                    <w:tr2bl w:val="nil"/>
                  </w:tcBorders>
                  <w:shd w:val="clear" w:color="auto" w:fill="auto"/>
                  <w:vAlign w:val="center"/>
                </w:tcPr>
                <w:p w14:paraId="63E5949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Segoe UI Symbol" w:cs="Times New Roman"/>
                      <w:i w:val="0"/>
                      <w:iCs w:val="0"/>
                      <w:caps w:val="0"/>
                      <w:color w:val="auto"/>
                      <w:spacing w:val="0"/>
                      <w:sz w:val="18"/>
                      <w:szCs w:val="18"/>
                    </w:rPr>
                    <w:t>复式摇筛</w:t>
                  </w:r>
                </w:p>
              </w:tc>
              <w:tc>
                <w:tcPr>
                  <w:tcW w:w="670" w:type="dxa"/>
                  <w:tcBorders>
                    <w:tl2br w:val="nil"/>
                    <w:tr2bl w:val="nil"/>
                  </w:tcBorders>
                  <w:shd w:val="clear" w:color="auto" w:fill="auto"/>
                  <w:vAlign w:val="center"/>
                </w:tcPr>
                <w:p w14:paraId="3963223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上料、筛分</w:t>
                  </w:r>
                </w:p>
              </w:tc>
              <w:tc>
                <w:tcPr>
                  <w:tcW w:w="551" w:type="dxa"/>
                  <w:vMerge w:val="continue"/>
                  <w:tcBorders>
                    <w:tl2br w:val="nil"/>
                    <w:tr2bl w:val="nil"/>
                  </w:tcBorders>
                  <w:shd w:val="clear" w:color="auto" w:fill="auto"/>
                  <w:vAlign w:val="center"/>
                </w:tcPr>
                <w:p w14:paraId="7B36B68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20" w:type="dxa"/>
                  <w:vMerge w:val="continue"/>
                  <w:tcBorders>
                    <w:tl2br w:val="nil"/>
                    <w:tr2bl w:val="nil"/>
                  </w:tcBorders>
                  <w:shd w:val="clear" w:color="auto" w:fill="auto"/>
                  <w:vAlign w:val="center"/>
                </w:tcPr>
                <w:p w14:paraId="08CE55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1005" w:type="dxa"/>
                  <w:vMerge w:val="continue"/>
                  <w:tcBorders>
                    <w:tl2br w:val="nil"/>
                    <w:tr2bl w:val="nil"/>
                  </w:tcBorders>
                  <w:shd w:val="clear" w:color="auto" w:fill="auto"/>
                  <w:vAlign w:val="center"/>
                </w:tcPr>
                <w:p w14:paraId="32542C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480" w:type="dxa"/>
                  <w:vMerge w:val="continue"/>
                  <w:tcBorders>
                    <w:tl2br w:val="nil"/>
                    <w:tr2bl w:val="nil"/>
                  </w:tcBorders>
                  <w:shd w:val="clear" w:color="auto" w:fill="auto"/>
                  <w:vAlign w:val="center"/>
                </w:tcPr>
                <w:p w14:paraId="4EFFA4B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2271" w:type="dxa"/>
                  <w:tcBorders>
                    <w:tl2br w:val="nil"/>
                    <w:tr2bl w:val="nil"/>
                  </w:tcBorders>
                  <w:shd w:val="clear" w:color="auto" w:fill="auto"/>
                  <w:vAlign w:val="center"/>
                </w:tcPr>
                <w:p w14:paraId="1972F31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auto"/>
                      <w:kern w:val="0"/>
                      <w:sz w:val="18"/>
                      <w:szCs w:val="18"/>
                      <w:highlight w:val="none"/>
                      <w:u w:val="none"/>
                      <w:lang w:val="en-US" w:eastAsia="zh-CN" w:bidi="ar"/>
                    </w:rPr>
                  </w:pPr>
                  <w:r>
                    <w:rPr>
                      <w:rFonts w:hint="eastAsia" w:cs="Times New Roman"/>
                      <w:b w:val="0"/>
                      <w:bCs w:val="0"/>
                      <w:snapToGrid w:val="0"/>
                      <w:color w:val="auto"/>
                      <w:kern w:val="0"/>
                      <w:sz w:val="18"/>
                      <w:szCs w:val="18"/>
                      <w:highlight w:val="none"/>
                      <w:vertAlign w:val="baseline"/>
                      <w:lang w:val="en-US" w:eastAsia="zh-CN" w:bidi="ar-SA"/>
                    </w:rPr>
                    <w:t>本次配套建设全密闭筛分间，物料上料转运、筛分分级等产污工序均置于密闭空间内实施，在筛分间顶部开设集气引风口</w:t>
                  </w:r>
                </w:p>
              </w:tc>
              <w:tc>
                <w:tcPr>
                  <w:tcW w:w="658" w:type="dxa"/>
                  <w:vMerge w:val="continue"/>
                  <w:tcBorders>
                    <w:tl2br w:val="nil"/>
                    <w:tr2bl w:val="nil"/>
                  </w:tcBorders>
                  <w:shd w:val="clear" w:color="auto" w:fill="auto"/>
                  <w:vAlign w:val="center"/>
                </w:tcPr>
                <w:p w14:paraId="439BC6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2977109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5B37C97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1034" w:type="dxa"/>
                  <w:vMerge w:val="continue"/>
                  <w:tcBorders>
                    <w:tl2br w:val="nil"/>
                    <w:tr2bl w:val="nil"/>
                  </w:tcBorders>
                  <w:shd w:val="clear" w:color="auto" w:fill="auto"/>
                  <w:vAlign w:val="center"/>
                </w:tcPr>
                <w:p w14:paraId="4CFBFDE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825" w:type="dxa"/>
                  <w:vMerge w:val="continue"/>
                  <w:tcBorders>
                    <w:tl2br w:val="nil"/>
                    <w:tr2bl w:val="nil"/>
                  </w:tcBorders>
                  <w:shd w:val="clear" w:color="auto" w:fill="auto"/>
                  <w:vAlign w:val="center"/>
                </w:tcPr>
                <w:p w14:paraId="1EE670F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81" w:type="dxa"/>
                  <w:vMerge w:val="continue"/>
                  <w:tcBorders>
                    <w:tl2br w:val="nil"/>
                    <w:tr2bl w:val="nil"/>
                  </w:tcBorders>
                  <w:shd w:val="clear" w:color="auto" w:fill="auto"/>
                  <w:vAlign w:val="center"/>
                </w:tcPr>
                <w:p w14:paraId="3DACE3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51" w:type="dxa"/>
                  <w:vMerge w:val="continue"/>
                  <w:tcBorders>
                    <w:tl2br w:val="nil"/>
                    <w:tr2bl w:val="nil"/>
                  </w:tcBorders>
                  <w:shd w:val="clear" w:color="auto" w:fill="auto"/>
                  <w:vAlign w:val="center"/>
                </w:tcPr>
                <w:p w14:paraId="7A06CD2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auto"/>
                      <w:kern w:val="0"/>
                      <w:sz w:val="18"/>
                      <w:szCs w:val="18"/>
                      <w:highlight w:val="none"/>
                      <w:u w:val="none"/>
                      <w:lang w:val="en-US" w:eastAsia="zh-CN" w:bidi="ar"/>
                    </w:rPr>
                  </w:pPr>
                </w:p>
              </w:tc>
            </w:tr>
            <w:tr w14:paraId="722684C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33" w:hRule="atLeast"/>
                <w:jc w:val="center"/>
              </w:trPr>
              <w:tc>
                <w:tcPr>
                  <w:tcW w:w="466" w:type="dxa"/>
                  <w:vMerge w:val="continue"/>
                  <w:tcBorders>
                    <w:tl2br w:val="nil"/>
                    <w:tr2bl w:val="nil"/>
                  </w:tcBorders>
                  <w:shd w:val="clear" w:color="auto" w:fill="auto"/>
                  <w:vAlign w:val="center"/>
                </w:tcPr>
                <w:p w14:paraId="61D206D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462" w:type="dxa"/>
                  <w:vMerge w:val="continue"/>
                  <w:tcBorders>
                    <w:tl2br w:val="nil"/>
                    <w:tr2bl w:val="nil"/>
                  </w:tcBorders>
                  <w:shd w:val="clear" w:color="auto" w:fill="auto"/>
                  <w:vAlign w:val="center"/>
                </w:tcPr>
                <w:p w14:paraId="6AB7195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759" w:type="dxa"/>
                  <w:vMerge w:val="continue"/>
                  <w:tcBorders>
                    <w:tl2br w:val="nil"/>
                    <w:tr2bl w:val="nil"/>
                  </w:tcBorders>
                  <w:shd w:val="clear" w:color="auto" w:fill="auto"/>
                  <w:vAlign w:val="center"/>
                </w:tcPr>
                <w:p w14:paraId="0255290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670" w:type="dxa"/>
                  <w:tcBorders>
                    <w:tl2br w:val="nil"/>
                    <w:tr2bl w:val="nil"/>
                  </w:tcBorders>
                  <w:shd w:val="clear" w:color="auto" w:fill="auto"/>
                  <w:vAlign w:val="center"/>
                </w:tcPr>
                <w:p w14:paraId="340751B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eastAsia="zh-CN"/>
                    </w:rPr>
                    <w:t>落料</w:t>
                  </w:r>
                </w:p>
              </w:tc>
              <w:tc>
                <w:tcPr>
                  <w:tcW w:w="551" w:type="dxa"/>
                  <w:vMerge w:val="continue"/>
                  <w:tcBorders>
                    <w:tl2br w:val="nil"/>
                    <w:tr2bl w:val="nil"/>
                  </w:tcBorders>
                  <w:shd w:val="clear" w:color="auto" w:fill="auto"/>
                  <w:vAlign w:val="center"/>
                </w:tcPr>
                <w:p w14:paraId="1915FE7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20" w:type="dxa"/>
                  <w:vMerge w:val="continue"/>
                  <w:tcBorders>
                    <w:tl2br w:val="nil"/>
                    <w:tr2bl w:val="nil"/>
                  </w:tcBorders>
                  <w:shd w:val="clear" w:color="auto" w:fill="auto"/>
                  <w:vAlign w:val="center"/>
                </w:tcPr>
                <w:p w14:paraId="546238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1005" w:type="dxa"/>
                  <w:vMerge w:val="continue"/>
                  <w:tcBorders>
                    <w:tl2br w:val="nil"/>
                    <w:tr2bl w:val="nil"/>
                  </w:tcBorders>
                  <w:shd w:val="clear" w:color="auto" w:fill="auto"/>
                  <w:vAlign w:val="center"/>
                </w:tcPr>
                <w:p w14:paraId="3F315F1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480" w:type="dxa"/>
                  <w:vMerge w:val="continue"/>
                  <w:tcBorders>
                    <w:tl2br w:val="nil"/>
                    <w:tr2bl w:val="nil"/>
                  </w:tcBorders>
                  <w:shd w:val="clear" w:color="auto" w:fill="auto"/>
                  <w:vAlign w:val="center"/>
                </w:tcPr>
                <w:p w14:paraId="5C8B5BA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2271" w:type="dxa"/>
                  <w:tcBorders>
                    <w:tl2br w:val="nil"/>
                    <w:tr2bl w:val="nil"/>
                  </w:tcBorders>
                  <w:shd w:val="clear" w:color="auto" w:fill="auto"/>
                  <w:vAlign w:val="center"/>
                </w:tcPr>
                <w:p w14:paraId="34B0D13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auto"/>
                      <w:kern w:val="0"/>
                      <w:sz w:val="18"/>
                      <w:szCs w:val="18"/>
                      <w:highlight w:val="none"/>
                      <w:u w:val="none"/>
                      <w:lang w:val="en-US" w:eastAsia="zh-CN" w:bidi="ar"/>
                    </w:rPr>
                  </w:pPr>
                  <w:r>
                    <w:rPr>
                      <w:rFonts w:hint="default" w:cs="Times New Roman"/>
                      <w:b w:val="0"/>
                      <w:bCs w:val="0"/>
                      <w:snapToGrid w:val="0"/>
                      <w:color w:val="auto"/>
                      <w:kern w:val="0"/>
                      <w:sz w:val="18"/>
                      <w:szCs w:val="18"/>
                      <w:highlight w:val="none"/>
                      <w:vertAlign w:val="baseline"/>
                      <w:lang w:val="en-US" w:eastAsia="zh-CN" w:bidi="ar-SA"/>
                    </w:rPr>
                    <w:t>在落料</w:t>
                  </w:r>
                  <w:r>
                    <w:rPr>
                      <w:rFonts w:hint="eastAsia" w:cs="Times New Roman"/>
                      <w:b w:val="0"/>
                      <w:bCs w:val="0"/>
                      <w:snapToGrid w:val="0"/>
                      <w:color w:val="auto"/>
                      <w:kern w:val="0"/>
                      <w:sz w:val="18"/>
                      <w:szCs w:val="18"/>
                      <w:highlight w:val="none"/>
                      <w:vertAlign w:val="baseline"/>
                      <w:lang w:val="en-US" w:eastAsia="zh-CN" w:bidi="ar-SA"/>
                    </w:rPr>
                    <w:t>点（2处）上方设置集气罩，并设置伞状喷雾抑尘装置（设置电伴热装置），喷雾抑尘装置范围应覆盖整个落料点</w:t>
                  </w:r>
                </w:p>
              </w:tc>
              <w:tc>
                <w:tcPr>
                  <w:tcW w:w="658" w:type="dxa"/>
                  <w:vMerge w:val="continue"/>
                  <w:tcBorders>
                    <w:tl2br w:val="nil"/>
                    <w:tr2bl w:val="nil"/>
                  </w:tcBorders>
                  <w:shd w:val="clear" w:color="auto" w:fill="auto"/>
                  <w:vAlign w:val="center"/>
                </w:tcPr>
                <w:p w14:paraId="5A5DDD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0" w:type="dxa"/>
                  <w:vMerge w:val="continue"/>
                  <w:tcBorders>
                    <w:tl2br w:val="nil"/>
                    <w:tr2bl w:val="nil"/>
                  </w:tcBorders>
                  <w:shd w:val="clear" w:color="auto" w:fill="auto"/>
                  <w:vAlign w:val="center"/>
                </w:tcPr>
                <w:p w14:paraId="6B88416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691" w:type="dxa"/>
                  <w:vMerge w:val="continue"/>
                  <w:tcBorders>
                    <w:tl2br w:val="nil"/>
                    <w:tr2bl w:val="nil"/>
                  </w:tcBorders>
                  <w:shd w:val="clear" w:color="auto" w:fill="auto"/>
                  <w:vAlign w:val="center"/>
                </w:tcPr>
                <w:p w14:paraId="3DA425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p>
              </w:tc>
              <w:tc>
                <w:tcPr>
                  <w:tcW w:w="1034" w:type="dxa"/>
                  <w:vMerge w:val="continue"/>
                  <w:tcBorders>
                    <w:tl2br w:val="nil"/>
                    <w:tr2bl w:val="nil"/>
                  </w:tcBorders>
                  <w:shd w:val="clear" w:color="auto" w:fill="auto"/>
                  <w:vAlign w:val="center"/>
                </w:tcPr>
                <w:p w14:paraId="0496B3F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p>
              </w:tc>
              <w:tc>
                <w:tcPr>
                  <w:tcW w:w="825" w:type="dxa"/>
                  <w:vMerge w:val="continue"/>
                  <w:tcBorders>
                    <w:tl2br w:val="nil"/>
                    <w:tr2bl w:val="nil"/>
                  </w:tcBorders>
                  <w:shd w:val="clear" w:color="auto" w:fill="auto"/>
                  <w:vAlign w:val="center"/>
                </w:tcPr>
                <w:p w14:paraId="31C6AA9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81" w:type="dxa"/>
                  <w:vMerge w:val="continue"/>
                  <w:tcBorders>
                    <w:tl2br w:val="nil"/>
                    <w:tr2bl w:val="nil"/>
                  </w:tcBorders>
                  <w:shd w:val="clear" w:color="auto" w:fill="auto"/>
                  <w:vAlign w:val="center"/>
                </w:tcPr>
                <w:p w14:paraId="33D84B7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651" w:type="dxa"/>
                  <w:vMerge w:val="continue"/>
                  <w:tcBorders>
                    <w:tl2br w:val="nil"/>
                    <w:tr2bl w:val="nil"/>
                  </w:tcBorders>
                  <w:shd w:val="clear" w:color="auto" w:fill="auto"/>
                  <w:vAlign w:val="center"/>
                </w:tcPr>
                <w:p w14:paraId="2C0E3C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auto"/>
                      <w:kern w:val="0"/>
                      <w:sz w:val="18"/>
                      <w:szCs w:val="18"/>
                      <w:highlight w:val="none"/>
                      <w:u w:val="none"/>
                      <w:lang w:val="en-US" w:eastAsia="zh-CN" w:bidi="ar"/>
                    </w:rPr>
                  </w:pPr>
                </w:p>
              </w:tc>
            </w:tr>
            <w:tr w14:paraId="45982A6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1013" w:hRule="atLeast"/>
                <w:jc w:val="center"/>
              </w:trPr>
              <w:tc>
                <w:tcPr>
                  <w:tcW w:w="466" w:type="dxa"/>
                  <w:vMerge w:val="continue"/>
                  <w:tcBorders>
                    <w:tl2br w:val="nil"/>
                    <w:tr2bl w:val="nil"/>
                  </w:tcBorders>
                  <w:shd w:val="clear" w:color="auto" w:fill="auto"/>
                  <w:vAlign w:val="center"/>
                </w:tcPr>
                <w:p w14:paraId="207D6EC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p>
              </w:tc>
              <w:tc>
                <w:tcPr>
                  <w:tcW w:w="462" w:type="dxa"/>
                  <w:tcBorders>
                    <w:tl2br w:val="nil"/>
                    <w:tr2bl w:val="nil"/>
                  </w:tcBorders>
                  <w:shd w:val="clear" w:color="auto" w:fill="auto"/>
                  <w:vAlign w:val="center"/>
                </w:tcPr>
                <w:p w14:paraId="1817CD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无组织</w:t>
                  </w:r>
                </w:p>
              </w:tc>
              <w:tc>
                <w:tcPr>
                  <w:tcW w:w="1429" w:type="dxa"/>
                  <w:gridSpan w:val="2"/>
                  <w:tcBorders>
                    <w:tl2br w:val="nil"/>
                    <w:tr2bl w:val="nil"/>
                  </w:tcBorders>
                  <w:shd w:val="clear" w:color="auto" w:fill="auto"/>
                  <w:vAlign w:val="center"/>
                </w:tcPr>
                <w:p w14:paraId="5283826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不合格原料矿石装卸、堆存过程产生的废气；合格矿石原料装卸、堆存过程产生的废气；土渣装卸、堆存过程产生的废气</w:t>
                  </w:r>
                  <w:r>
                    <w:rPr>
                      <w:rFonts w:hint="eastAsia" w:ascii="Times New Roman" w:hAnsi="Times New Roman" w:cs="Times New Roman"/>
                      <w:color w:val="auto"/>
                      <w:sz w:val="18"/>
                      <w:szCs w:val="18"/>
                      <w:highlight w:val="none"/>
                      <w:lang w:val="en-US" w:eastAsia="zh-CN"/>
                    </w:rPr>
                    <w:t>以及</w:t>
                  </w:r>
                  <w:r>
                    <w:rPr>
                      <w:rFonts w:hint="eastAsia" w:cs="Times New Roman"/>
                      <w:color w:val="auto"/>
                      <w:kern w:val="0"/>
                      <w:sz w:val="18"/>
                      <w:szCs w:val="18"/>
                      <w:highlight w:val="none"/>
                      <w:lang w:val="en-US" w:eastAsia="zh-CN"/>
                    </w:rPr>
                    <w:t>有组织未收集的废气</w:t>
                  </w:r>
                </w:p>
              </w:tc>
              <w:tc>
                <w:tcPr>
                  <w:tcW w:w="551" w:type="dxa"/>
                  <w:tcBorders>
                    <w:tl2br w:val="nil"/>
                    <w:tr2bl w:val="nil"/>
                  </w:tcBorders>
                  <w:shd w:val="clear" w:color="auto" w:fill="auto"/>
                  <w:vAlign w:val="center"/>
                </w:tcPr>
                <w:p w14:paraId="483223D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颗粒物</w:t>
                  </w:r>
                </w:p>
              </w:tc>
              <w:tc>
                <w:tcPr>
                  <w:tcW w:w="720" w:type="dxa"/>
                  <w:tcBorders>
                    <w:tl2br w:val="nil"/>
                    <w:tr2bl w:val="nil"/>
                  </w:tcBorders>
                  <w:shd w:val="clear" w:color="auto" w:fill="auto"/>
                  <w:vAlign w:val="center"/>
                </w:tcPr>
                <w:p w14:paraId="7992060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33.796</w:t>
                  </w:r>
                </w:p>
              </w:tc>
              <w:tc>
                <w:tcPr>
                  <w:tcW w:w="1005" w:type="dxa"/>
                  <w:tcBorders>
                    <w:tl2br w:val="nil"/>
                    <w:tr2bl w:val="nil"/>
                  </w:tcBorders>
                  <w:shd w:val="clear" w:color="auto" w:fill="auto"/>
                  <w:vAlign w:val="center"/>
                </w:tcPr>
                <w:p w14:paraId="5D36045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w:t>
                  </w:r>
                </w:p>
              </w:tc>
              <w:tc>
                <w:tcPr>
                  <w:tcW w:w="480" w:type="dxa"/>
                  <w:tcBorders>
                    <w:tl2br w:val="nil"/>
                    <w:tr2bl w:val="nil"/>
                  </w:tcBorders>
                  <w:shd w:val="clear" w:color="auto" w:fill="auto"/>
                  <w:vAlign w:val="center"/>
                </w:tcPr>
                <w:p w14:paraId="664FF2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w:t>
                  </w:r>
                </w:p>
              </w:tc>
              <w:tc>
                <w:tcPr>
                  <w:tcW w:w="2929" w:type="dxa"/>
                  <w:gridSpan w:val="2"/>
                  <w:tcBorders>
                    <w:tl2br w:val="nil"/>
                    <w:tr2bl w:val="nil"/>
                  </w:tcBorders>
                  <w:shd w:val="clear" w:color="auto" w:fill="auto"/>
                  <w:vAlign w:val="center"/>
                </w:tcPr>
                <w:p w14:paraId="4E0D8DF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⑴</w:t>
                  </w:r>
                  <w:r>
                    <w:rPr>
                      <w:rFonts w:hint="default" w:ascii="Times New Roman" w:hAnsi="Times New Roman" w:eastAsia="宋体" w:cs="Times New Roman"/>
                      <w:color w:val="auto"/>
                      <w:sz w:val="18"/>
                      <w:szCs w:val="18"/>
                      <w:highlight w:val="none"/>
                      <w:lang w:val="en-US" w:eastAsia="zh-CN"/>
                    </w:rPr>
                    <w:t>装卸过程在封闭的</w:t>
                  </w:r>
                  <w:r>
                    <w:rPr>
                      <w:rFonts w:hint="eastAsia" w:ascii="Times New Roman" w:hAnsi="Times New Roman" w:eastAsia="宋体" w:cs="Times New Roman"/>
                      <w:color w:val="auto"/>
                      <w:sz w:val="18"/>
                      <w:szCs w:val="18"/>
                      <w:highlight w:val="none"/>
                      <w:lang w:val="en-US" w:eastAsia="zh-CN"/>
                    </w:rPr>
                    <w:t>预处理</w:t>
                  </w:r>
                  <w:r>
                    <w:rPr>
                      <w:rFonts w:hint="default" w:ascii="Times New Roman" w:hAnsi="Times New Roman" w:eastAsia="宋体" w:cs="Times New Roman"/>
                      <w:color w:val="auto"/>
                      <w:sz w:val="18"/>
                      <w:szCs w:val="18"/>
                      <w:highlight w:val="none"/>
                      <w:lang w:val="en-US" w:eastAsia="zh-CN"/>
                    </w:rPr>
                    <w:t>车间内进行，</w:t>
                  </w:r>
                  <w:r>
                    <w:rPr>
                      <w:rFonts w:hint="eastAsia" w:ascii="Times New Roman" w:hAnsi="Times New Roman" w:eastAsia="宋体" w:cs="Times New Roman"/>
                      <w:color w:val="auto"/>
                      <w:sz w:val="18"/>
                      <w:szCs w:val="18"/>
                      <w:highlight w:val="none"/>
                      <w:lang w:val="en-US" w:eastAsia="zh-CN"/>
                    </w:rPr>
                    <w:t>预处理车间设置6台雾炮，保证不合格矿石原料、合格矿石原料、土渣装卸区域全部覆盖，可有效降低原料区扬尘污染；</w:t>
                  </w:r>
                </w:p>
                <w:p w14:paraId="43DC64E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⑵</w:t>
                  </w:r>
                </w:p>
                <w:p w14:paraId="1374943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车间安装自动感应门，物料输送系统全封闭，输送过程中无可视性物料；</w:t>
                  </w:r>
                </w:p>
                <w:p w14:paraId="4A9197A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⑶</w:t>
                  </w:r>
                  <w:r>
                    <w:rPr>
                      <w:rFonts w:hint="default" w:ascii="Times New Roman" w:hAnsi="Times New Roman" w:eastAsia="宋体" w:cs="Times New Roman"/>
                      <w:color w:val="auto"/>
                      <w:sz w:val="18"/>
                      <w:szCs w:val="18"/>
                      <w:highlight w:val="none"/>
                      <w:lang w:val="en-US" w:eastAsia="zh-CN"/>
                    </w:rPr>
                    <w:t>车间及厂区道路地面全部硬化，</w:t>
                  </w:r>
                  <w:r>
                    <w:rPr>
                      <w:rFonts w:hint="eastAsia" w:ascii="Times New Roman" w:hAnsi="Times New Roman" w:eastAsia="宋体" w:cs="Times New Roman"/>
                      <w:color w:val="auto"/>
                      <w:sz w:val="18"/>
                      <w:szCs w:val="18"/>
                      <w:highlight w:val="none"/>
                      <w:lang w:val="en-US" w:eastAsia="zh-CN"/>
                    </w:rPr>
                    <w:t>未硬化的区域应采取绿化措施；</w:t>
                  </w:r>
                </w:p>
                <w:p w14:paraId="65B7988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⑷</w:t>
                  </w:r>
                  <w:r>
                    <w:rPr>
                      <w:rFonts w:hint="default" w:ascii="Times New Roman" w:hAnsi="Times New Roman" w:eastAsia="宋体" w:cs="Times New Roman"/>
                      <w:color w:val="auto"/>
                      <w:sz w:val="18"/>
                      <w:szCs w:val="18"/>
                      <w:highlight w:val="none"/>
                      <w:lang w:val="en-US" w:eastAsia="zh-CN"/>
                    </w:rPr>
                    <w:t>运输车辆车斗采用苫布苫盖，</w:t>
                  </w:r>
                  <w:r>
                    <w:rPr>
                      <w:rFonts w:hint="eastAsia" w:ascii="Times New Roman" w:hAnsi="Times New Roman" w:eastAsia="宋体" w:cs="Times New Roman"/>
                      <w:color w:val="auto"/>
                      <w:sz w:val="18"/>
                      <w:szCs w:val="18"/>
                      <w:highlight w:val="none"/>
                      <w:lang w:val="en-US" w:eastAsia="zh-CN"/>
                    </w:rPr>
                    <w:t>运输车辆首先采用新能源车辆或达到国五及以上排放标准的重型载货车辆；厂内非移动道路机械全部达到国四及以上标准或使用纯电动机械。</w:t>
                  </w:r>
                </w:p>
                <w:p w14:paraId="6911914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color w:val="auto"/>
                      <w:sz w:val="18"/>
                      <w:szCs w:val="18"/>
                      <w:highlight w:val="none"/>
                      <w:lang w:val="en-US" w:eastAsia="zh-CN"/>
                    </w:rPr>
                    <w:t>⑸现有工程已设置车辆洗车平台，并配套建设沉淀池、清水池等废水处理设施。本项目新增车间运输车辆清洗作业依托现有洗车平台统一实施。</w:t>
                  </w:r>
                </w:p>
              </w:tc>
              <w:tc>
                <w:tcPr>
                  <w:tcW w:w="690" w:type="dxa"/>
                  <w:tcBorders>
                    <w:tl2br w:val="nil"/>
                    <w:tr2bl w:val="nil"/>
                  </w:tcBorders>
                  <w:shd w:val="clear" w:color="auto" w:fill="auto"/>
                  <w:vAlign w:val="center"/>
                </w:tcPr>
                <w:p w14:paraId="074609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＞90%</w:t>
                  </w:r>
                </w:p>
              </w:tc>
              <w:tc>
                <w:tcPr>
                  <w:tcW w:w="691" w:type="dxa"/>
                  <w:tcBorders>
                    <w:tl2br w:val="nil"/>
                    <w:tr2bl w:val="nil"/>
                  </w:tcBorders>
                  <w:shd w:val="clear" w:color="auto" w:fill="auto"/>
                  <w:vAlign w:val="center"/>
                </w:tcPr>
                <w:p w14:paraId="010AC6F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是</w:t>
                  </w:r>
                </w:p>
              </w:tc>
              <w:tc>
                <w:tcPr>
                  <w:tcW w:w="1034" w:type="dxa"/>
                  <w:tcBorders>
                    <w:tl2br w:val="nil"/>
                    <w:tr2bl w:val="nil"/>
                  </w:tcBorders>
                  <w:shd w:val="clear" w:color="auto" w:fill="auto"/>
                  <w:vAlign w:val="center"/>
                </w:tcPr>
                <w:p w14:paraId="67A7B7C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w:t>
                  </w:r>
                </w:p>
              </w:tc>
              <w:tc>
                <w:tcPr>
                  <w:tcW w:w="825" w:type="dxa"/>
                  <w:tcBorders>
                    <w:tl2br w:val="nil"/>
                    <w:tr2bl w:val="nil"/>
                  </w:tcBorders>
                  <w:shd w:val="clear" w:color="auto" w:fill="auto"/>
                  <w:vAlign w:val="center"/>
                </w:tcPr>
                <w:p w14:paraId="35C156C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0.261</w:t>
                  </w:r>
                </w:p>
              </w:tc>
              <w:tc>
                <w:tcPr>
                  <w:tcW w:w="681" w:type="dxa"/>
                  <w:tcBorders>
                    <w:tl2br w:val="nil"/>
                    <w:tr2bl w:val="nil"/>
                  </w:tcBorders>
                  <w:shd w:val="clear" w:color="auto" w:fill="auto"/>
                  <w:vAlign w:val="center"/>
                </w:tcPr>
                <w:p w14:paraId="09348E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0.629</w:t>
                  </w:r>
                </w:p>
              </w:tc>
              <w:tc>
                <w:tcPr>
                  <w:tcW w:w="651" w:type="dxa"/>
                  <w:tcBorders>
                    <w:tl2br w:val="nil"/>
                    <w:tr2bl w:val="nil"/>
                  </w:tcBorders>
                  <w:shd w:val="clear" w:color="auto" w:fill="auto"/>
                  <w:vAlign w:val="center"/>
                </w:tcPr>
                <w:p w14:paraId="6EAC3E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w:t>
                  </w:r>
                </w:p>
              </w:tc>
            </w:tr>
          </w:tbl>
          <w:p w14:paraId="3CA5CA7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废气排放口基本情况一览表</w:t>
            </w:r>
          </w:p>
          <w:tbl>
            <w:tblPr>
              <w:tblStyle w:val="33"/>
              <w:tblW w:w="4882"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620"/>
              <w:gridCol w:w="2059"/>
              <w:gridCol w:w="1159"/>
              <w:gridCol w:w="1519"/>
              <w:gridCol w:w="1467"/>
              <w:gridCol w:w="1033"/>
              <w:gridCol w:w="1119"/>
              <w:gridCol w:w="1204"/>
              <w:gridCol w:w="1453"/>
            </w:tblGrid>
            <w:tr w14:paraId="7163300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98" w:hRule="atLeast"/>
                <w:jc w:val="center"/>
              </w:trPr>
              <w:tc>
                <w:tcPr>
                  <w:tcW w:w="641" w:type="pct"/>
                  <w:vMerge w:val="restart"/>
                  <w:tcBorders>
                    <w:tl2br w:val="nil"/>
                    <w:tr2bl w:val="nil"/>
                  </w:tcBorders>
                  <w:noWrap w:val="0"/>
                  <w:vAlign w:val="center"/>
                </w:tcPr>
                <w:p w14:paraId="3B183BD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排放口编号</w:t>
                  </w:r>
                </w:p>
              </w:tc>
              <w:tc>
                <w:tcPr>
                  <w:tcW w:w="814" w:type="pct"/>
                  <w:vMerge w:val="restart"/>
                  <w:tcBorders>
                    <w:tl2br w:val="nil"/>
                    <w:tr2bl w:val="nil"/>
                  </w:tcBorders>
                  <w:noWrap w:val="0"/>
                  <w:vAlign w:val="center"/>
                </w:tcPr>
                <w:p w14:paraId="3619D1B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排放口名称</w:t>
                  </w:r>
                </w:p>
              </w:tc>
              <w:tc>
                <w:tcPr>
                  <w:tcW w:w="458" w:type="pct"/>
                  <w:vMerge w:val="restart"/>
                  <w:tcBorders>
                    <w:tl2br w:val="nil"/>
                    <w:tr2bl w:val="nil"/>
                  </w:tcBorders>
                  <w:noWrap w:val="0"/>
                  <w:vAlign w:val="center"/>
                </w:tcPr>
                <w:p w14:paraId="170694F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污染物种类</w:t>
                  </w:r>
                </w:p>
              </w:tc>
              <w:tc>
                <w:tcPr>
                  <w:tcW w:w="1181" w:type="pct"/>
                  <w:gridSpan w:val="2"/>
                  <w:tcBorders>
                    <w:tl2br w:val="nil"/>
                    <w:tr2bl w:val="nil"/>
                  </w:tcBorders>
                  <w:noWrap w:val="0"/>
                  <w:vAlign w:val="center"/>
                </w:tcPr>
                <w:p w14:paraId="4AAAAB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排放口地理坐标</w:t>
                  </w:r>
                </w:p>
              </w:tc>
              <w:tc>
                <w:tcPr>
                  <w:tcW w:w="408" w:type="pct"/>
                  <w:vMerge w:val="restart"/>
                  <w:tcBorders>
                    <w:tl2br w:val="nil"/>
                    <w:tr2bl w:val="nil"/>
                  </w:tcBorders>
                  <w:noWrap w:val="0"/>
                  <w:vAlign w:val="center"/>
                </w:tcPr>
                <w:p w14:paraId="26369E5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排气筒高度（m）</w:t>
                  </w:r>
                </w:p>
              </w:tc>
              <w:tc>
                <w:tcPr>
                  <w:tcW w:w="442" w:type="pct"/>
                  <w:vMerge w:val="restart"/>
                  <w:tcBorders>
                    <w:tl2br w:val="nil"/>
                    <w:tr2bl w:val="nil"/>
                  </w:tcBorders>
                  <w:noWrap w:val="0"/>
                  <w:vAlign w:val="center"/>
                </w:tcPr>
                <w:p w14:paraId="68EA7E9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排气筒内径（m）</w:t>
                  </w:r>
                </w:p>
              </w:tc>
              <w:tc>
                <w:tcPr>
                  <w:tcW w:w="476" w:type="pct"/>
                  <w:vMerge w:val="restart"/>
                  <w:tcBorders>
                    <w:tl2br w:val="nil"/>
                    <w:tr2bl w:val="nil"/>
                  </w:tcBorders>
                  <w:noWrap w:val="0"/>
                  <w:vAlign w:val="center"/>
                </w:tcPr>
                <w:p w14:paraId="7E67711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排气筒温度（℃）</w:t>
                  </w:r>
                </w:p>
              </w:tc>
              <w:tc>
                <w:tcPr>
                  <w:tcW w:w="575" w:type="pct"/>
                  <w:vMerge w:val="restart"/>
                  <w:tcBorders>
                    <w:tl2br w:val="nil"/>
                    <w:tr2bl w:val="nil"/>
                  </w:tcBorders>
                  <w:noWrap w:val="0"/>
                  <w:vAlign w:val="center"/>
                </w:tcPr>
                <w:p w14:paraId="5E16CF8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排放口类型</w:t>
                  </w:r>
                </w:p>
              </w:tc>
            </w:tr>
            <w:tr w14:paraId="293520B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0" w:hRule="atLeast"/>
                <w:jc w:val="center"/>
              </w:trPr>
              <w:tc>
                <w:tcPr>
                  <w:tcW w:w="641" w:type="pct"/>
                  <w:vMerge w:val="continue"/>
                  <w:tcBorders>
                    <w:tl2br w:val="nil"/>
                    <w:tr2bl w:val="nil"/>
                  </w:tcBorders>
                  <w:noWrap w:val="0"/>
                  <w:vAlign w:val="top"/>
                </w:tcPr>
                <w:p w14:paraId="047AE63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c>
                <w:tcPr>
                  <w:tcW w:w="814" w:type="pct"/>
                  <w:vMerge w:val="continue"/>
                  <w:tcBorders>
                    <w:tl2br w:val="nil"/>
                    <w:tr2bl w:val="nil"/>
                  </w:tcBorders>
                  <w:noWrap w:val="0"/>
                  <w:vAlign w:val="top"/>
                </w:tcPr>
                <w:p w14:paraId="59ACCDA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c>
                <w:tcPr>
                  <w:tcW w:w="458" w:type="pct"/>
                  <w:vMerge w:val="continue"/>
                  <w:tcBorders>
                    <w:tl2br w:val="nil"/>
                    <w:tr2bl w:val="nil"/>
                  </w:tcBorders>
                  <w:noWrap w:val="0"/>
                  <w:vAlign w:val="top"/>
                </w:tcPr>
                <w:p w14:paraId="23A226D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c>
                <w:tcPr>
                  <w:tcW w:w="601" w:type="pct"/>
                  <w:tcBorders>
                    <w:tl2br w:val="nil"/>
                    <w:tr2bl w:val="nil"/>
                  </w:tcBorders>
                  <w:noWrap w:val="0"/>
                  <w:vAlign w:val="center"/>
                </w:tcPr>
                <w:p w14:paraId="78BB46C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eastAsia" w:eastAsia="宋体"/>
                      <w:b w:val="0"/>
                      <w:bCs/>
                      <w:color w:val="auto"/>
                      <w:spacing w:val="0"/>
                      <w:sz w:val="21"/>
                      <w:szCs w:val="21"/>
                      <w:highlight w:val="none"/>
                      <w:lang w:val="en-US" w:eastAsia="zh-CN"/>
                    </w:rPr>
                  </w:pPr>
                  <w:r>
                    <w:rPr>
                      <w:rFonts w:hint="eastAsia"/>
                      <w:b w:val="0"/>
                      <w:bCs/>
                      <w:color w:val="auto"/>
                      <w:spacing w:val="0"/>
                      <w:sz w:val="21"/>
                      <w:szCs w:val="21"/>
                      <w:highlight w:val="none"/>
                      <w:lang w:val="en-US" w:eastAsia="zh-CN"/>
                    </w:rPr>
                    <w:t>经度</w:t>
                  </w:r>
                </w:p>
              </w:tc>
              <w:tc>
                <w:tcPr>
                  <w:tcW w:w="580" w:type="pct"/>
                  <w:tcBorders>
                    <w:tl2br w:val="nil"/>
                    <w:tr2bl w:val="nil"/>
                  </w:tcBorders>
                  <w:noWrap w:val="0"/>
                  <w:vAlign w:val="center"/>
                </w:tcPr>
                <w:p w14:paraId="5E4BA42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eastAsia" w:eastAsia="宋体"/>
                      <w:b w:val="0"/>
                      <w:bCs/>
                      <w:color w:val="auto"/>
                      <w:spacing w:val="0"/>
                      <w:sz w:val="21"/>
                      <w:szCs w:val="21"/>
                      <w:highlight w:val="none"/>
                      <w:lang w:val="en-US" w:eastAsia="zh-CN"/>
                    </w:rPr>
                  </w:pPr>
                  <w:r>
                    <w:rPr>
                      <w:rFonts w:hint="eastAsia"/>
                      <w:b w:val="0"/>
                      <w:bCs/>
                      <w:color w:val="auto"/>
                      <w:spacing w:val="0"/>
                      <w:sz w:val="21"/>
                      <w:szCs w:val="21"/>
                      <w:highlight w:val="none"/>
                      <w:lang w:val="en-US" w:eastAsia="zh-CN"/>
                    </w:rPr>
                    <w:t>纬度</w:t>
                  </w:r>
                </w:p>
              </w:tc>
              <w:tc>
                <w:tcPr>
                  <w:tcW w:w="408" w:type="pct"/>
                  <w:vMerge w:val="continue"/>
                  <w:tcBorders>
                    <w:tl2br w:val="nil"/>
                    <w:tr2bl w:val="nil"/>
                  </w:tcBorders>
                  <w:noWrap w:val="0"/>
                  <w:vAlign w:val="top"/>
                </w:tcPr>
                <w:p w14:paraId="7BADA8E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c>
                <w:tcPr>
                  <w:tcW w:w="442" w:type="pct"/>
                  <w:vMerge w:val="continue"/>
                  <w:tcBorders>
                    <w:tl2br w:val="nil"/>
                    <w:tr2bl w:val="nil"/>
                  </w:tcBorders>
                  <w:noWrap w:val="0"/>
                  <w:vAlign w:val="top"/>
                </w:tcPr>
                <w:p w14:paraId="7225C97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c>
                <w:tcPr>
                  <w:tcW w:w="476" w:type="pct"/>
                  <w:vMerge w:val="continue"/>
                  <w:tcBorders>
                    <w:tl2br w:val="nil"/>
                    <w:tr2bl w:val="nil"/>
                  </w:tcBorders>
                  <w:noWrap w:val="0"/>
                  <w:vAlign w:val="top"/>
                </w:tcPr>
                <w:p w14:paraId="2EC29BF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c>
                <w:tcPr>
                  <w:tcW w:w="575" w:type="pct"/>
                  <w:vMerge w:val="continue"/>
                  <w:tcBorders>
                    <w:tl2br w:val="nil"/>
                    <w:tr2bl w:val="nil"/>
                  </w:tcBorders>
                  <w:noWrap w:val="0"/>
                  <w:vAlign w:val="top"/>
                </w:tcPr>
                <w:p w14:paraId="63CAF16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auto"/>
                      <w:spacing w:val="0"/>
                      <w:sz w:val="21"/>
                      <w:szCs w:val="21"/>
                      <w:highlight w:val="none"/>
                    </w:rPr>
                  </w:pPr>
                </w:p>
              </w:tc>
            </w:tr>
            <w:tr w14:paraId="000E79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50" w:hRule="atLeast"/>
                <w:jc w:val="center"/>
              </w:trPr>
              <w:tc>
                <w:tcPr>
                  <w:tcW w:w="641" w:type="pct"/>
                  <w:tcBorders>
                    <w:tl2br w:val="nil"/>
                    <w:tr2bl w:val="nil"/>
                  </w:tcBorders>
                  <w:noWrap w:val="0"/>
                  <w:vAlign w:val="center"/>
                </w:tcPr>
                <w:p w14:paraId="7B8B458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DA002</w:t>
                  </w:r>
                </w:p>
              </w:tc>
              <w:tc>
                <w:tcPr>
                  <w:tcW w:w="814" w:type="pct"/>
                  <w:tcBorders>
                    <w:tl2br w:val="nil"/>
                    <w:tr2bl w:val="nil"/>
                  </w:tcBorders>
                  <w:noWrap w:val="0"/>
                  <w:vAlign w:val="center"/>
                </w:tcPr>
                <w:p w14:paraId="46255E3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b w:val="0"/>
                      <w:bCs/>
                      <w:color w:val="auto"/>
                      <w:spacing w:val="0"/>
                      <w:sz w:val="21"/>
                      <w:szCs w:val="21"/>
                      <w:highlight w:val="none"/>
                      <w:vertAlign w:val="baseline"/>
                      <w:lang w:val="en-US" w:eastAsia="zh-CN"/>
                    </w:rPr>
                  </w:pPr>
                  <w:r>
                    <w:rPr>
                      <w:rFonts w:hint="eastAsia" w:ascii="Times New Roman" w:hAnsi="Times New Roman" w:cs="Times New Roman"/>
                      <w:b w:val="0"/>
                      <w:bCs/>
                      <w:color w:val="auto"/>
                      <w:spacing w:val="0"/>
                      <w:sz w:val="21"/>
                      <w:szCs w:val="21"/>
                      <w:highlight w:val="none"/>
                      <w:vertAlign w:val="baseline"/>
                      <w:lang w:val="en-US" w:eastAsia="zh-CN"/>
                    </w:rPr>
                    <w:t>破碎、筛分</w:t>
                  </w:r>
                  <w:r>
                    <w:rPr>
                      <w:rFonts w:hint="eastAsia" w:ascii="Times New Roman" w:hAnsi="Times New Roman" w:eastAsia="宋体" w:cs="Times New Roman"/>
                      <w:b w:val="0"/>
                      <w:bCs/>
                      <w:color w:val="auto"/>
                      <w:spacing w:val="0"/>
                      <w:sz w:val="21"/>
                      <w:szCs w:val="21"/>
                      <w:highlight w:val="none"/>
                      <w:vertAlign w:val="baseline"/>
                      <w:lang w:val="en-US" w:eastAsia="zh-CN"/>
                    </w:rPr>
                    <w:t>排放口</w:t>
                  </w:r>
                </w:p>
              </w:tc>
              <w:tc>
                <w:tcPr>
                  <w:tcW w:w="458" w:type="pct"/>
                  <w:tcBorders>
                    <w:tl2br w:val="nil"/>
                    <w:tr2bl w:val="nil"/>
                  </w:tcBorders>
                  <w:noWrap w:val="0"/>
                  <w:vAlign w:val="center"/>
                </w:tcPr>
                <w:p w14:paraId="5A79591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b w:val="0"/>
                      <w:bCs/>
                      <w:color w:val="auto"/>
                      <w:spacing w:val="0"/>
                      <w:sz w:val="21"/>
                      <w:szCs w:val="21"/>
                      <w:highlight w:val="none"/>
                      <w:vertAlign w:val="baseline"/>
                      <w:lang w:val="en-US" w:eastAsia="zh-CN"/>
                    </w:rPr>
                  </w:pPr>
                  <w:r>
                    <w:rPr>
                      <w:rFonts w:hint="eastAsia" w:ascii="Times New Roman" w:hAnsi="Times New Roman" w:eastAsia="宋体" w:cs="Times New Roman"/>
                      <w:b w:val="0"/>
                      <w:bCs/>
                      <w:color w:val="auto"/>
                      <w:spacing w:val="0"/>
                      <w:sz w:val="21"/>
                      <w:szCs w:val="21"/>
                      <w:highlight w:val="none"/>
                      <w:vertAlign w:val="baseline"/>
                      <w:lang w:val="en-US" w:eastAsia="zh-CN"/>
                    </w:rPr>
                    <w:t>颗粒物</w:t>
                  </w:r>
                </w:p>
              </w:tc>
              <w:tc>
                <w:tcPr>
                  <w:tcW w:w="601" w:type="pct"/>
                  <w:tcBorders>
                    <w:tl2br w:val="nil"/>
                    <w:tr2bl w:val="nil"/>
                  </w:tcBorders>
                  <w:noWrap w:val="0"/>
                  <w:vAlign w:val="center"/>
                </w:tcPr>
                <w:p w14:paraId="3689679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b w:val="0"/>
                      <w:bCs/>
                      <w:color w:val="auto"/>
                      <w:spacing w:val="0"/>
                      <w:sz w:val="21"/>
                      <w:szCs w:val="21"/>
                      <w:highlight w:val="none"/>
                      <w:vertAlign w:val="baseline"/>
                      <w:lang w:val="en-US" w:eastAsia="zh-CN"/>
                    </w:rPr>
                  </w:pPr>
                  <w:r>
                    <w:rPr>
                      <w:rFonts w:hint="eastAsia" w:cs="Times New Roman"/>
                      <w:b w:val="0"/>
                      <w:bCs/>
                      <w:color w:val="auto"/>
                      <w:spacing w:val="0"/>
                      <w:sz w:val="21"/>
                      <w:szCs w:val="21"/>
                      <w:highlight w:val="none"/>
                      <w:vertAlign w:val="baseline"/>
                      <w:lang w:val="en-US" w:eastAsia="zh-CN"/>
                    </w:rPr>
                    <w:t>118.583785°</w:t>
                  </w:r>
                </w:p>
              </w:tc>
              <w:tc>
                <w:tcPr>
                  <w:tcW w:w="580" w:type="pct"/>
                  <w:tcBorders>
                    <w:tl2br w:val="nil"/>
                    <w:tr2bl w:val="nil"/>
                  </w:tcBorders>
                  <w:noWrap w:val="0"/>
                  <w:vAlign w:val="center"/>
                </w:tcPr>
                <w:p w14:paraId="3EC19A2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default" w:eastAsia="宋体"/>
                      <w:b w:val="0"/>
                      <w:bCs/>
                      <w:color w:val="auto"/>
                      <w:spacing w:val="0"/>
                      <w:sz w:val="21"/>
                      <w:szCs w:val="21"/>
                      <w:highlight w:val="none"/>
                      <w:vertAlign w:val="baseline"/>
                      <w:lang w:val="en-US" w:eastAsia="zh-CN"/>
                    </w:rPr>
                    <w:t>39.763378°</w:t>
                  </w:r>
                </w:p>
              </w:tc>
              <w:tc>
                <w:tcPr>
                  <w:tcW w:w="408" w:type="pct"/>
                  <w:tcBorders>
                    <w:tl2br w:val="nil"/>
                    <w:tr2bl w:val="nil"/>
                  </w:tcBorders>
                  <w:noWrap w:val="0"/>
                  <w:vAlign w:val="center"/>
                </w:tcPr>
                <w:p w14:paraId="6C4E99E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15</w:t>
                  </w:r>
                </w:p>
              </w:tc>
              <w:tc>
                <w:tcPr>
                  <w:tcW w:w="442" w:type="pct"/>
                  <w:tcBorders>
                    <w:tl2br w:val="nil"/>
                    <w:tr2bl w:val="nil"/>
                  </w:tcBorders>
                  <w:noWrap w:val="0"/>
                  <w:vAlign w:val="center"/>
                </w:tcPr>
                <w:p w14:paraId="36D7FF3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0.9</w:t>
                  </w:r>
                </w:p>
              </w:tc>
              <w:tc>
                <w:tcPr>
                  <w:tcW w:w="476" w:type="pct"/>
                  <w:tcBorders>
                    <w:tl2br w:val="nil"/>
                    <w:tr2bl w:val="nil"/>
                  </w:tcBorders>
                  <w:noWrap w:val="0"/>
                  <w:vAlign w:val="center"/>
                </w:tcPr>
                <w:p w14:paraId="457D02F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常温</w:t>
                  </w:r>
                </w:p>
              </w:tc>
              <w:tc>
                <w:tcPr>
                  <w:tcW w:w="575" w:type="pct"/>
                  <w:tcBorders>
                    <w:tl2br w:val="nil"/>
                    <w:tr2bl w:val="nil"/>
                  </w:tcBorders>
                  <w:noWrap w:val="0"/>
                  <w:vAlign w:val="center"/>
                </w:tcPr>
                <w:p w14:paraId="3D834F8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auto"/>
                      <w:spacing w:val="0"/>
                      <w:sz w:val="21"/>
                      <w:szCs w:val="21"/>
                      <w:highlight w:val="none"/>
                      <w:vertAlign w:val="baseline"/>
                      <w:lang w:val="en-US" w:eastAsia="zh-CN"/>
                    </w:rPr>
                  </w:pPr>
                  <w:r>
                    <w:rPr>
                      <w:rFonts w:hint="eastAsia"/>
                      <w:b w:val="0"/>
                      <w:bCs/>
                      <w:color w:val="auto"/>
                      <w:spacing w:val="0"/>
                      <w:sz w:val="21"/>
                      <w:szCs w:val="21"/>
                      <w:highlight w:val="none"/>
                      <w:vertAlign w:val="baseline"/>
                      <w:lang w:val="en-US" w:eastAsia="zh-CN"/>
                    </w:rPr>
                    <w:t>一般排放口</w:t>
                  </w:r>
                </w:p>
              </w:tc>
            </w:tr>
          </w:tbl>
          <w:p w14:paraId="63F0339A">
            <w:pPr>
              <w:pStyle w:val="15"/>
              <w:shd w:val="clear"/>
              <w:ind w:left="0" w:leftChars="0" w:firstLine="0" w:firstLineChars="0"/>
              <w:rPr>
                <w:rFonts w:hint="default" w:ascii="Times New Roman" w:hAnsi="Times New Roman" w:cs="Times New Roman"/>
                <w:color w:val="auto"/>
                <w:highlight w:val="none"/>
                <w:vertAlign w:val="baseline"/>
              </w:rPr>
            </w:pPr>
          </w:p>
        </w:tc>
      </w:tr>
    </w:tbl>
    <w:p w14:paraId="26942A6E">
      <w:pPr>
        <w:pStyle w:val="15"/>
        <w:shd w:val="clear"/>
        <w:rPr>
          <w:rFonts w:hint="default" w:ascii="Times New Roman" w:hAnsi="Times New Roman" w:cs="Times New Roman"/>
          <w:color w:val="auto"/>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34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746"/>
        <w:gridCol w:w="8601"/>
      </w:tblGrid>
      <w:tr w14:paraId="6230525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13585" w:hRule="atLeast"/>
          <w:jc w:val="center"/>
        </w:trPr>
        <w:tc>
          <w:tcPr>
            <w:tcW w:w="746" w:type="dxa"/>
            <w:tcBorders>
              <w:tl2br w:val="nil"/>
              <w:tr2bl w:val="nil"/>
            </w:tcBorders>
            <w:shd w:val="clear" w:color="auto" w:fill="FFFFFF"/>
            <w:noWrap w:val="0"/>
            <w:tcMar>
              <w:left w:w="28" w:type="dxa"/>
              <w:right w:w="28" w:type="dxa"/>
            </w:tcMar>
            <w:vAlign w:val="center"/>
          </w:tcPr>
          <w:p w14:paraId="5A68A2EE">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highlight w:val="none"/>
              </w:rPr>
            </w:pPr>
          </w:p>
        </w:tc>
        <w:tc>
          <w:tcPr>
            <w:tcW w:w="8601" w:type="dxa"/>
            <w:tcBorders>
              <w:tl2br w:val="nil"/>
              <w:tr2bl w:val="nil"/>
            </w:tcBorders>
            <w:shd w:val="clear" w:color="auto" w:fill="FFFFFF"/>
            <w:noWrap w:val="0"/>
            <w:vAlign w:val="top"/>
          </w:tcPr>
          <w:p w14:paraId="20BDFB75">
            <w:pPr>
              <w:keepNext w:val="0"/>
              <w:keepLines w:val="0"/>
              <w:pageBreakBefore w:val="0"/>
              <w:widowControl w:val="0"/>
              <w:shd w:val="clear"/>
              <w:kinsoku/>
              <w:wordWrap/>
              <w:overflowPunct/>
              <w:topLinePunct w:val="0"/>
              <w:autoSpaceDE/>
              <w:autoSpaceDN/>
              <w:bidi w:val="0"/>
              <w:adjustRightInd w:val="0"/>
              <w:snapToGrid w:val="0"/>
              <w:spacing w:line="480" w:lineRule="exact"/>
              <w:ind w:firstLine="482" w:firstLineChars="200"/>
              <w:jc w:val="both"/>
              <w:textAlignment w:val="auto"/>
              <w:outlineLvl w:val="9"/>
              <w:rPr>
                <w:rFonts w:hint="default" w:ascii="Times New Roman" w:hAnsi="Times New Roman" w:cs="Times New Roman"/>
                <w:b w:val="0"/>
                <w:bCs w:val="0"/>
                <w:snapToGrid w:val="0"/>
                <w:color w:val="auto"/>
                <w:kern w:val="0"/>
                <w:sz w:val="24"/>
                <w:szCs w:val="24"/>
                <w:highlight w:val="none"/>
                <w:shd w:val="clear" w:color="auto" w:fill="auto"/>
                <w:lang w:val="en-US" w:eastAsia="zh-CN" w:bidi="ar-SA"/>
              </w:rPr>
            </w:pPr>
            <w:r>
              <w:rPr>
                <w:rFonts w:hint="default" w:ascii="Times New Roman" w:hAnsi="Times New Roman" w:cs="Times New Roman"/>
                <w:b/>
                <w:bCs/>
                <w:snapToGrid w:val="0"/>
                <w:color w:val="auto"/>
                <w:kern w:val="0"/>
                <w:sz w:val="24"/>
                <w:szCs w:val="24"/>
                <w:highlight w:val="none"/>
                <w:shd w:val="clear" w:color="auto" w:fill="auto"/>
                <w:lang w:val="en-US" w:eastAsia="zh-CN" w:bidi="ar-SA"/>
              </w:rPr>
              <w:t>1.1废气源强核算</w:t>
            </w:r>
          </w:p>
          <w:p w14:paraId="347B6A8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本项目废气污染源主要为不合格原料矿石装卸、堆存过程产生的废气；上料过程产生的废气；颚式破碎机物料破碎、落料过程产生的废气；圆锥破碎机物料上料、破碎、落料过程产生的废气；</w:t>
            </w:r>
            <w:r>
              <w:rPr>
                <w:rFonts w:hint="default" w:ascii="Times New Roman" w:hAnsi="Times New Roman" w:eastAsia="Segoe UI Symbol" w:cs="Times New Roman"/>
                <w:i w:val="0"/>
                <w:iCs w:val="0"/>
                <w:caps w:val="0"/>
                <w:color w:val="auto"/>
                <w:spacing w:val="0"/>
                <w:sz w:val="24"/>
                <w:szCs w:val="24"/>
              </w:rPr>
              <w:t>复式摇筛</w:t>
            </w:r>
            <w:r>
              <w:rPr>
                <w:rFonts w:hint="eastAsia" w:ascii="Times New Roman" w:hAnsi="Times New Roman" w:eastAsia="宋体" w:cs="Times New Roman"/>
                <w:i w:val="0"/>
                <w:iCs w:val="0"/>
                <w:caps w:val="0"/>
                <w:color w:val="auto"/>
                <w:spacing w:val="0"/>
                <w:sz w:val="24"/>
                <w:szCs w:val="24"/>
                <w:lang w:eastAsia="zh-CN"/>
              </w:rPr>
              <w:t>物料</w:t>
            </w:r>
            <w:r>
              <w:rPr>
                <w:rFonts w:hint="eastAsia" w:ascii="Times New Roman" w:hAnsi="Times New Roman" w:cs="Times New Roman"/>
                <w:color w:val="auto"/>
                <w:highlight w:val="none"/>
                <w:lang w:val="en-US" w:eastAsia="zh-CN"/>
              </w:rPr>
              <w:t>上料、筛分、落料过程产生的废气；合格矿石原料装卸、堆存过程产生的废气；土渣装卸、堆存过程产生的废气。</w:t>
            </w:r>
          </w:p>
          <w:p w14:paraId="27338FAA">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⑴</w:t>
            </w:r>
            <w:r>
              <w:rPr>
                <w:rFonts w:hint="eastAsia" w:ascii="Times New Roman" w:hAnsi="Times New Roman" w:cs="Times New Roman"/>
                <w:color w:val="auto"/>
                <w:highlight w:val="none"/>
                <w:lang w:val="en-US" w:eastAsia="zh-CN"/>
              </w:rPr>
              <w:t>有组织废气</w:t>
            </w:r>
          </w:p>
          <w:p w14:paraId="35D4F0A3">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highlight w:val="none"/>
                <w:lang w:val="en-US" w:eastAsia="zh-CN"/>
              </w:rPr>
              <w:t>上料过程产生的废气；颚式破碎机物料破碎、落料过程产生的废气；圆锥破碎机物料上料、破碎、落料过程产生的废气；</w:t>
            </w:r>
            <w:r>
              <w:rPr>
                <w:rFonts w:hint="default" w:ascii="Times New Roman" w:hAnsi="Times New Roman" w:eastAsia="Segoe UI Symbol" w:cs="Times New Roman"/>
                <w:i w:val="0"/>
                <w:iCs w:val="0"/>
                <w:caps w:val="0"/>
                <w:color w:val="auto"/>
                <w:spacing w:val="0"/>
                <w:sz w:val="24"/>
                <w:szCs w:val="24"/>
              </w:rPr>
              <w:t>复式摇筛</w:t>
            </w:r>
            <w:r>
              <w:rPr>
                <w:rFonts w:hint="eastAsia" w:ascii="Times New Roman" w:hAnsi="Times New Roman" w:eastAsia="宋体" w:cs="Times New Roman"/>
                <w:i w:val="0"/>
                <w:iCs w:val="0"/>
                <w:caps w:val="0"/>
                <w:color w:val="auto"/>
                <w:spacing w:val="0"/>
                <w:sz w:val="24"/>
                <w:szCs w:val="24"/>
                <w:lang w:eastAsia="zh-CN"/>
              </w:rPr>
              <w:t>物料</w:t>
            </w:r>
            <w:r>
              <w:rPr>
                <w:rFonts w:hint="eastAsia" w:ascii="Times New Roman" w:hAnsi="Times New Roman" w:cs="Times New Roman"/>
                <w:color w:val="auto"/>
                <w:highlight w:val="none"/>
                <w:lang w:val="en-US" w:eastAsia="zh-CN"/>
              </w:rPr>
              <w:t>上料、筛分、落料过程产生的废气（有组织排放的废气统称“破碎、筛分废气”）</w:t>
            </w:r>
            <w:r>
              <w:rPr>
                <w:rFonts w:hint="default" w:ascii="Times New Roman" w:hAnsi="Times New Roman" w:cs="Times New Roman"/>
                <w:color w:val="auto"/>
                <w:sz w:val="24"/>
                <w:szCs w:val="24"/>
                <w:highlight w:val="none"/>
                <w:lang w:val="en-US" w:eastAsia="zh-CN"/>
              </w:rPr>
              <w:t>经集气装置收集后，送</w:t>
            </w:r>
            <w:r>
              <w:rPr>
                <w:rFonts w:hint="default" w:ascii="Times New Roman" w:hAnsi="Times New Roman" w:cs="Times New Roman"/>
                <w:b w:val="0"/>
                <w:bCs w:val="0"/>
                <w:i w:val="0"/>
                <w:iCs w:val="0"/>
                <w:color w:val="auto"/>
                <w:sz w:val="24"/>
                <w:szCs w:val="24"/>
                <w:lang w:eastAsia="zh-CN"/>
              </w:rPr>
              <w:t>脉冲布袋除尘器</w:t>
            </w:r>
            <w:r>
              <w:rPr>
                <w:rFonts w:hint="default" w:ascii="Times New Roman" w:hAnsi="Times New Roman" w:cs="Times New Roman"/>
                <w:b w:val="0"/>
                <w:bCs w:val="0"/>
                <w:i w:val="0"/>
                <w:iCs w:val="0"/>
                <w:color w:val="auto"/>
                <w:sz w:val="24"/>
                <w:szCs w:val="24"/>
                <w:highlight w:val="none"/>
                <w:lang w:eastAsia="zh-CN"/>
              </w:rPr>
              <w:t>（</w:t>
            </w:r>
            <w:r>
              <w:rPr>
                <w:rFonts w:hint="eastAsia" w:ascii="Times New Roman" w:hAnsi="Times New Roman" w:cs="Times New Roman"/>
                <w:b w:val="0"/>
                <w:bCs w:val="0"/>
                <w:i w:val="0"/>
                <w:iCs w:val="0"/>
                <w:color w:val="auto"/>
                <w:sz w:val="24"/>
                <w:szCs w:val="24"/>
                <w:highlight w:val="none"/>
                <w:lang w:val="en-US" w:eastAsia="zh-CN"/>
              </w:rPr>
              <w:t>38000</w:t>
            </w:r>
            <w:r>
              <w:rPr>
                <w:rFonts w:hint="default" w:ascii="Times New Roman" w:hAnsi="Times New Roman" w:cs="Times New Roman"/>
                <w:b w:val="0"/>
                <w:bCs w:val="0"/>
                <w:i w:val="0"/>
                <w:iCs w:val="0"/>
                <w:color w:val="auto"/>
                <w:sz w:val="24"/>
                <w:szCs w:val="24"/>
                <w:highlight w:val="none"/>
                <w:lang w:val="en-US" w:eastAsia="zh-CN"/>
              </w:rPr>
              <w:t>m</w:t>
            </w:r>
            <w:r>
              <w:rPr>
                <w:rFonts w:hint="default" w:ascii="Times New Roman" w:hAnsi="Times New Roman" w:cs="Times New Roman"/>
                <w:b w:val="0"/>
                <w:bCs w:val="0"/>
                <w:i w:val="0"/>
                <w:iCs w:val="0"/>
                <w:color w:val="auto"/>
                <w:sz w:val="24"/>
                <w:szCs w:val="24"/>
                <w:highlight w:val="none"/>
                <w:vertAlign w:val="superscript"/>
                <w:lang w:val="en-US" w:eastAsia="zh-CN"/>
              </w:rPr>
              <w:t>3</w:t>
            </w:r>
            <w:r>
              <w:rPr>
                <w:rFonts w:hint="default" w:ascii="Times New Roman" w:hAnsi="Times New Roman" w:cs="Times New Roman"/>
                <w:b w:val="0"/>
                <w:bCs w:val="0"/>
                <w:i w:val="0"/>
                <w:iCs w:val="0"/>
                <w:color w:val="auto"/>
                <w:sz w:val="24"/>
                <w:szCs w:val="24"/>
                <w:highlight w:val="none"/>
                <w:lang w:val="en-US" w:eastAsia="zh-CN"/>
              </w:rPr>
              <w:t>/h</w:t>
            </w:r>
            <w:r>
              <w:rPr>
                <w:rFonts w:hint="default" w:ascii="Times New Roman" w:hAnsi="Times New Roman" w:cs="Times New Roman"/>
                <w:b w:val="0"/>
                <w:bCs w:val="0"/>
                <w:i w:val="0"/>
                <w:iCs w:val="0"/>
                <w:color w:val="auto"/>
                <w:sz w:val="24"/>
                <w:szCs w:val="24"/>
                <w:highlight w:val="none"/>
                <w:lang w:eastAsia="zh-CN"/>
              </w:rPr>
              <w:t>）</w:t>
            </w:r>
            <w:r>
              <w:rPr>
                <w:rFonts w:hint="default" w:ascii="Times New Roman" w:hAnsi="Times New Roman" w:cs="Times New Roman"/>
                <w:b w:val="0"/>
                <w:bCs w:val="0"/>
                <w:i w:val="0"/>
                <w:iCs w:val="0"/>
                <w:color w:val="auto"/>
                <w:sz w:val="24"/>
                <w:szCs w:val="24"/>
                <w:lang w:eastAsia="zh-CN"/>
              </w:rPr>
              <w:t>处理后经</w:t>
            </w:r>
            <w:r>
              <w:rPr>
                <w:rFonts w:hint="default" w:ascii="Times New Roman" w:hAnsi="Times New Roman" w:cs="Times New Roman"/>
                <w:b w:val="0"/>
                <w:bCs w:val="0"/>
                <w:i w:val="0"/>
                <w:iCs w:val="0"/>
                <w:color w:val="auto"/>
                <w:sz w:val="24"/>
                <w:szCs w:val="24"/>
                <w:lang w:val="en-US" w:eastAsia="zh-CN"/>
              </w:rPr>
              <w:t>15m高排气筒（DA002）外排。</w:t>
            </w:r>
          </w:p>
          <w:p w14:paraId="66D26134">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排放源统计调查产排污核算方法和系数手册》——303砖瓦、石材等建筑材料制造行业系数手册——3039其他建筑材料制造行业，破碎、筛分工序颗粒物产污系数为1.89千克/吨-产品，本项目不合格原料矿石9万吨，制备6万吨合格原料矿石，产品产量为6万吨，因此，本项目</w:t>
            </w:r>
            <w:r>
              <w:rPr>
                <w:rFonts w:hint="eastAsia" w:ascii="Times New Roman" w:hAnsi="Times New Roman" w:cs="Times New Roman"/>
                <w:color w:val="auto"/>
                <w:highlight w:val="none"/>
                <w:lang w:val="en-US" w:eastAsia="zh-CN"/>
              </w:rPr>
              <w:t>破碎、筛分废气产生量为113.4t/a。</w:t>
            </w:r>
          </w:p>
          <w:p w14:paraId="31F1195F">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项目有组织废气收集及</w:t>
            </w:r>
            <w:r>
              <w:rPr>
                <w:rFonts w:hint="eastAsia" w:ascii="Times New Roman" w:hAnsi="Times New Roman" w:cs="Times New Roman"/>
                <w:color w:val="auto"/>
                <w:sz w:val="24"/>
                <w:szCs w:val="24"/>
                <w:highlight w:val="none"/>
                <w:lang w:val="en-US" w:eastAsia="zh-CN"/>
              </w:rPr>
              <w:t>治理措施</w:t>
            </w:r>
            <w:r>
              <w:rPr>
                <w:rFonts w:hint="eastAsia" w:ascii="Times New Roman" w:hAnsi="Times New Roman" w:eastAsia="宋体" w:cs="Times New Roman"/>
                <w:color w:val="auto"/>
                <w:sz w:val="24"/>
                <w:szCs w:val="24"/>
                <w:highlight w:val="none"/>
                <w:lang w:val="en-US" w:eastAsia="zh-CN"/>
              </w:rPr>
              <w:t>如下表所示。</w:t>
            </w:r>
          </w:p>
          <w:p w14:paraId="1B655D3C">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2AFC5840">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51569ECF">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70AEAAA2">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2CEE6DBB">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0263AA1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4AB0862A">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634C657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734F7B5E">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6CF52C1C">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0416C40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7820C96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3276622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有组织废气</w:t>
            </w:r>
            <w:r>
              <w:rPr>
                <w:rFonts w:hint="eastAsia" w:cs="Times New Roman"/>
                <w:b/>
                <w:bCs/>
                <w:color w:val="auto"/>
                <w:spacing w:val="0"/>
                <w:sz w:val="21"/>
                <w:szCs w:val="21"/>
                <w:highlight w:val="none"/>
                <w:lang w:val="en-US" w:eastAsia="zh-CN"/>
              </w:rPr>
              <w:t>收集治理措施</w:t>
            </w:r>
            <w:r>
              <w:rPr>
                <w:rFonts w:hint="default" w:ascii="Times New Roman" w:hAnsi="Times New Roman" w:eastAsia="宋体" w:cs="Times New Roman"/>
                <w:b/>
                <w:bCs/>
                <w:color w:val="auto"/>
                <w:spacing w:val="0"/>
                <w:sz w:val="21"/>
                <w:szCs w:val="21"/>
                <w:highlight w:val="none"/>
                <w:lang w:val="en-US" w:eastAsia="zh-CN"/>
              </w:rPr>
              <w:t>一览表</w:t>
            </w:r>
          </w:p>
          <w:tbl>
            <w:tblPr>
              <w:tblStyle w:val="32"/>
              <w:tblW w:w="4954"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1045"/>
              <w:gridCol w:w="840"/>
              <w:gridCol w:w="736"/>
              <w:gridCol w:w="1125"/>
              <w:gridCol w:w="3520"/>
              <w:gridCol w:w="1013"/>
            </w:tblGrid>
            <w:tr w14:paraId="59C3BF5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72" w:hRule="atLeast"/>
                <w:jc w:val="center"/>
              </w:trPr>
              <w:tc>
                <w:tcPr>
                  <w:tcW w:w="1045" w:type="dxa"/>
                  <w:tcBorders>
                    <w:tl2br w:val="nil"/>
                    <w:tr2bl w:val="nil"/>
                  </w:tcBorders>
                  <w:noWrap w:val="0"/>
                  <w:vAlign w:val="center"/>
                </w:tcPr>
                <w:p w14:paraId="5FF94F8C">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污染类型</w:t>
                  </w:r>
                </w:p>
              </w:tc>
              <w:tc>
                <w:tcPr>
                  <w:tcW w:w="1576" w:type="dxa"/>
                  <w:gridSpan w:val="2"/>
                  <w:tcBorders>
                    <w:tl2br w:val="nil"/>
                    <w:tr2bl w:val="nil"/>
                  </w:tcBorders>
                  <w:noWrap w:val="0"/>
                  <w:vAlign w:val="center"/>
                </w:tcPr>
                <w:p w14:paraId="141D2002">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污染工序</w:t>
                  </w:r>
                </w:p>
              </w:tc>
              <w:tc>
                <w:tcPr>
                  <w:tcW w:w="1125" w:type="dxa"/>
                  <w:tcBorders>
                    <w:tl2br w:val="nil"/>
                    <w:tr2bl w:val="nil"/>
                  </w:tcBorders>
                  <w:noWrap w:val="0"/>
                  <w:vAlign w:val="center"/>
                </w:tcPr>
                <w:p w14:paraId="52BD8718">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主要污染物</w:t>
                  </w:r>
                </w:p>
              </w:tc>
              <w:tc>
                <w:tcPr>
                  <w:tcW w:w="4533" w:type="dxa"/>
                  <w:gridSpan w:val="2"/>
                  <w:tcBorders>
                    <w:tl2br w:val="nil"/>
                    <w:tr2bl w:val="nil"/>
                  </w:tcBorders>
                  <w:noWrap w:val="0"/>
                  <w:vAlign w:val="center"/>
                </w:tcPr>
                <w:p w14:paraId="15B0D9E1">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治理措施</w:t>
                  </w:r>
                </w:p>
              </w:tc>
            </w:tr>
            <w:tr w14:paraId="6623BE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72" w:hRule="atLeast"/>
                <w:jc w:val="center"/>
              </w:trPr>
              <w:tc>
                <w:tcPr>
                  <w:tcW w:w="1045" w:type="dxa"/>
                  <w:vMerge w:val="restart"/>
                  <w:tcBorders>
                    <w:tl2br w:val="nil"/>
                    <w:tr2bl w:val="nil"/>
                  </w:tcBorders>
                  <w:noWrap w:val="0"/>
                  <w:vAlign w:val="center"/>
                </w:tcPr>
                <w:p w14:paraId="7FADE993">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1576" w:type="dxa"/>
                  <w:gridSpan w:val="2"/>
                  <w:tcBorders>
                    <w:tl2br w:val="nil"/>
                    <w:tr2bl w:val="nil"/>
                  </w:tcBorders>
                  <w:noWrap w:val="0"/>
                  <w:vAlign w:val="center"/>
                </w:tcPr>
                <w:p w14:paraId="01FF593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eastAsia"/>
                      <w:color w:val="auto"/>
                      <w:sz w:val="21"/>
                      <w:szCs w:val="21"/>
                      <w:highlight w:val="none"/>
                      <w:lang w:eastAsia="zh-CN"/>
                    </w:rPr>
                    <w:t>不合格矿石原料上料过程</w:t>
                  </w:r>
                </w:p>
              </w:tc>
              <w:tc>
                <w:tcPr>
                  <w:tcW w:w="1125" w:type="dxa"/>
                  <w:tcBorders>
                    <w:tl2br w:val="nil"/>
                    <w:tr2bl w:val="nil"/>
                  </w:tcBorders>
                  <w:noWrap w:val="0"/>
                  <w:vAlign w:val="center"/>
                </w:tcPr>
                <w:p w14:paraId="2747879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eastAsia"/>
                      <w:color w:val="auto"/>
                      <w:sz w:val="21"/>
                      <w:szCs w:val="21"/>
                      <w:highlight w:val="none"/>
                      <w:lang w:eastAsia="zh-CN"/>
                    </w:rPr>
                    <w:t>颗粒物</w:t>
                  </w:r>
                </w:p>
              </w:tc>
              <w:tc>
                <w:tcPr>
                  <w:tcW w:w="3520" w:type="dxa"/>
                  <w:tcBorders>
                    <w:tl2br w:val="nil"/>
                    <w:tr2bl w:val="nil"/>
                  </w:tcBorders>
                  <w:noWrap w:val="0"/>
                  <w:vAlign w:val="center"/>
                </w:tcPr>
                <w:p w14:paraId="44D760F1">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cs="Times New Roman"/>
                      <w:b w:val="0"/>
                      <w:bCs w:val="0"/>
                      <w:snapToGrid w:val="0"/>
                      <w:color w:val="auto"/>
                      <w:kern w:val="0"/>
                      <w:sz w:val="21"/>
                      <w:szCs w:val="21"/>
                      <w:highlight w:val="none"/>
                      <w:vertAlign w:val="baseline"/>
                      <w:lang w:val="en-US" w:eastAsia="zh-CN" w:bidi="ar-SA"/>
                    </w:rPr>
                    <w:t>上料</w:t>
                  </w:r>
                  <w:r>
                    <w:rPr>
                      <w:rFonts w:hint="eastAsia" w:cs="Times New Roman"/>
                      <w:b w:val="0"/>
                      <w:bCs w:val="0"/>
                      <w:snapToGrid w:val="0"/>
                      <w:color w:val="auto"/>
                      <w:kern w:val="0"/>
                      <w:sz w:val="21"/>
                      <w:szCs w:val="21"/>
                      <w:highlight w:val="none"/>
                      <w:vertAlign w:val="baseline"/>
                      <w:lang w:val="en-US" w:eastAsia="zh-CN" w:bidi="ar-SA"/>
                    </w:rPr>
                    <w:t>仓</w:t>
                  </w:r>
                  <w:r>
                    <w:rPr>
                      <w:rFonts w:hint="default" w:cs="Times New Roman"/>
                      <w:b w:val="0"/>
                      <w:bCs w:val="0"/>
                      <w:snapToGrid w:val="0"/>
                      <w:color w:val="auto"/>
                      <w:kern w:val="0"/>
                      <w:sz w:val="21"/>
                      <w:szCs w:val="21"/>
                      <w:highlight w:val="none"/>
                      <w:vertAlign w:val="baseline"/>
                      <w:lang w:val="en-US" w:eastAsia="zh-CN" w:bidi="ar-SA"/>
                    </w:rPr>
                    <w:t>三面及顶部围挡，一面设置软帘，</w:t>
                  </w:r>
                  <w:r>
                    <w:rPr>
                      <w:rFonts w:hint="eastAsia" w:cs="Times New Roman"/>
                      <w:b w:val="0"/>
                      <w:bCs w:val="0"/>
                      <w:snapToGrid w:val="0"/>
                      <w:color w:val="auto"/>
                      <w:kern w:val="0"/>
                      <w:sz w:val="21"/>
                      <w:szCs w:val="21"/>
                      <w:highlight w:val="none"/>
                      <w:vertAlign w:val="baseline"/>
                      <w:lang w:val="en-US" w:eastAsia="zh-CN" w:bidi="ar-SA"/>
                    </w:rPr>
                    <w:t>顶部设置集气罩；设置伞状喷雾抑尘装置，喷雾抑尘装置范围应覆盖整个落料点（电伴热）</w:t>
                  </w:r>
                </w:p>
              </w:tc>
              <w:tc>
                <w:tcPr>
                  <w:tcW w:w="1013" w:type="dxa"/>
                  <w:vMerge w:val="restart"/>
                  <w:tcBorders>
                    <w:tl2br w:val="nil"/>
                    <w:tr2bl w:val="nil"/>
                  </w:tcBorders>
                  <w:noWrap w:val="0"/>
                  <w:vAlign w:val="center"/>
                </w:tcPr>
                <w:p w14:paraId="4BCA669F">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bCs/>
                      <w:snapToGrid w:val="0"/>
                      <w:color w:val="auto"/>
                      <w:kern w:val="24"/>
                      <w:sz w:val="21"/>
                      <w:szCs w:val="21"/>
                      <w:highlight w:val="none"/>
                      <w:lang w:val="en-US" w:eastAsia="zh-CN"/>
                    </w:rPr>
                    <w:t>1套</w:t>
                  </w:r>
                  <w:r>
                    <w:rPr>
                      <w:rFonts w:hint="default" w:ascii="Times New Roman" w:hAnsi="Times New Roman" w:cs="Times New Roman"/>
                      <w:bCs/>
                      <w:snapToGrid w:val="0"/>
                      <w:color w:val="auto"/>
                      <w:kern w:val="24"/>
                      <w:sz w:val="21"/>
                      <w:szCs w:val="21"/>
                      <w:highlight w:val="none"/>
                      <w:lang w:val="en-US" w:eastAsia="zh-CN"/>
                    </w:rPr>
                    <w:t>脉冲布袋除尘器</w:t>
                  </w:r>
                  <w:r>
                    <w:rPr>
                      <w:rFonts w:hint="eastAsia" w:ascii="Times New Roman" w:hAnsi="Times New Roman" w:eastAsia="宋体" w:cs="Times New Roman"/>
                      <w:color w:val="auto"/>
                      <w:sz w:val="21"/>
                      <w:szCs w:val="21"/>
                      <w:highlight w:val="none"/>
                      <w:lang w:val="en-US" w:eastAsia="zh-CN"/>
                    </w:rPr>
                    <w:t>+15</w:t>
                  </w:r>
                  <w:r>
                    <w:rPr>
                      <w:rFonts w:hint="eastAsia" w:cs="宋体"/>
                      <w:color w:val="auto"/>
                      <w:sz w:val="21"/>
                      <w:szCs w:val="21"/>
                      <w:highlight w:val="none"/>
                      <w:lang w:val="en-US" w:eastAsia="zh-CN"/>
                    </w:rPr>
                    <w:t>m</w:t>
                  </w:r>
                  <w:r>
                    <w:rPr>
                      <w:rFonts w:hint="eastAsia" w:ascii="Times New Roman" w:hAnsi="Times New Roman" w:eastAsia="宋体" w:cs="Times New Roman"/>
                      <w:color w:val="auto"/>
                      <w:sz w:val="21"/>
                      <w:szCs w:val="21"/>
                      <w:highlight w:val="none"/>
                      <w:lang w:val="en-US" w:eastAsia="zh-CN"/>
                    </w:rPr>
                    <w:t>排气筒（DA002），</w:t>
                  </w:r>
                  <w:r>
                    <w:rPr>
                      <w:rFonts w:hint="eastAsia" w:cs="宋体"/>
                      <w:color w:val="auto"/>
                      <w:sz w:val="21"/>
                      <w:szCs w:val="21"/>
                      <w:highlight w:val="none"/>
                      <w:lang w:eastAsia="zh-CN"/>
                    </w:rPr>
                    <w:t>风机风量</w:t>
                  </w:r>
                  <w:r>
                    <w:rPr>
                      <w:rFonts w:hint="eastAsia" w:cs="宋体"/>
                      <w:color w:val="auto"/>
                      <w:sz w:val="21"/>
                      <w:szCs w:val="21"/>
                      <w:highlight w:val="none"/>
                      <w:lang w:val="en-US" w:eastAsia="zh-CN"/>
                    </w:rPr>
                    <w:t>38000m</w:t>
                  </w:r>
                  <w:r>
                    <w:rPr>
                      <w:rFonts w:hint="eastAsia" w:cs="宋体"/>
                      <w:color w:val="auto"/>
                      <w:sz w:val="21"/>
                      <w:szCs w:val="21"/>
                      <w:highlight w:val="none"/>
                      <w:vertAlign w:val="superscript"/>
                      <w:lang w:val="en-US" w:eastAsia="zh-CN"/>
                    </w:rPr>
                    <w:t>3</w:t>
                  </w:r>
                  <w:r>
                    <w:rPr>
                      <w:rFonts w:hint="eastAsia" w:cs="宋体"/>
                      <w:color w:val="auto"/>
                      <w:sz w:val="21"/>
                      <w:szCs w:val="21"/>
                      <w:highlight w:val="none"/>
                      <w:lang w:val="en-US" w:eastAsia="zh-CN"/>
                    </w:rPr>
                    <w:t>/h</w:t>
                  </w:r>
                </w:p>
              </w:tc>
            </w:tr>
            <w:tr w14:paraId="45A6999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45922AD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p>
              </w:tc>
              <w:tc>
                <w:tcPr>
                  <w:tcW w:w="840" w:type="dxa"/>
                  <w:vMerge w:val="restart"/>
                  <w:tcBorders>
                    <w:tl2br w:val="nil"/>
                    <w:tr2bl w:val="nil"/>
                  </w:tcBorders>
                  <w:noWrap w:val="0"/>
                  <w:vAlign w:val="center"/>
                </w:tcPr>
                <w:p w14:paraId="062F4D5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eastAsia="zh-CN"/>
                    </w:rPr>
                    <w:t>颚式破碎机</w:t>
                  </w:r>
                </w:p>
              </w:tc>
              <w:tc>
                <w:tcPr>
                  <w:tcW w:w="736" w:type="dxa"/>
                  <w:tcBorders>
                    <w:tl2br w:val="nil"/>
                    <w:tr2bl w:val="nil"/>
                  </w:tcBorders>
                  <w:noWrap w:val="0"/>
                  <w:vAlign w:val="center"/>
                </w:tcPr>
                <w:p w14:paraId="78C07CC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破碎</w:t>
                  </w:r>
                </w:p>
              </w:tc>
              <w:tc>
                <w:tcPr>
                  <w:tcW w:w="1125" w:type="dxa"/>
                  <w:tcBorders>
                    <w:tl2br w:val="nil"/>
                    <w:tr2bl w:val="nil"/>
                  </w:tcBorders>
                  <w:noWrap w:val="0"/>
                  <w:vAlign w:val="center"/>
                </w:tcPr>
                <w:p w14:paraId="6F77B5F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颗粒物</w:t>
                  </w:r>
                </w:p>
              </w:tc>
              <w:tc>
                <w:tcPr>
                  <w:tcW w:w="3520" w:type="dxa"/>
                  <w:tcBorders>
                    <w:tl2br w:val="nil"/>
                    <w:tr2bl w:val="nil"/>
                  </w:tcBorders>
                  <w:noWrap w:val="0"/>
                  <w:vAlign w:val="center"/>
                </w:tcPr>
                <w:p w14:paraId="2EFEC17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上料仓与颚式破碎机入料口采用全封闭连接，并在衔接位置设置集气引风口</w:t>
                  </w:r>
                </w:p>
              </w:tc>
              <w:tc>
                <w:tcPr>
                  <w:tcW w:w="1013" w:type="dxa"/>
                  <w:vMerge w:val="continue"/>
                  <w:tcBorders>
                    <w:tl2br w:val="nil"/>
                    <w:tr2bl w:val="nil"/>
                  </w:tcBorders>
                  <w:noWrap w:val="0"/>
                  <w:vAlign w:val="center"/>
                </w:tcPr>
                <w:p w14:paraId="6BA3FECD">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lang w:val="en-US" w:eastAsia="zh-CN"/>
                    </w:rPr>
                  </w:pPr>
                </w:p>
              </w:tc>
            </w:tr>
            <w:tr w14:paraId="5E8CA48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5075EC68">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p>
              </w:tc>
              <w:tc>
                <w:tcPr>
                  <w:tcW w:w="840" w:type="dxa"/>
                  <w:vMerge w:val="continue"/>
                  <w:tcBorders>
                    <w:tl2br w:val="nil"/>
                    <w:tr2bl w:val="nil"/>
                  </w:tcBorders>
                  <w:noWrap w:val="0"/>
                  <w:vAlign w:val="center"/>
                </w:tcPr>
                <w:p w14:paraId="5FD5310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736" w:type="dxa"/>
                  <w:tcBorders>
                    <w:tl2br w:val="nil"/>
                    <w:tr2bl w:val="nil"/>
                  </w:tcBorders>
                  <w:noWrap w:val="0"/>
                  <w:vAlign w:val="center"/>
                </w:tcPr>
                <w:p w14:paraId="338978B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落料</w:t>
                  </w:r>
                </w:p>
              </w:tc>
              <w:tc>
                <w:tcPr>
                  <w:tcW w:w="1125" w:type="dxa"/>
                  <w:tcBorders>
                    <w:tl2br w:val="nil"/>
                    <w:tr2bl w:val="nil"/>
                  </w:tcBorders>
                  <w:noWrap w:val="0"/>
                  <w:vAlign w:val="center"/>
                </w:tcPr>
                <w:p w14:paraId="1808D40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颗粒物</w:t>
                  </w:r>
                </w:p>
              </w:tc>
              <w:tc>
                <w:tcPr>
                  <w:tcW w:w="3520" w:type="dxa"/>
                  <w:tcBorders>
                    <w:tl2br w:val="nil"/>
                    <w:tr2bl w:val="nil"/>
                  </w:tcBorders>
                  <w:noWrap w:val="0"/>
                  <w:vAlign w:val="center"/>
                </w:tcPr>
                <w:p w14:paraId="3B63344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物料落料处全封闭，落料点上方设置集气引风口</w:t>
                  </w:r>
                </w:p>
              </w:tc>
              <w:tc>
                <w:tcPr>
                  <w:tcW w:w="1013" w:type="dxa"/>
                  <w:vMerge w:val="continue"/>
                  <w:tcBorders>
                    <w:tl2br w:val="nil"/>
                    <w:tr2bl w:val="nil"/>
                  </w:tcBorders>
                  <w:noWrap w:val="0"/>
                  <w:vAlign w:val="center"/>
                </w:tcPr>
                <w:p w14:paraId="16700C68">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p>
              </w:tc>
            </w:tr>
            <w:tr w14:paraId="2C582DA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10354C59">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p>
              </w:tc>
              <w:tc>
                <w:tcPr>
                  <w:tcW w:w="840" w:type="dxa"/>
                  <w:vMerge w:val="restart"/>
                  <w:tcBorders>
                    <w:tl2br w:val="nil"/>
                    <w:tr2bl w:val="nil"/>
                  </w:tcBorders>
                  <w:noWrap w:val="0"/>
                  <w:vAlign w:val="center"/>
                </w:tcPr>
                <w:p w14:paraId="02706E0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eastAsia="zh-CN"/>
                    </w:rPr>
                    <w:t>圆锥破碎机</w:t>
                  </w:r>
                </w:p>
              </w:tc>
              <w:tc>
                <w:tcPr>
                  <w:tcW w:w="736" w:type="dxa"/>
                  <w:tcBorders>
                    <w:tl2br w:val="nil"/>
                    <w:tr2bl w:val="nil"/>
                  </w:tcBorders>
                  <w:noWrap w:val="0"/>
                  <w:vAlign w:val="center"/>
                </w:tcPr>
                <w:p w14:paraId="2AE9108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上料、破碎</w:t>
                  </w:r>
                </w:p>
              </w:tc>
              <w:tc>
                <w:tcPr>
                  <w:tcW w:w="1125" w:type="dxa"/>
                  <w:tcBorders>
                    <w:tl2br w:val="nil"/>
                    <w:tr2bl w:val="nil"/>
                  </w:tcBorders>
                  <w:noWrap w:val="0"/>
                  <w:vAlign w:val="center"/>
                </w:tcPr>
                <w:p w14:paraId="1053F96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颗粒物</w:t>
                  </w:r>
                </w:p>
              </w:tc>
              <w:tc>
                <w:tcPr>
                  <w:tcW w:w="3520" w:type="dxa"/>
                  <w:tcBorders>
                    <w:tl2br w:val="nil"/>
                    <w:tr2bl w:val="nil"/>
                  </w:tcBorders>
                  <w:noWrap w:val="0"/>
                  <w:vAlign w:val="center"/>
                </w:tcPr>
                <w:p w14:paraId="4B5F866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b w:val="0"/>
                      <w:bCs w:val="0"/>
                      <w:snapToGrid w:val="0"/>
                      <w:color w:val="auto"/>
                      <w:kern w:val="0"/>
                      <w:sz w:val="21"/>
                      <w:szCs w:val="21"/>
                      <w:highlight w:val="none"/>
                      <w:vertAlign w:val="baseline"/>
                      <w:lang w:val="en-US" w:eastAsia="zh-CN" w:bidi="ar-SA"/>
                    </w:rPr>
                    <w:t>皮带输送机与圆锥破碎机封闭相连，圆锥破碎机入料口上方设置集气罩</w:t>
                  </w:r>
                </w:p>
              </w:tc>
              <w:tc>
                <w:tcPr>
                  <w:tcW w:w="1013" w:type="dxa"/>
                  <w:vMerge w:val="continue"/>
                  <w:tcBorders>
                    <w:tl2br w:val="nil"/>
                    <w:tr2bl w:val="nil"/>
                  </w:tcBorders>
                  <w:noWrap w:val="0"/>
                  <w:vAlign w:val="center"/>
                </w:tcPr>
                <w:p w14:paraId="41468923">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p>
              </w:tc>
            </w:tr>
            <w:tr w14:paraId="146584A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5B23845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p>
              </w:tc>
              <w:tc>
                <w:tcPr>
                  <w:tcW w:w="840" w:type="dxa"/>
                  <w:vMerge w:val="continue"/>
                  <w:tcBorders>
                    <w:tl2br w:val="nil"/>
                    <w:tr2bl w:val="nil"/>
                  </w:tcBorders>
                  <w:noWrap w:val="0"/>
                  <w:vAlign w:val="center"/>
                </w:tcPr>
                <w:p w14:paraId="4B0B8A7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736" w:type="dxa"/>
                  <w:tcBorders>
                    <w:tl2br w:val="nil"/>
                    <w:tr2bl w:val="nil"/>
                  </w:tcBorders>
                  <w:noWrap w:val="0"/>
                  <w:vAlign w:val="center"/>
                </w:tcPr>
                <w:p w14:paraId="7472A66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落料</w:t>
                  </w:r>
                </w:p>
              </w:tc>
              <w:tc>
                <w:tcPr>
                  <w:tcW w:w="1125" w:type="dxa"/>
                  <w:tcBorders>
                    <w:tl2br w:val="nil"/>
                    <w:tr2bl w:val="nil"/>
                  </w:tcBorders>
                  <w:noWrap w:val="0"/>
                  <w:vAlign w:val="center"/>
                </w:tcPr>
                <w:p w14:paraId="2D15C2B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颗粒物</w:t>
                  </w:r>
                </w:p>
              </w:tc>
              <w:tc>
                <w:tcPr>
                  <w:tcW w:w="3520" w:type="dxa"/>
                  <w:tcBorders>
                    <w:tl2br w:val="nil"/>
                    <w:tr2bl w:val="nil"/>
                  </w:tcBorders>
                  <w:noWrap w:val="0"/>
                  <w:vAlign w:val="center"/>
                </w:tcPr>
                <w:p w14:paraId="358101D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b w:val="0"/>
                      <w:bCs w:val="0"/>
                      <w:snapToGrid w:val="0"/>
                      <w:color w:val="auto"/>
                      <w:kern w:val="0"/>
                      <w:sz w:val="21"/>
                      <w:szCs w:val="21"/>
                      <w:highlight w:val="none"/>
                      <w:vertAlign w:val="baseline"/>
                      <w:lang w:val="en-US" w:eastAsia="zh-CN" w:bidi="ar-SA"/>
                    </w:rPr>
                    <w:t>物料落料处全封闭，落料点上方设置集气引风口</w:t>
                  </w:r>
                </w:p>
              </w:tc>
              <w:tc>
                <w:tcPr>
                  <w:tcW w:w="1013" w:type="dxa"/>
                  <w:vMerge w:val="continue"/>
                  <w:tcBorders>
                    <w:tl2br w:val="nil"/>
                    <w:tr2bl w:val="nil"/>
                  </w:tcBorders>
                  <w:noWrap w:val="0"/>
                  <w:vAlign w:val="center"/>
                </w:tcPr>
                <w:p w14:paraId="7C758B8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p>
              </w:tc>
            </w:tr>
            <w:tr w14:paraId="27C324F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1045" w:type="dxa"/>
                  <w:vMerge w:val="continue"/>
                  <w:tcBorders>
                    <w:tl2br w:val="nil"/>
                    <w:tr2bl w:val="nil"/>
                  </w:tcBorders>
                  <w:noWrap w:val="0"/>
                  <w:vAlign w:val="center"/>
                </w:tcPr>
                <w:p w14:paraId="0300BD09">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p>
              </w:tc>
              <w:tc>
                <w:tcPr>
                  <w:tcW w:w="840" w:type="dxa"/>
                  <w:vMerge w:val="restart"/>
                  <w:tcBorders>
                    <w:tl2br w:val="nil"/>
                    <w:tr2bl w:val="nil"/>
                  </w:tcBorders>
                  <w:noWrap w:val="0"/>
                  <w:vAlign w:val="center"/>
                </w:tcPr>
                <w:p w14:paraId="6566B27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Segoe UI Symbol" w:cs="Times New Roman"/>
                      <w:i w:val="0"/>
                      <w:iCs w:val="0"/>
                      <w:caps w:val="0"/>
                      <w:color w:val="auto"/>
                      <w:spacing w:val="0"/>
                      <w:sz w:val="21"/>
                      <w:szCs w:val="21"/>
                    </w:rPr>
                    <w:t>复式摇筛</w:t>
                  </w:r>
                </w:p>
              </w:tc>
              <w:tc>
                <w:tcPr>
                  <w:tcW w:w="736" w:type="dxa"/>
                  <w:tcBorders>
                    <w:tl2br w:val="nil"/>
                    <w:tr2bl w:val="nil"/>
                  </w:tcBorders>
                  <w:noWrap w:val="0"/>
                  <w:vAlign w:val="center"/>
                </w:tcPr>
                <w:p w14:paraId="4086998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上料、筛分</w:t>
                  </w:r>
                </w:p>
              </w:tc>
              <w:tc>
                <w:tcPr>
                  <w:tcW w:w="1125" w:type="dxa"/>
                  <w:tcBorders>
                    <w:tl2br w:val="nil"/>
                    <w:tr2bl w:val="nil"/>
                  </w:tcBorders>
                  <w:noWrap w:val="0"/>
                  <w:vAlign w:val="center"/>
                </w:tcPr>
                <w:p w14:paraId="464E7D3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颗粒物</w:t>
                  </w:r>
                </w:p>
              </w:tc>
              <w:tc>
                <w:tcPr>
                  <w:tcW w:w="3520" w:type="dxa"/>
                  <w:tcBorders>
                    <w:tl2br w:val="nil"/>
                    <w:tr2bl w:val="nil"/>
                  </w:tcBorders>
                  <w:noWrap w:val="0"/>
                  <w:vAlign w:val="center"/>
                </w:tcPr>
                <w:p w14:paraId="33BE6E0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b w:val="0"/>
                      <w:bCs w:val="0"/>
                      <w:snapToGrid w:val="0"/>
                      <w:color w:val="auto"/>
                      <w:kern w:val="0"/>
                      <w:sz w:val="21"/>
                      <w:szCs w:val="21"/>
                      <w:highlight w:val="none"/>
                      <w:vertAlign w:val="baseline"/>
                      <w:lang w:val="en-US" w:eastAsia="zh-CN" w:bidi="ar-SA"/>
                    </w:rPr>
                    <w:t>本次配套建设全密闭筛分间，物料上料转运、筛分分级等产污工序均置于密闭空间内实施，在筛分间顶部开设集气引风口</w:t>
                  </w:r>
                </w:p>
              </w:tc>
              <w:tc>
                <w:tcPr>
                  <w:tcW w:w="1013" w:type="dxa"/>
                  <w:vMerge w:val="continue"/>
                  <w:tcBorders>
                    <w:tl2br w:val="nil"/>
                    <w:tr2bl w:val="nil"/>
                  </w:tcBorders>
                  <w:noWrap w:val="0"/>
                  <w:vAlign w:val="center"/>
                </w:tcPr>
                <w:p w14:paraId="13992751">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p>
              </w:tc>
            </w:tr>
            <w:tr w14:paraId="7973E64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37" w:hRule="atLeast"/>
                <w:jc w:val="center"/>
              </w:trPr>
              <w:tc>
                <w:tcPr>
                  <w:tcW w:w="1045" w:type="dxa"/>
                  <w:vMerge w:val="continue"/>
                  <w:tcBorders>
                    <w:tl2br w:val="nil"/>
                    <w:tr2bl w:val="nil"/>
                  </w:tcBorders>
                  <w:noWrap w:val="0"/>
                  <w:vAlign w:val="center"/>
                </w:tcPr>
                <w:p w14:paraId="2CCE2DED">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p>
              </w:tc>
              <w:tc>
                <w:tcPr>
                  <w:tcW w:w="840" w:type="dxa"/>
                  <w:vMerge w:val="continue"/>
                  <w:tcBorders>
                    <w:tl2br w:val="nil"/>
                    <w:tr2bl w:val="nil"/>
                  </w:tcBorders>
                  <w:noWrap w:val="0"/>
                  <w:vAlign w:val="center"/>
                </w:tcPr>
                <w:p w14:paraId="49F6744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736" w:type="dxa"/>
                  <w:tcBorders>
                    <w:tl2br w:val="nil"/>
                    <w:tr2bl w:val="nil"/>
                  </w:tcBorders>
                  <w:noWrap w:val="0"/>
                  <w:vAlign w:val="center"/>
                </w:tcPr>
                <w:p w14:paraId="794F977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r>
                    <w:rPr>
                      <w:rFonts w:hint="eastAsia"/>
                      <w:color w:val="auto"/>
                      <w:sz w:val="21"/>
                      <w:szCs w:val="21"/>
                      <w:highlight w:val="none"/>
                      <w:lang w:eastAsia="zh-CN"/>
                    </w:rPr>
                    <w:t>落料</w:t>
                  </w:r>
                </w:p>
              </w:tc>
              <w:tc>
                <w:tcPr>
                  <w:tcW w:w="1125" w:type="dxa"/>
                  <w:tcBorders>
                    <w:tl2br w:val="nil"/>
                    <w:tr2bl w:val="nil"/>
                  </w:tcBorders>
                  <w:noWrap w:val="0"/>
                  <w:vAlign w:val="center"/>
                </w:tcPr>
                <w:p w14:paraId="40FD6EA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颗粒物</w:t>
                  </w:r>
                </w:p>
              </w:tc>
              <w:tc>
                <w:tcPr>
                  <w:tcW w:w="3520" w:type="dxa"/>
                  <w:tcBorders>
                    <w:tl2br w:val="nil"/>
                    <w:tr2bl w:val="nil"/>
                  </w:tcBorders>
                  <w:noWrap w:val="0"/>
                  <w:vAlign w:val="center"/>
                </w:tcPr>
                <w:p w14:paraId="75D9FD3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cs="Times New Roman"/>
                      <w:b w:val="0"/>
                      <w:bCs w:val="0"/>
                      <w:snapToGrid w:val="0"/>
                      <w:color w:val="auto"/>
                      <w:kern w:val="0"/>
                      <w:sz w:val="21"/>
                      <w:szCs w:val="21"/>
                      <w:highlight w:val="none"/>
                      <w:vertAlign w:val="baseline"/>
                      <w:lang w:val="en-US" w:eastAsia="zh-CN" w:bidi="ar-SA"/>
                    </w:rPr>
                    <w:t>在落料</w:t>
                  </w:r>
                  <w:r>
                    <w:rPr>
                      <w:rFonts w:hint="eastAsia" w:cs="Times New Roman"/>
                      <w:b w:val="0"/>
                      <w:bCs w:val="0"/>
                      <w:snapToGrid w:val="0"/>
                      <w:color w:val="auto"/>
                      <w:kern w:val="0"/>
                      <w:sz w:val="21"/>
                      <w:szCs w:val="21"/>
                      <w:highlight w:val="none"/>
                      <w:vertAlign w:val="baseline"/>
                      <w:lang w:val="en-US" w:eastAsia="zh-CN" w:bidi="ar-SA"/>
                    </w:rPr>
                    <w:t>点（2处）上方设置集气罩，并设置伞状喷雾抑尘装置（设置电伴热装置），喷雾抑尘装置范围应覆盖整个落料点</w:t>
                  </w:r>
                </w:p>
              </w:tc>
              <w:tc>
                <w:tcPr>
                  <w:tcW w:w="1013" w:type="dxa"/>
                  <w:vMerge w:val="continue"/>
                  <w:tcBorders>
                    <w:tl2br w:val="nil"/>
                    <w:tr2bl w:val="nil"/>
                  </w:tcBorders>
                  <w:noWrap w:val="0"/>
                  <w:vAlign w:val="center"/>
                </w:tcPr>
                <w:p w14:paraId="6B1F42E1">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p>
              </w:tc>
            </w:tr>
          </w:tbl>
          <w:p w14:paraId="0C77557F">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项目实施后，收集效率按95%计，废气经</w:t>
            </w:r>
            <w:r>
              <w:rPr>
                <w:rFonts w:hint="default" w:ascii="Times New Roman" w:hAnsi="Times New Roman" w:eastAsia="宋体" w:cs="Times New Roman"/>
                <w:color w:val="auto"/>
                <w:sz w:val="24"/>
                <w:szCs w:val="24"/>
                <w:highlight w:val="none"/>
                <w:lang w:val="en-US" w:eastAsia="zh-CN"/>
              </w:rPr>
              <w:t>1台处理能力为</w:t>
            </w:r>
            <w:r>
              <w:rPr>
                <w:rFonts w:hint="eastAsia" w:ascii="Times New Roman" w:hAnsi="Times New Roman" w:cs="Times New Roman"/>
                <w:color w:val="auto"/>
                <w:sz w:val="24"/>
                <w:szCs w:val="24"/>
                <w:highlight w:val="none"/>
                <w:lang w:val="en-US" w:eastAsia="zh-CN"/>
              </w:rPr>
              <w:t>38000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/h脉冲布袋除尘器</w:t>
            </w:r>
            <w:r>
              <w:rPr>
                <w:rFonts w:hint="eastAsia" w:ascii="Times New Roman" w:hAnsi="Times New Roman" w:eastAsia="宋体" w:cs="Times New Roman"/>
                <w:color w:val="auto"/>
                <w:sz w:val="24"/>
                <w:szCs w:val="24"/>
                <w:highlight w:val="none"/>
                <w:lang w:val="en-US" w:eastAsia="zh-CN"/>
              </w:rPr>
              <w:t>处理，根据厂家提供资料，</w:t>
            </w:r>
            <w:r>
              <w:rPr>
                <w:rFonts w:hint="default" w:ascii="Times New Roman" w:hAnsi="Times New Roman" w:eastAsia="宋体" w:cs="Times New Roman"/>
                <w:color w:val="auto"/>
                <w:sz w:val="24"/>
                <w:szCs w:val="24"/>
                <w:highlight w:val="none"/>
                <w:lang w:val="en-US" w:eastAsia="zh-CN"/>
              </w:rPr>
              <w:t>除尘器的处理效率为</w:t>
            </w:r>
            <w:r>
              <w:rPr>
                <w:rFonts w:hint="eastAsia" w:ascii="Times New Roman" w:hAnsi="Times New Roman" w:cs="Times New Roman"/>
                <w:color w:val="auto"/>
                <w:sz w:val="24"/>
                <w:szCs w:val="24"/>
                <w:highlight w:val="none"/>
                <w:lang w:val="en-US" w:eastAsia="zh-CN"/>
              </w:rPr>
              <w:t>99.50%</w:t>
            </w:r>
            <w:r>
              <w:rPr>
                <w:rFonts w:hint="eastAsia" w:ascii="Times New Roman" w:hAnsi="Times New Roman" w:eastAsia="宋体" w:cs="Times New Roman"/>
                <w:color w:val="auto"/>
                <w:sz w:val="24"/>
                <w:szCs w:val="24"/>
                <w:highlight w:val="none"/>
                <w:lang w:val="en-US" w:eastAsia="zh-CN"/>
              </w:rPr>
              <w:t>，有组织排放废气情况如下：</w:t>
            </w:r>
          </w:p>
          <w:p w14:paraId="66063B6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有组织废气排放情况一览表</w:t>
            </w:r>
          </w:p>
          <w:tbl>
            <w:tblPr>
              <w:tblStyle w:val="33"/>
              <w:tblW w:w="8002"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8"/>
              <w:gridCol w:w="808"/>
              <w:gridCol w:w="755"/>
              <w:gridCol w:w="755"/>
              <w:gridCol w:w="625"/>
              <w:gridCol w:w="831"/>
              <w:gridCol w:w="877"/>
              <w:gridCol w:w="711"/>
              <w:gridCol w:w="842"/>
              <w:gridCol w:w="990"/>
            </w:tblGrid>
            <w:tr w14:paraId="0B3936A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2" w:hRule="atLeast"/>
                <w:jc w:val="center"/>
              </w:trPr>
              <w:tc>
                <w:tcPr>
                  <w:tcW w:w="808" w:type="dxa"/>
                  <w:tcBorders>
                    <w:tl2br w:val="nil"/>
                    <w:tr2bl w:val="nil"/>
                  </w:tcBorders>
                  <w:noWrap w:val="0"/>
                  <w:vAlign w:val="center"/>
                </w:tcPr>
                <w:p w14:paraId="73E51D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污染源</w:t>
                  </w:r>
                </w:p>
              </w:tc>
              <w:tc>
                <w:tcPr>
                  <w:tcW w:w="808" w:type="dxa"/>
                  <w:tcBorders>
                    <w:tl2br w:val="nil"/>
                    <w:tr2bl w:val="nil"/>
                  </w:tcBorders>
                  <w:noWrap w:val="0"/>
                  <w:vAlign w:val="center"/>
                </w:tcPr>
                <w:p w14:paraId="3DF04D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污染物</w:t>
                  </w:r>
                </w:p>
              </w:tc>
              <w:tc>
                <w:tcPr>
                  <w:tcW w:w="755" w:type="dxa"/>
                  <w:tcBorders>
                    <w:tl2br w:val="nil"/>
                    <w:tr2bl w:val="nil"/>
                  </w:tcBorders>
                  <w:noWrap w:val="0"/>
                  <w:vAlign w:val="center"/>
                </w:tcPr>
                <w:p w14:paraId="2AC132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产生量（t/a）</w:t>
                  </w:r>
                </w:p>
              </w:tc>
              <w:tc>
                <w:tcPr>
                  <w:tcW w:w="755" w:type="dxa"/>
                  <w:tcBorders>
                    <w:tl2br w:val="nil"/>
                    <w:tr2bl w:val="nil"/>
                  </w:tcBorders>
                  <w:noWrap w:val="0"/>
                  <w:vAlign w:val="center"/>
                </w:tcPr>
                <w:p w14:paraId="61F6173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kern w:val="2"/>
                      <w:sz w:val="18"/>
                      <w:szCs w:val="18"/>
                      <w:highlight w:val="none"/>
                      <w:vertAlign w:val="baseli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运行时间（h/a）</w:t>
                  </w:r>
                </w:p>
              </w:tc>
              <w:tc>
                <w:tcPr>
                  <w:tcW w:w="625" w:type="dxa"/>
                  <w:tcBorders>
                    <w:tl2br w:val="nil"/>
                    <w:tr2bl w:val="nil"/>
                  </w:tcBorders>
                  <w:noWrap w:val="0"/>
                  <w:vAlign w:val="center"/>
                </w:tcPr>
                <w:p w14:paraId="509B2B3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收集效率</w:t>
                  </w:r>
                </w:p>
              </w:tc>
              <w:tc>
                <w:tcPr>
                  <w:tcW w:w="831" w:type="dxa"/>
                  <w:tcBorders>
                    <w:tl2br w:val="nil"/>
                    <w:tr2bl w:val="nil"/>
                  </w:tcBorders>
                  <w:noWrap w:val="0"/>
                  <w:vAlign w:val="center"/>
                </w:tcPr>
                <w:p w14:paraId="6A9CF44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kern w:val="2"/>
                      <w:sz w:val="18"/>
                      <w:szCs w:val="18"/>
                      <w:highlight w:val="none"/>
                      <w:vertAlign w:val="baseli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处理效率</w:t>
                  </w:r>
                </w:p>
              </w:tc>
              <w:tc>
                <w:tcPr>
                  <w:tcW w:w="877" w:type="dxa"/>
                  <w:tcBorders>
                    <w:tl2br w:val="nil"/>
                    <w:tr2bl w:val="nil"/>
                  </w:tcBorders>
                  <w:noWrap w:val="0"/>
                  <w:vAlign w:val="center"/>
                </w:tcPr>
                <w:p w14:paraId="6913C4B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kern w:val="2"/>
                      <w:sz w:val="18"/>
                      <w:szCs w:val="18"/>
                      <w:highlight w:val="none"/>
                      <w:vertAlign w:val="baseli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风机风量（m</w:t>
                  </w:r>
                  <w:r>
                    <w:rPr>
                      <w:rFonts w:hint="default" w:ascii="Times New Roman" w:hAnsi="Times New Roman" w:eastAsia="宋体" w:cs="Times New Roman"/>
                      <w:i w:val="0"/>
                      <w:iCs w:val="0"/>
                      <w:color w:val="auto"/>
                      <w:kern w:val="0"/>
                      <w:sz w:val="18"/>
                      <w:szCs w:val="18"/>
                      <w:u w:val="none"/>
                      <w:vertAlign w:val="superscript"/>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/h）</w:t>
                  </w:r>
                </w:p>
              </w:tc>
              <w:tc>
                <w:tcPr>
                  <w:tcW w:w="711" w:type="dxa"/>
                  <w:tcBorders>
                    <w:tl2br w:val="nil"/>
                    <w:tr2bl w:val="nil"/>
                  </w:tcBorders>
                  <w:noWrap w:val="0"/>
                  <w:vAlign w:val="center"/>
                </w:tcPr>
                <w:p w14:paraId="6C1B33D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排放量（t/a）</w:t>
                  </w:r>
                </w:p>
              </w:tc>
              <w:tc>
                <w:tcPr>
                  <w:tcW w:w="842" w:type="dxa"/>
                  <w:tcBorders>
                    <w:tl2br w:val="nil"/>
                    <w:tr2bl w:val="nil"/>
                  </w:tcBorders>
                  <w:noWrap w:val="0"/>
                  <w:vAlign w:val="center"/>
                </w:tcPr>
                <w:p w14:paraId="7D01F15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排放速率（kg/h）</w:t>
                  </w:r>
                </w:p>
              </w:tc>
              <w:tc>
                <w:tcPr>
                  <w:tcW w:w="990" w:type="dxa"/>
                  <w:tcBorders>
                    <w:tl2br w:val="nil"/>
                    <w:tr2bl w:val="nil"/>
                  </w:tcBorders>
                  <w:noWrap w:val="0"/>
                  <w:vAlign w:val="center"/>
                </w:tcPr>
                <w:p w14:paraId="1AB0BC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pacing w:val="-6"/>
                      <w:sz w:val="18"/>
                      <w:szCs w:val="18"/>
                      <w:highlight w:val="none"/>
                      <w:vertAlign w:val="baseline"/>
                      <w:lang w:val="en-US" w:eastAsia="zh-CN"/>
                    </w:rPr>
                  </w:pPr>
                  <w:r>
                    <w:rPr>
                      <w:rFonts w:hint="default" w:ascii="Times New Roman" w:hAnsi="Times New Roman" w:eastAsia="宋体" w:cs="Times New Roman"/>
                      <w:i w:val="0"/>
                      <w:iCs w:val="0"/>
                      <w:color w:val="auto"/>
                      <w:kern w:val="0"/>
                      <w:sz w:val="18"/>
                      <w:szCs w:val="18"/>
                      <w:u w:val="none"/>
                      <w:lang w:val="en-US" w:eastAsia="zh-CN" w:bidi="ar"/>
                    </w:rPr>
                    <w:t>排放浓度（mg/m</w:t>
                  </w:r>
                  <w:r>
                    <w:rPr>
                      <w:rFonts w:hint="default" w:ascii="Times New Roman" w:hAnsi="Times New Roman" w:eastAsia="宋体" w:cs="Times New Roman"/>
                      <w:i w:val="0"/>
                      <w:iCs w:val="0"/>
                      <w:color w:val="auto"/>
                      <w:kern w:val="0"/>
                      <w:sz w:val="18"/>
                      <w:szCs w:val="18"/>
                      <w:u w:val="none"/>
                      <w:vertAlign w:val="superscript"/>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w:t>
                  </w:r>
                </w:p>
              </w:tc>
            </w:tr>
            <w:tr w14:paraId="35EFD8A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11" w:hRule="atLeast"/>
                <w:jc w:val="center"/>
              </w:trPr>
              <w:tc>
                <w:tcPr>
                  <w:tcW w:w="808" w:type="dxa"/>
                  <w:tcBorders>
                    <w:tl2br w:val="nil"/>
                    <w:tr2bl w:val="nil"/>
                  </w:tcBorders>
                  <w:noWrap w:val="0"/>
                  <w:vAlign w:val="center"/>
                </w:tcPr>
                <w:p w14:paraId="68A7E95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破碎、筛分废气</w:t>
                  </w:r>
                </w:p>
              </w:tc>
              <w:tc>
                <w:tcPr>
                  <w:tcW w:w="808" w:type="dxa"/>
                  <w:tcBorders>
                    <w:tl2br w:val="nil"/>
                    <w:tr2bl w:val="nil"/>
                  </w:tcBorders>
                  <w:noWrap w:val="0"/>
                  <w:vAlign w:val="center"/>
                </w:tcPr>
                <w:p w14:paraId="0F93161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颗粒物</w:t>
                  </w:r>
                </w:p>
              </w:tc>
              <w:tc>
                <w:tcPr>
                  <w:tcW w:w="755" w:type="dxa"/>
                  <w:tcBorders>
                    <w:tl2br w:val="nil"/>
                    <w:tr2bl w:val="nil"/>
                  </w:tcBorders>
                  <w:noWrap w:val="0"/>
                  <w:vAlign w:val="center"/>
                </w:tcPr>
                <w:p w14:paraId="4B1A028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113.4</w:t>
                  </w:r>
                </w:p>
              </w:tc>
              <w:tc>
                <w:tcPr>
                  <w:tcW w:w="755" w:type="dxa"/>
                  <w:tcBorders>
                    <w:tl2br w:val="nil"/>
                    <w:tr2bl w:val="nil"/>
                  </w:tcBorders>
                  <w:noWrap w:val="0"/>
                  <w:vAlign w:val="center"/>
                </w:tcPr>
                <w:p w14:paraId="1FF8711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2250</w:t>
                  </w:r>
                </w:p>
              </w:tc>
              <w:tc>
                <w:tcPr>
                  <w:tcW w:w="625" w:type="dxa"/>
                  <w:tcBorders>
                    <w:tl2br w:val="nil"/>
                    <w:tr2bl w:val="nil"/>
                  </w:tcBorders>
                  <w:noWrap w:val="0"/>
                  <w:vAlign w:val="center"/>
                </w:tcPr>
                <w:p w14:paraId="7C0289F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95%</w:t>
                  </w:r>
                </w:p>
              </w:tc>
              <w:tc>
                <w:tcPr>
                  <w:tcW w:w="831" w:type="dxa"/>
                  <w:tcBorders>
                    <w:tl2br w:val="nil"/>
                    <w:tr2bl w:val="nil"/>
                  </w:tcBorders>
                  <w:noWrap w:val="0"/>
                  <w:vAlign w:val="center"/>
                </w:tcPr>
                <w:p w14:paraId="29F23E9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99.50%</w:t>
                  </w:r>
                </w:p>
              </w:tc>
              <w:tc>
                <w:tcPr>
                  <w:tcW w:w="877" w:type="dxa"/>
                  <w:tcBorders>
                    <w:tl2br w:val="nil"/>
                    <w:tr2bl w:val="nil"/>
                  </w:tcBorders>
                  <w:noWrap w:val="0"/>
                  <w:vAlign w:val="center"/>
                </w:tcPr>
                <w:p w14:paraId="2126C42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eastAsia" w:cs="Times New Roman"/>
                      <w:i w:val="0"/>
                      <w:iCs w:val="0"/>
                      <w:color w:val="auto"/>
                      <w:kern w:val="0"/>
                      <w:sz w:val="18"/>
                      <w:szCs w:val="18"/>
                      <w:u w:val="none"/>
                      <w:lang w:val="en-US" w:eastAsia="zh-CN" w:bidi="ar"/>
                    </w:rPr>
                    <w:t>38000</w:t>
                  </w:r>
                </w:p>
              </w:tc>
              <w:tc>
                <w:tcPr>
                  <w:tcW w:w="711" w:type="dxa"/>
                  <w:tcBorders>
                    <w:tl2br w:val="nil"/>
                    <w:tr2bl w:val="nil"/>
                  </w:tcBorders>
                  <w:noWrap w:val="0"/>
                  <w:vAlign w:val="center"/>
                </w:tcPr>
                <w:p w14:paraId="29E79DE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u w:val="none"/>
                      <w:lang w:val="en-US" w:eastAsia="zh-CN" w:bidi="ar"/>
                    </w:rPr>
                  </w:pPr>
                  <w:r>
                    <w:rPr>
                      <w:rFonts w:hint="default" w:cs="Times New Roman"/>
                      <w:i w:val="0"/>
                      <w:iCs w:val="0"/>
                      <w:color w:val="auto"/>
                      <w:kern w:val="0"/>
                      <w:sz w:val="18"/>
                      <w:szCs w:val="18"/>
                      <w:u w:val="none"/>
                      <w:lang w:val="en-US" w:eastAsia="zh-CN" w:bidi="ar"/>
                    </w:rPr>
                    <w:t xml:space="preserve">0.539 </w:t>
                  </w:r>
                </w:p>
              </w:tc>
              <w:tc>
                <w:tcPr>
                  <w:tcW w:w="842" w:type="dxa"/>
                  <w:tcBorders>
                    <w:tl2br w:val="nil"/>
                    <w:tr2bl w:val="nil"/>
                  </w:tcBorders>
                  <w:noWrap w:val="0"/>
                  <w:vAlign w:val="center"/>
                </w:tcPr>
                <w:p w14:paraId="551259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u w:val="none"/>
                      <w:lang w:val="en-US" w:eastAsia="zh-CN" w:bidi="ar"/>
                    </w:rPr>
                  </w:pPr>
                  <w:r>
                    <w:rPr>
                      <w:rFonts w:hint="default" w:cs="Times New Roman"/>
                      <w:i w:val="0"/>
                      <w:iCs w:val="0"/>
                      <w:color w:val="auto"/>
                      <w:kern w:val="0"/>
                      <w:sz w:val="18"/>
                      <w:szCs w:val="18"/>
                      <w:u w:val="none"/>
                      <w:lang w:val="en-US" w:eastAsia="zh-CN" w:bidi="ar"/>
                    </w:rPr>
                    <w:t>0.24</w:t>
                  </w:r>
                </w:p>
              </w:tc>
              <w:tc>
                <w:tcPr>
                  <w:tcW w:w="990" w:type="dxa"/>
                  <w:tcBorders>
                    <w:tl2br w:val="nil"/>
                    <w:tr2bl w:val="nil"/>
                  </w:tcBorders>
                  <w:noWrap w:val="0"/>
                  <w:vAlign w:val="center"/>
                </w:tcPr>
                <w:p w14:paraId="52E84C6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18"/>
                      <w:szCs w:val="18"/>
                      <w:u w:val="none"/>
                      <w:lang w:val="en-US" w:eastAsia="zh-CN" w:bidi="ar"/>
                    </w:rPr>
                  </w:pPr>
                  <w:r>
                    <w:rPr>
                      <w:rFonts w:hint="default" w:cs="Times New Roman"/>
                      <w:i w:val="0"/>
                      <w:iCs w:val="0"/>
                      <w:color w:val="auto"/>
                      <w:kern w:val="0"/>
                      <w:sz w:val="18"/>
                      <w:szCs w:val="18"/>
                      <w:u w:val="none"/>
                      <w:lang w:val="en-US" w:eastAsia="zh-CN" w:bidi="ar"/>
                    </w:rPr>
                    <w:t xml:space="preserve">6.32 </w:t>
                  </w:r>
                </w:p>
              </w:tc>
            </w:tr>
          </w:tbl>
          <w:p w14:paraId="54693FD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综上，本项目废气治理设施进行治理后外排废气中颗粒物能够满足《石灰行业大气污染物排放标准》（DB13/1641-2025）及《2019年“十项重点工作”工作方案》（唐办发﹝2019﹞3号）颗粒物有组织排放限值要求：10mg/m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排气筒高度15m，满足《石灰行业大气污染物排放标准》（DB13/1641-2025）标准要求。</w:t>
            </w:r>
          </w:p>
          <w:p w14:paraId="270E9200">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⑵无组织排放废气</w:t>
            </w:r>
          </w:p>
          <w:p w14:paraId="6C8D134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本项目无组织排放废气包含不合格原料矿石装卸、堆存过程产生的废气；合格矿石原料装卸、堆存过程产生的废气；土渣装卸、堆存过程产生的废气</w:t>
            </w:r>
            <w:r>
              <w:rPr>
                <w:rFonts w:hint="eastAsia" w:ascii="Times New Roman" w:hAnsi="Times New Roman" w:cs="Times New Roman"/>
                <w:color w:val="auto"/>
                <w:sz w:val="24"/>
                <w:szCs w:val="24"/>
                <w:highlight w:val="none"/>
                <w:lang w:val="en-US" w:eastAsia="zh-CN"/>
              </w:rPr>
              <w:t>以及</w:t>
            </w:r>
            <w:r>
              <w:rPr>
                <w:rFonts w:hint="eastAsia" w:cs="Times New Roman"/>
                <w:color w:val="auto"/>
                <w:kern w:val="0"/>
                <w:sz w:val="24"/>
                <w:szCs w:val="24"/>
                <w:highlight w:val="none"/>
                <w:lang w:val="en-US" w:eastAsia="zh-CN"/>
              </w:rPr>
              <w:t>有组织未收集的废气</w:t>
            </w:r>
            <w:r>
              <w:rPr>
                <w:rFonts w:hint="eastAsia" w:ascii="Times New Roman" w:hAnsi="Times New Roman" w:eastAsia="宋体" w:cs="Times New Roman"/>
                <w:color w:val="auto"/>
                <w:kern w:val="0"/>
                <w:sz w:val="24"/>
                <w:szCs w:val="24"/>
                <w:highlight w:val="none"/>
                <w:lang w:val="en-US" w:eastAsia="zh-CN"/>
              </w:rPr>
              <w:t>。</w:t>
            </w:r>
          </w:p>
          <w:p w14:paraId="4BA7CBA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①不合格原料矿石装卸、堆存过程产生的废气；合格矿石原料装卸、堆存过程产生的废气；土渣装卸、堆存过程产生的废气</w:t>
            </w:r>
          </w:p>
          <w:p w14:paraId="7D3426B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参考《排放源统计调查产排污核算方法和系数手册》附表2固体物料堆存颗粒物产排污系数核算系数手册中固体物料堆场颗粒物的产生量和排放量的核算方法</w:t>
            </w:r>
            <w:r>
              <w:rPr>
                <w:rFonts w:hint="eastAsia" w:ascii="Times New Roman" w:hAnsi="Times New Roman" w:cs="Times New Roman"/>
                <w:color w:val="auto"/>
                <w:sz w:val="24"/>
                <w:szCs w:val="24"/>
                <w:highlight w:val="none"/>
                <w:lang w:val="en-US" w:eastAsia="zh-CN"/>
              </w:rPr>
              <w:t>，对本项目物料堆场颗粒物</w:t>
            </w:r>
            <w:r>
              <w:rPr>
                <w:rFonts w:hint="eastAsia" w:ascii="Times New Roman" w:hAnsi="Times New Roman" w:eastAsia="宋体" w:cs="Times New Roman"/>
                <w:color w:val="auto"/>
                <w:sz w:val="24"/>
                <w:szCs w:val="24"/>
                <w:highlight w:val="none"/>
                <w:lang w:val="en-US" w:eastAsia="zh-CN"/>
              </w:rPr>
              <w:t>进行计算。</w:t>
            </w:r>
          </w:p>
          <w:p w14:paraId="4892170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工业企业固体物料堆存颗粒物包括装卸场尘和风蚀扬尘，颗粒物产生量核算公式如下：</w:t>
            </w:r>
          </w:p>
          <w:p w14:paraId="18C1C7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auto"/>
                <w:sz w:val="32"/>
                <w:szCs w:val="32"/>
                <w:highlight w:val="none"/>
              </w:rPr>
            </w:pPr>
            <w:r>
              <w:rPr>
                <w:rFonts w:hint="default"/>
                <w:i/>
                <w:iCs/>
                <w:color w:val="auto"/>
                <w:kern w:val="0"/>
                <w:sz w:val="28"/>
                <w:szCs w:val="28"/>
                <w:highlight w:val="none"/>
                <w:lang w:bidi="ar"/>
              </w:rPr>
              <w:t xml:space="preserve">P </w:t>
            </w:r>
            <w:r>
              <w:rPr>
                <w:rFonts w:hint="default" w:ascii="Symbol" w:hAnsi="Symbol" w:cs="Symbol"/>
                <w:color w:val="auto"/>
                <w:kern w:val="0"/>
                <w:sz w:val="28"/>
                <w:szCs w:val="28"/>
                <w:highlight w:val="none"/>
                <w:lang w:bidi="ar"/>
              </w:rPr>
              <w:t xml:space="preserve"> </w:t>
            </w:r>
            <w:r>
              <w:rPr>
                <w:rFonts w:hint="default"/>
                <w:i/>
                <w:iCs/>
                <w:color w:val="auto"/>
                <w:kern w:val="0"/>
                <w:sz w:val="28"/>
                <w:szCs w:val="28"/>
                <w:highlight w:val="none"/>
                <w:lang w:bidi="ar"/>
              </w:rPr>
              <w:t>ZC</w:t>
            </w:r>
            <w:r>
              <w:rPr>
                <w:rFonts w:hint="default"/>
                <w:color w:val="auto"/>
                <w:kern w:val="0"/>
                <w:sz w:val="16"/>
                <w:szCs w:val="16"/>
                <w:highlight w:val="none"/>
                <w:lang w:bidi="ar"/>
              </w:rPr>
              <w:t xml:space="preserve">y </w:t>
            </w:r>
            <w:r>
              <w:rPr>
                <w:rFonts w:hint="default" w:ascii="Symbol" w:hAnsi="Symbol" w:cs="Symbol"/>
                <w:color w:val="auto"/>
                <w:kern w:val="0"/>
                <w:sz w:val="28"/>
                <w:szCs w:val="28"/>
                <w:highlight w:val="none"/>
                <w:lang w:bidi="ar"/>
              </w:rPr>
              <w:t xml:space="preserve"> </w:t>
            </w:r>
            <w:r>
              <w:rPr>
                <w:rFonts w:hint="default"/>
                <w:i/>
                <w:iCs/>
                <w:color w:val="auto"/>
                <w:kern w:val="0"/>
                <w:sz w:val="28"/>
                <w:szCs w:val="28"/>
                <w:highlight w:val="none"/>
                <w:lang w:bidi="ar"/>
              </w:rPr>
              <w:t>FC</w:t>
            </w:r>
            <w:r>
              <w:rPr>
                <w:rFonts w:hint="default"/>
                <w:color w:val="auto"/>
                <w:kern w:val="0"/>
                <w:sz w:val="16"/>
                <w:szCs w:val="16"/>
                <w:highlight w:val="none"/>
                <w:lang w:bidi="ar"/>
              </w:rPr>
              <w:t xml:space="preserve">y </w:t>
            </w:r>
            <w:r>
              <w:rPr>
                <w:rFonts w:hint="default" w:ascii="Symbol" w:hAnsi="Symbol" w:cs="Symbol"/>
                <w:color w:val="auto"/>
                <w:kern w:val="0"/>
                <w:sz w:val="28"/>
                <w:szCs w:val="28"/>
                <w:highlight w:val="none"/>
                <w:lang w:bidi="ar"/>
              </w:rPr>
              <w:t xml:space="preserve"> </w:t>
            </w:r>
            <w:r>
              <w:rPr>
                <w:rFonts w:hint="default" w:ascii="Symbol" w:hAnsi="Symbol" w:cs="Symbol"/>
                <w:color w:val="auto"/>
                <w:kern w:val="0"/>
                <w:sz w:val="32"/>
                <w:szCs w:val="32"/>
                <w:highlight w:val="none"/>
                <w:lang w:bidi="ar"/>
              </w:rPr>
              <w:t></w:t>
            </w:r>
            <w:r>
              <w:rPr>
                <w:rFonts w:hint="default"/>
                <w:i/>
                <w:iCs/>
                <w:color w:val="auto"/>
                <w:kern w:val="0"/>
                <w:sz w:val="28"/>
                <w:szCs w:val="28"/>
                <w:highlight w:val="none"/>
                <w:lang w:bidi="ar"/>
              </w:rPr>
              <w:t>N</w:t>
            </w:r>
            <w:r>
              <w:rPr>
                <w:rFonts w:hint="default"/>
                <w:i/>
                <w:iCs/>
                <w:color w:val="auto"/>
                <w:kern w:val="0"/>
                <w:sz w:val="16"/>
                <w:szCs w:val="16"/>
                <w:highlight w:val="none"/>
                <w:lang w:bidi="ar"/>
              </w:rPr>
              <w:t xml:space="preserve">C </w:t>
            </w:r>
            <w:r>
              <w:rPr>
                <w:rFonts w:hint="default" w:ascii="Symbol" w:hAnsi="Symbol" w:cs="Symbol"/>
                <w:color w:val="auto"/>
                <w:kern w:val="0"/>
                <w:sz w:val="28"/>
                <w:szCs w:val="28"/>
                <w:highlight w:val="none"/>
                <w:lang w:bidi="ar"/>
              </w:rPr>
              <w:t xml:space="preserve"> </w:t>
            </w:r>
            <w:r>
              <w:rPr>
                <w:rFonts w:hint="default"/>
                <w:i/>
                <w:iCs/>
                <w:color w:val="auto"/>
                <w:kern w:val="0"/>
                <w:sz w:val="28"/>
                <w:szCs w:val="28"/>
                <w:highlight w:val="none"/>
                <w:lang w:bidi="ar"/>
              </w:rPr>
              <w:t>D</w:t>
            </w:r>
            <w:r>
              <w:rPr>
                <w:rFonts w:hint="default" w:ascii="Symbol" w:hAnsi="Symbol" w:cs="Symbol"/>
                <w:color w:val="auto"/>
                <w:kern w:val="0"/>
                <w:sz w:val="28"/>
                <w:szCs w:val="28"/>
                <w:highlight w:val="none"/>
                <w:lang w:bidi="ar"/>
              </w:rPr>
              <w:t></w:t>
            </w:r>
            <w:r>
              <w:rPr>
                <w:rFonts w:hint="default" w:ascii="Symbol" w:hAnsi="Symbol" w:cs="Symbol"/>
                <w:color w:val="auto"/>
                <w:kern w:val="0"/>
                <w:sz w:val="32"/>
                <w:szCs w:val="32"/>
                <w:highlight w:val="none"/>
                <w:lang w:bidi="ar"/>
              </w:rPr>
              <w:t></w:t>
            </w:r>
            <w:r>
              <w:rPr>
                <w:rFonts w:hint="default"/>
                <w:color w:val="auto"/>
                <w:kern w:val="0"/>
                <w:sz w:val="28"/>
                <w:szCs w:val="28"/>
                <w:highlight w:val="none"/>
                <w:lang w:bidi="ar"/>
              </w:rPr>
              <w:t>a/</w:t>
            </w:r>
            <w:r>
              <w:rPr>
                <w:rFonts w:hint="default"/>
                <w:i/>
                <w:iCs/>
                <w:color w:val="auto"/>
                <w:kern w:val="0"/>
                <w:sz w:val="28"/>
                <w:szCs w:val="28"/>
                <w:highlight w:val="none"/>
                <w:lang w:bidi="ar"/>
              </w:rPr>
              <w:t>b</w:t>
            </w:r>
            <w:r>
              <w:rPr>
                <w:rFonts w:hint="default" w:ascii="Symbol" w:hAnsi="Symbol" w:cs="Symbol"/>
                <w:color w:val="auto"/>
                <w:kern w:val="0"/>
                <w:sz w:val="32"/>
                <w:szCs w:val="32"/>
                <w:highlight w:val="none"/>
                <w:lang w:bidi="ar"/>
              </w:rPr>
              <w:t></w:t>
            </w:r>
            <w:r>
              <w:rPr>
                <w:rFonts w:hint="default" w:ascii="Symbol" w:hAnsi="Symbol" w:cs="Symbol"/>
                <w:color w:val="auto"/>
                <w:kern w:val="0"/>
                <w:sz w:val="28"/>
                <w:szCs w:val="28"/>
                <w:highlight w:val="none"/>
                <w:lang w:bidi="ar"/>
              </w:rPr>
              <w:t></w:t>
            </w:r>
            <w:r>
              <w:rPr>
                <w:rFonts w:hint="default"/>
                <w:color w:val="auto"/>
                <w:kern w:val="0"/>
                <w:sz w:val="28"/>
                <w:szCs w:val="28"/>
                <w:highlight w:val="none"/>
                <w:lang w:bidi="ar"/>
              </w:rPr>
              <w:t>2</w:t>
            </w:r>
            <w:r>
              <w:rPr>
                <w:rFonts w:hint="default" w:ascii="Symbol" w:hAnsi="Symbol" w:cs="Symbol"/>
                <w:color w:val="auto"/>
                <w:kern w:val="0"/>
                <w:sz w:val="28"/>
                <w:szCs w:val="28"/>
                <w:highlight w:val="none"/>
                <w:lang w:bidi="ar"/>
              </w:rPr>
              <w:t xml:space="preserve"> </w:t>
            </w:r>
            <w:r>
              <w:rPr>
                <w:rFonts w:hint="default"/>
                <w:i/>
                <w:iCs/>
                <w:color w:val="auto"/>
                <w:kern w:val="0"/>
                <w:sz w:val="28"/>
                <w:szCs w:val="28"/>
                <w:highlight w:val="none"/>
                <w:lang w:bidi="ar"/>
              </w:rPr>
              <w:t>E</w:t>
            </w:r>
            <w:r>
              <w:rPr>
                <w:rFonts w:hint="default"/>
                <w:color w:val="auto"/>
                <w:kern w:val="0"/>
                <w:sz w:val="16"/>
                <w:szCs w:val="16"/>
                <w:highlight w:val="none"/>
                <w:lang w:bidi="ar"/>
              </w:rPr>
              <w:t xml:space="preserve">f </w:t>
            </w:r>
            <w:r>
              <w:rPr>
                <w:rFonts w:hint="default" w:ascii="Symbol" w:hAnsi="Symbol" w:cs="Symbol"/>
                <w:color w:val="auto"/>
                <w:kern w:val="0"/>
                <w:sz w:val="28"/>
                <w:szCs w:val="28"/>
                <w:highlight w:val="none"/>
                <w:lang w:bidi="ar"/>
              </w:rPr>
              <w:t xml:space="preserve"> </w:t>
            </w:r>
            <w:r>
              <w:rPr>
                <w:rFonts w:hint="default"/>
                <w:i/>
                <w:iCs/>
                <w:color w:val="auto"/>
                <w:kern w:val="0"/>
                <w:sz w:val="28"/>
                <w:szCs w:val="28"/>
                <w:highlight w:val="none"/>
                <w:lang w:bidi="ar"/>
              </w:rPr>
              <w:t>S</w:t>
            </w:r>
            <w:r>
              <w:rPr>
                <w:rFonts w:hint="default" w:ascii="Symbol" w:hAnsi="Symbol" w:cs="Symbol"/>
                <w:color w:val="auto"/>
                <w:kern w:val="0"/>
                <w:sz w:val="32"/>
                <w:szCs w:val="32"/>
                <w:highlight w:val="none"/>
                <w:lang w:bidi="ar"/>
              </w:rPr>
              <w:t></w:t>
            </w:r>
            <w:r>
              <w:rPr>
                <w:rFonts w:hint="default" w:ascii="Symbol" w:hAnsi="Symbol" w:cs="Symbol"/>
                <w:color w:val="auto"/>
                <w:kern w:val="0"/>
                <w:sz w:val="28"/>
                <w:szCs w:val="28"/>
                <w:highlight w:val="none"/>
                <w:lang w:bidi="ar"/>
              </w:rPr>
              <w:t></w:t>
            </w:r>
            <w:r>
              <w:rPr>
                <w:rFonts w:hint="default"/>
                <w:color w:val="auto"/>
                <w:kern w:val="0"/>
                <w:sz w:val="28"/>
                <w:szCs w:val="28"/>
                <w:highlight w:val="none"/>
                <w:lang w:bidi="ar"/>
              </w:rPr>
              <w:t>10</w:t>
            </w:r>
            <w:r>
              <w:rPr>
                <w:rFonts w:hint="eastAsia"/>
                <w:color w:val="auto"/>
                <w:kern w:val="0"/>
                <w:sz w:val="28"/>
                <w:szCs w:val="28"/>
                <w:highlight w:val="none"/>
                <w:vertAlign w:val="superscript"/>
                <w:lang w:bidi="ar"/>
              </w:rPr>
              <w:t>-3</w:t>
            </w:r>
          </w:p>
          <w:p w14:paraId="4ABDF27B">
            <w:pPr>
              <w:pStyle w:val="44"/>
              <w:keepNext w:val="0"/>
              <w:keepLines w:val="0"/>
              <w:pageBreakBefore w:val="0"/>
              <w:widowControl w:val="0"/>
              <w:suppressLineNumbers w:val="0"/>
              <w:shd w:val="clear"/>
              <w:tabs>
                <w:tab w:val="center" w:pos="0"/>
                <w:tab w:val="center" w:pos="4153"/>
                <w:tab w:val="right" w:pos="8306"/>
              </w:tabs>
              <w:kinsoku/>
              <w:wordWrap/>
              <w:overflowPunct/>
              <w:topLinePunct w:val="0"/>
              <w:autoSpaceDE/>
              <w:autoSpaceDN/>
              <w:bidi w:val="0"/>
              <w:adjustRightInd/>
              <w:snapToGrid/>
              <w:spacing w:before="0" w:beforeAutospacing="0" w:after="0" w:afterLines="0" w:afterAutospacing="0" w:line="480" w:lineRule="exact"/>
              <w:ind w:left="0" w:right="0" w:firstLine="480"/>
              <w:textAlignment w:val="auto"/>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式中：</w:t>
            </w:r>
          </w:p>
          <w:p w14:paraId="377DC3BF">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P-颗粒物产生量，t/a；</w:t>
            </w:r>
          </w:p>
          <w:p w14:paraId="66C191FF">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ZCy-装卸扬尘产生量，t/a；</w:t>
            </w:r>
          </w:p>
          <w:p w14:paraId="560C4362">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FCy-风蚀扬尘产生量，t/a。</w:t>
            </w:r>
            <w:r>
              <w:rPr>
                <w:rFonts w:hint="eastAsia" w:ascii="Times New Roman" w:hAnsi="Times New Roman" w:eastAsia="宋体" w:cs="Times New Roman"/>
                <w:color w:val="auto"/>
                <w:sz w:val="24"/>
                <w:szCs w:val="24"/>
                <w:highlight w:val="none"/>
                <w:lang w:val="en-US" w:eastAsia="zh-CN"/>
              </w:rPr>
              <w:t>物料在封闭的车间内储存，不考虑</w:t>
            </w:r>
            <w:r>
              <w:rPr>
                <w:rFonts w:hint="default" w:ascii="Times New Roman" w:hAnsi="Times New Roman" w:eastAsia="宋体" w:cs="Times New Roman"/>
                <w:color w:val="auto"/>
                <w:sz w:val="24"/>
                <w:szCs w:val="24"/>
                <w:highlight w:val="none"/>
                <w:lang w:val="en-US" w:eastAsia="zh-CN"/>
              </w:rPr>
              <w:t>风蚀扬尘</w:t>
            </w:r>
            <w:r>
              <w:rPr>
                <w:rFonts w:hint="eastAsia" w:ascii="Times New Roman" w:hAnsi="Times New Roman" w:eastAsia="宋体" w:cs="Times New Roman"/>
                <w:color w:val="auto"/>
                <w:sz w:val="24"/>
                <w:szCs w:val="24"/>
                <w:highlight w:val="none"/>
                <w:lang w:val="en-US" w:eastAsia="zh-CN"/>
              </w:rPr>
              <w:t>。</w:t>
            </w:r>
          </w:p>
          <w:p w14:paraId="0DB4BF91">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Nc-年物料运载车次，车/a；</w:t>
            </w:r>
          </w:p>
          <w:p w14:paraId="4E8EFFF7">
            <w:pPr>
              <w:pStyle w:val="65"/>
              <w:keepNext w:val="0"/>
              <w:keepLines w:val="0"/>
              <w:pageBreakBefore w:val="0"/>
              <w:widowControl w:val="0"/>
              <w:numPr>
                <w:ilvl w:val="0"/>
                <w:numId w:val="14"/>
              </w:numPr>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单车平均运载量，t/车；</w:t>
            </w:r>
          </w:p>
          <w:p w14:paraId="71E2F4E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年物料运载车次及单车平均运载量</w:t>
            </w:r>
          </w:p>
          <w:tbl>
            <w:tblPr>
              <w:tblStyle w:val="33"/>
              <w:tblW w:w="797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800"/>
              <w:gridCol w:w="1842"/>
              <w:gridCol w:w="1619"/>
              <w:gridCol w:w="1619"/>
              <w:gridCol w:w="1097"/>
            </w:tblGrid>
            <w:tr w14:paraId="32F6D30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0" w:hRule="atLeast"/>
                <w:jc w:val="center"/>
              </w:trPr>
              <w:tc>
                <w:tcPr>
                  <w:tcW w:w="1800" w:type="dxa"/>
                  <w:tcBorders>
                    <w:tl2br w:val="nil"/>
                    <w:tr2bl w:val="nil"/>
                  </w:tcBorders>
                  <w:vAlign w:val="center"/>
                </w:tcPr>
                <w:p w14:paraId="0FBB06C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物料名称</w:t>
                  </w:r>
                </w:p>
              </w:tc>
              <w:tc>
                <w:tcPr>
                  <w:tcW w:w="1842" w:type="dxa"/>
                  <w:tcBorders>
                    <w:tl2br w:val="nil"/>
                    <w:tr2bl w:val="nil"/>
                  </w:tcBorders>
                  <w:vAlign w:val="center"/>
                </w:tcPr>
                <w:p w14:paraId="6B89384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年运载量（万t/a）</w:t>
                  </w:r>
                </w:p>
              </w:tc>
              <w:tc>
                <w:tcPr>
                  <w:tcW w:w="1619" w:type="dxa"/>
                  <w:tcBorders>
                    <w:tl2br w:val="nil"/>
                    <w:tr2bl w:val="nil"/>
                  </w:tcBorders>
                  <w:vAlign w:val="center"/>
                </w:tcPr>
                <w:p w14:paraId="705BB68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单次运载量（t）</w:t>
                  </w:r>
                </w:p>
              </w:tc>
              <w:tc>
                <w:tcPr>
                  <w:tcW w:w="1619" w:type="dxa"/>
                  <w:tcBorders>
                    <w:tl2br w:val="nil"/>
                    <w:tr2bl w:val="nil"/>
                  </w:tcBorders>
                  <w:vAlign w:val="center"/>
                </w:tcPr>
                <w:p w14:paraId="6B735F0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年运输车次</w:t>
                  </w:r>
                </w:p>
              </w:tc>
              <w:tc>
                <w:tcPr>
                  <w:tcW w:w="1097" w:type="dxa"/>
                  <w:tcBorders>
                    <w:tl2br w:val="nil"/>
                    <w:tr2bl w:val="nil"/>
                  </w:tcBorders>
                  <w:vAlign w:val="center"/>
                </w:tcPr>
                <w:p w14:paraId="2DC1FEE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备注</w:t>
                  </w:r>
                </w:p>
              </w:tc>
            </w:tr>
            <w:tr w14:paraId="0C8B59D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0" w:hRule="atLeast"/>
                <w:jc w:val="center"/>
              </w:trPr>
              <w:tc>
                <w:tcPr>
                  <w:tcW w:w="1800" w:type="dxa"/>
                  <w:tcBorders>
                    <w:tl2br w:val="nil"/>
                    <w:tr2bl w:val="nil"/>
                  </w:tcBorders>
                  <w:vAlign w:val="center"/>
                </w:tcPr>
                <w:p w14:paraId="07B1037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不合格矿石原料</w:t>
                  </w:r>
                </w:p>
              </w:tc>
              <w:tc>
                <w:tcPr>
                  <w:tcW w:w="1842" w:type="dxa"/>
                  <w:tcBorders>
                    <w:tl2br w:val="nil"/>
                    <w:tr2bl w:val="nil"/>
                  </w:tcBorders>
                  <w:vAlign w:val="center"/>
                </w:tcPr>
                <w:p w14:paraId="66162D4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90000</w:t>
                  </w:r>
                </w:p>
              </w:tc>
              <w:tc>
                <w:tcPr>
                  <w:tcW w:w="1619" w:type="dxa"/>
                  <w:tcBorders>
                    <w:tl2br w:val="nil"/>
                    <w:tr2bl w:val="nil"/>
                  </w:tcBorders>
                  <w:vAlign w:val="center"/>
                </w:tcPr>
                <w:p w14:paraId="4CD00FE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w:t>
                  </w:r>
                </w:p>
              </w:tc>
              <w:tc>
                <w:tcPr>
                  <w:tcW w:w="1619" w:type="dxa"/>
                  <w:tcBorders>
                    <w:tl2br w:val="nil"/>
                    <w:tr2bl w:val="nil"/>
                  </w:tcBorders>
                  <w:vAlign w:val="center"/>
                </w:tcPr>
                <w:p w14:paraId="0B81E4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6000</w:t>
                  </w:r>
                </w:p>
              </w:tc>
              <w:tc>
                <w:tcPr>
                  <w:tcW w:w="1097" w:type="dxa"/>
                  <w:tcBorders>
                    <w:tl2br w:val="nil"/>
                    <w:tr2bl w:val="nil"/>
                  </w:tcBorders>
                  <w:vAlign w:val="center"/>
                </w:tcPr>
                <w:p w14:paraId="1D5A5A8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货运汽车</w:t>
                  </w:r>
                </w:p>
              </w:tc>
            </w:tr>
            <w:tr w14:paraId="24EAD46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0" w:hRule="atLeast"/>
                <w:jc w:val="center"/>
              </w:trPr>
              <w:tc>
                <w:tcPr>
                  <w:tcW w:w="1800" w:type="dxa"/>
                  <w:tcBorders>
                    <w:tl2br w:val="nil"/>
                    <w:tr2bl w:val="nil"/>
                  </w:tcBorders>
                  <w:vAlign w:val="center"/>
                </w:tcPr>
                <w:p w14:paraId="40FF451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合格矿石原料</w:t>
                  </w:r>
                </w:p>
              </w:tc>
              <w:tc>
                <w:tcPr>
                  <w:tcW w:w="1842" w:type="dxa"/>
                  <w:tcBorders>
                    <w:tl2br w:val="nil"/>
                    <w:tr2bl w:val="nil"/>
                  </w:tcBorders>
                  <w:vAlign w:val="center"/>
                </w:tcPr>
                <w:p w14:paraId="00E58C6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60000</w:t>
                  </w:r>
                </w:p>
              </w:tc>
              <w:tc>
                <w:tcPr>
                  <w:tcW w:w="1619" w:type="dxa"/>
                  <w:tcBorders>
                    <w:tl2br w:val="nil"/>
                    <w:tr2bl w:val="nil"/>
                  </w:tcBorders>
                  <w:vAlign w:val="center"/>
                </w:tcPr>
                <w:p w14:paraId="46958F9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1619" w:type="dxa"/>
                  <w:tcBorders>
                    <w:tl2br w:val="nil"/>
                    <w:tr2bl w:val="nil"/>
                  </w:tcBorders>
                  <w:vAlign w:val="center"/>
                </w:tcPr>
                <w:p w14:paraId="380F32E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15000</w:t>
                  </w:r>
                </w:p>
              </w:tc>
              <w:tc>
                <w:tcPr>
                  <w:tcW w:w="1097" w:type="dxa"/>
                  <w:tcBorders>
                    <w:tl2br w:val="nil"/>
                    <w:tr2bl w:val="nil"/>
                  </w:tcBorders>
                  <w:vAlign w:val="center"/>
                </w:tcPr>
                <w:p w14:paraId="4EFA01B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装载机</w:t>
                  </w:r>
                </w:p>
              </w:tc>
            </w:tr>
            <w:tr w14:paraId="677B1D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0" w:hRule="atLeast"/>
                <w:jc w:val="center"/>
              </w:trPr>
              <w:tc>
                <w:tcPr>
                  <w:tcW w:w="1800" w:type="dxa"/>
                  <w:tcBorders>
                    <w:tl2br w:val="nil"/>
                    <w:tr2bl w:val="nil"/>
                  </w:tcBorders>
                  <w:vAlign w:val="center"/>
                </w:tcPr>
                <w:p w14:paraId="251E143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土渣</w:t>
                  </w:r>
                </w:p>
              </w:tc>
              <w:tc>
                <w:tcPr>
                  <w:tcW w:w="1842" w:type="dxa"/>
                  <w:tcBorders>
                    <w:tl2br w:val="nil"/>
                    <w:tr2bl w:val="nil"/>
                  </w:tcBorders>
                  <w:vAlign w:val="center"/>
                </w:tcPr>
                <w:p w14:paraId="23007CD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30000</w:t>
                  </w:r>
                </w:p>
              </w:tc>
              <w:tc>
                <w:tcPr>
                  <w:tcW w:w="1619" w:type="dxa"/>
                  <w:tcBorders>
                    <w:tl2br w:val="nil"/>
                    <w:tr2bl w:val="nil"/>
                  </w:tcBorders>
                  <w:vAlign w:val="center"/>
                </w:tcPr>
                <w:p w14:paraId="373D99E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30</w:t>
                  </w:r>
                </w:p>
              </w:tc>
              <w:tc>
                <w:tcPr>
                  <w:tcW w:w="1619" w:type="dxa"/>
                  <w:tcBorders>
                    <w:tl2br w:val="nil"/>
                    <w:tr2bl w:val="nil"/>
                  </w:tcBorders>
                  <w:vAlign w:val="center"/>
                </w:tcPr>
                <w:p w14:paraId="104B230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1000</w:t>
                  </w:r>
                </w:p>
              </w:tc>
              <w:tc>
                <w:tcPr>
                  <w:tcW w:w="1097" w:type="dxa"/>
                  <w:tcBorders>
                    <w:tl2br w:val="nil"/>
                    <w:tr2bl w:val="nil"/>
                  </w:tcBorders>
                  <w:vAlign w:val="center"/>
                </w:tcPr>
                <w:p w14:paraId="25B101A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货运汽车</w:t>
                  </w:r>
                </w:p>
              </w:tc>
            </w:tr>
          </w:tbl>
          <w:p w14:paraId="4077FD65">
            <w:pPr>
              <w:pStyle w:val="65"/>
              <w:keepNext w:val="0"/>
              <w:keepLines w:val="0"/>
              <w:pageBreakBefore w:val="0"/>
              <w:widowControl w:val="0"/>
              <w:numPr>
                <w:ilvl w:val="0"/>
                <w:numId w:val="0"/>
              </w:numPr>
              <w:shd w:val="clear"/>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a/b-装卸扬尘概化系数，kg/t；</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指各省风速概化系数</w:t>
            </w:r>
            <w:r>
              <w:rPr>
                <w:rFonts w:hint="eastAsia" w:ascii="Times New Roman" w:hAnsi="Times New Roman" w:eastAsia="宋体" w:cs="Times New Roman"/>
                <w:color w:val="auto"/>
                <w:sz w:val="24"/>
                <w:szCs w:val="24"/>
                <w:highlight w:val="none"/>
                <w:lang w:val="en-US" w:eastAsia="zh-CN"/>
              </w:rPr>
              <w:t>，河北省</w:t>
            </w:r>
            <w:r>
              <w:rPr>
                <w:rFonts w:hint="default" w:ascii="Times New Roman" w:hAnsi="Times New Roman" w:eastAsia="宋体" w:cs="Times New Roman"/>
                <w:color w:val="auto"/>
                <w:sz w:val="24"/>
                <w:szCs w:val="24"/>
                <w:highlight w:val="none"/>
                <w:lang w:val="en-US" w:eastAsia="zh-CN"/>
              </w:rPr>
              <w:t>风速概化系数</w:t>
            </w:r>
            <w:r>
              <w:rPr>
                <w:rFonts w:hint="eastAsia" w:ascii="Times New Roman" w:hAnsi="Times New Roman" w:eastAsia="宋体" w:cs="Times New Roman"/>
                <w:color w:val="auto"/>
                <w:sz w:val="24"/>
                <w:szCs w:val="24"/>
                <w:highlight w:val="none"/>
                <w:lang w:val="en-US" w:eastAsia="zh-CN"/>
              </w:rPr>
              <w:t>为0.0010；b</w:t>
            </w:r>
            <w:r>
              <w:rPr>
                <w:rFonts w:hint="default" w:ascii="Times New Roman" w:hAnsi="Times New Roman" w:eastAsia="宋体" w:cs="Times New Roman"/>
                <w:color w:val="auto"/>
                <w:sz w:val="24"/>
                <w:szCs w:val="24"/>
                <w:highlight w:val="none"/>
                <w:lang w:val="en-US" w:eastAsia="zh-CN"/>
              </w:rPr>
              <w:t>指物料含水率概化系数，</w:t>
            </w:r>
            <w:r>
              <w:rPr>
                <w:rFonts w:hint="eastAsia" w:ascii="Times New Roman" w:hAnsi="Times New Roman" w:eastAsia="宋体" w:cs="Times New Roman"/>
                <w:color w:val="auto"/>
                <w:sz w:val="24"/>
                <w:szCs w:val="24"/>
                <w:highlight w:val="none"/>
                <w:lang w:val="en-US" w:eastAsia="zh-CN"/>
              </w:rPr>
              <w:t>类型按块矿计，</w:t>
            </w:r>
            <w:r>
              <w:rPr>
                <w:rFonts w:hint="default" w:ascii="Times New Roman" w:hAnsi="Times New Roman" w:eastAsia="宋体" w:cs="Times New Roman"/>
                <w:color w:val="auto"/>
                <w:sz w:val="24"/>
                <w:szCs w:val="24"/>
                <w:highlight w:val="none"/>
                <w:lang w:val="en-US" w:eastAsia="zh-CN"/>
              </w:rPr>
              <w:t>物料含水率概化系数</w:t>
            </w:r>
            <w:r>
              <w:rPr>
                <w:rFonts w:hint="eastAsia" w:ascii="Times New Roman" w:hAnsi="Times New Roman" w:eastAsia="宋体" w:cs="Times New Roman"/>
                <w:color w:val="auto"/>
                <w:sz w:val="24"/>
                <w:szCs w:val="24"/>
                <w:highlight w:val="none"/>
                <w:lang w:val="en-US" w:eastAsia="zh-CN"/>
              </w:rPr>
              <w:t>为0.0064。因此</w:t>
            </w:r>
            <w:r>
              <w:rPr>
                <w:rFonts w:hint="default" w:ascii="Times New Roman" w:hAnsi="Times New Roman" w:eastAsia="宋体" w:cs="Times New Roman"/>
                <w:color w:val="auto"/>
                <w:sz w:val="24"/>
                <w:szCs w:val="24"/>
                <w:highlight w:val="none"/>
                <w:lang w:val="en-US" w:eastAsia="zh-CN"/>
              </w:rPr>
              <w:t>a/b</w:t>
            </w:r>
            <w:r>
              <w:rPr>
                <w:rFonts w:hint="eastAsia" w:ascii="Times New Roman" w:hAnsi="Times New Roman" w:eastAsia="宋体" w:cs="Times New Roman"/>
                <w:color w:val="auto"/>
                <w:sz w:val="24"/>
                <w:szCs w:val="24"/>
                <w:highlight w:val="none"/>
                <w:lang w:val="en-US" w:eastAsia="zh-CN"/>
              </w:rPr>
              <w:t>为0.15625。</w:t>
            </w:r>
          </w:p>
          <w:p w14:paraId="05303AF0">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Ef-堆场风蚀扬尘概化系数，kg/m</w:t>
            </w:r>
            <w:r>
              <w:rPr>
                <w:rFonts w:hint="default"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w:t>
            </w:r>
          </w:p>
          <w:p w14:paraId="60731B52">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S——堆场占地面积，m</w:t>
            </w:r>
            <w:r>
              <w:rPr>
                <w:rFonts w:hint="default"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w:t>
            </w:r>
          </w:p>
          <w:p w14:paraId="468F56A7">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0F348C5A">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29F323C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p>
          <w:p w14:paraId="4E2B042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物料堆存占地面积</w:t>
            </w:r>
          </w:p>
          <w:tbl>
            <w:tblPr>
              <w:tblStyle w:val="33"/>
              <w:tblW w:w="7859"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3884"/>
              <w:gridCol w:w="3975"/>
            </w:tblGrid>
            <w:tr w14:paraId="605187C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3CECDCE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物料名称</w:t>
                  </w:r>
                </w:p>
              </w:tc>
              <w:tc>
                <w:tcPr>
                  <w:tcW w:w="3975" w:type="dxa"/>
                  <w:tcBorders>
                    <w:tl2br w:val="nil"/>
                    <w:tr2bl w:val="nil"/>
                  </w:tcBorders>
                  <w:vAlign w:val="center"/>
                </w:tcPr>
                <w:p w14:paraId="6FE5E52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占地面积（m</w:t>
                  </w:r>
                  <w:r>
                    <w:rPr>
                      <w:rFonts w:hint="eastAsia"/>
                      <w:color w:val="auto"/>
                      <w:sz w:val="21"/>
                      <w:szCs w:val="21"/>
                      <w:vertAlign w:val="superscript"/>
                      <w:lang w:val="en-US" w:eastAsia="zh-CN"/>
                    </w:rPr>
                    <w:t>2</w:t>
                  </w:r>
                  <w:r>
                    <w:rPr>
                      <w:rFonts w:hint="eastAsia"/>
                      <w:color w:val="auto"/>
                      <w:sz w:val="21"/>
                      <w:szCs w:val="21"/>
                      <w:vertAlign w:val="baseline"/>
                      <w:lang w:val="en-US" w:eastAsia="zh-CN"/>
                    </w:rPr>
                    <w:t>）</w:t>
                  </w:r>
                </w:p>
              </w:tc>
            </w:tr>
            <w:tr w14:paraId="1BEC7B2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092CE75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不合格原料矿石</w:t>
                  </w:r>
                </w:p>
              </w:tc>
              <w:tc>
                <w:tcPr>
                  <w:tcW w:w="3975" w:type="dxa"/>
                  <w:tcBorders>
                    <w:tl2br w:val="nil"/>
                    <w:tr2bl w:val="nil"/>
                  </w:tcBorders>
                  <w:vAlign w:val="center"/>
                </w:tcPr>
                <w:p w14:paraId="06CCE4C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1000</w:t>
                  </w:r>
                </w:p>
              </w:tc>
            </w:tr>
            <w:tr w14:paraId="1E5BBC6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12CE2A9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合格原料矿石</w:t>
                  </w:r>
                </w:p>
              </w:tc>
              <w:tc>
                <w:tcPr>
                  <w:tcW w:w="3975" w:type="dxa"/>
                  <w:tcBorders>
                    <w:tl2br w:val="nil"/>
                    <w:tr2bl w:val="nil"/>
                  </w:tcBorders>
                  <w:vAlign w:val="center"/>
                </w:tcPr>
                <w:p w14:paraId="090CE90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500</w:t>
                  </w:r>
                </w:p>
              </w:tc>
            </w:tr>
            <w:tr w14:paraId="1B94E8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774E66C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土渣</w:t>
                  </w:r>
                </w:p>
              </w:tc>
              <w:tc>
                <w:tcPr>
                  <w:tcW w:w="3975" w:type="dxa"/>
                  <w:tcBorders>
                    <w:tl2br w:val="nil"/>
                    <w:tr2bl w:val="nil"/>
                  </w:tcBorders>
                  <w:vAlign w:val="center"/>
                </w:tcPr>
                <w:p w14:paraId="0FB1CBA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1000</w:t>
                  </w:r>
                </w:p>
              </w:tc>
            </w:tr>
            <w:tr w14:paraId="511AEC8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7859" w:type="dxa"/>
                  <w:gridSpan w:val="2"/>
                  <w:tcBorders>
                    <w:tl2br w:val="nil"/>
                    <w:tr2bl w:val="nil"/>
                  </w:tcBorders>
                  <w:vAlign w:val="center"/>
                </w:tcPr>
                <w:p w14:paraId="5B0950F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both"/>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备注：合格矿石原料暂存后，转运至现有工程原料库</w:t>
                  </w:r>
                </w:p>
              </w:tc>
            </w:tr>
          </w:tbl>
          <w:p w14:paraId="26F2E25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颗粒物产生量计算参数及结果见下表。</w:t>
            </w:r>
          </w:p>
          <w:p w14:paraId="736F3E1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cs="Times New Roman"/>
                <w:b/>
                <w:bCs/>
                <w:color w:val="auto"/>
                <w:spacing w:val="0"/>
                <w:sz w:val="21"/>
                <w:szCs w:val="21"/>
                <w:highlight w:val="none"/>
                <w:lang w:val="en-US" w:eastAsia="zh-CN"/>
              </w:rPr>
              <w:t>物料堆场</w:t>
            </w:r>
            <w:r>
              <w:rPr>
                <w:rFonts w:hint="eastAsia" w:ascii="Times New Roman" w:hAnsi="Times New Roman" w:eastAsia="宋体" w:cs="Times New Roman"/>
                <w:b/>
                <w:bCs/>
                <w:color w:val="auto"/>
                <w:spacing w:val="0"/>
                <w:sz w:val="21"/>
                <w:szCs w:val="21"/>
                <w:highlight w:val="none"/>
                <w:lang w:val="en-US" w:eastAsia="zh-CN"/>
              </w:rPr>
              <w:t>颗粒物产生量计算参数及结果一览表</w:t>
            </w:r>
          </w:p>
          <w:tbl>
            <w:tblPr>
              <w:tblStyle w:val="33"/>
              <w:tblW w:w="781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2746"/>
              <w:gridCol w:w="978"/>
              <w:gridCol w:w="918"/>
              <w:gridCol w:w="948"/>
              <w:gridCol w:w="572"/>
              <w:gridCol w:w="843"/>
              <w:gridCol w:w="813"/>
            </w:tblGrid>
            <w:tr w14:paraId="4FEA02D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0" w:hRule="atLeast"/>
                <w:jc w:val="center"/>
              </w:trPr>
              <w:tc>
                <w:tcPr>
                  <w:tcW w:w="2746" w:type="dxa"/>
                  <w:tcBorders>
                    <w:tl2br w:val="nil"/>
                    <w:tr2bl w:val="nil"/>
                  </w:tcBorders>
                  <w:noWrap w:val="0"/>
                  <w:vAlign w:val="center"/>
                </w:tcPr>
                <w:p w14:paraId="6DADFFA7">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污染源</w:t>
                  </w:r>
                </w:p>
              </w:tc>
              <w:tc>
                <w:tcPr>
                  <w:tcW w:w="978" w:type="dxa"/>
                  <w:tcBorders>
                    <w:tl2br w:val="nil"/>
                    <w:tr2bl w:val="nil"/>
                  </w:tcBorders>
                  <w:noWrap w:val="0"/>
                  <w:vAlign w:val="center"/>
                </w:tcPr>
                <w:p w14:paraId="52F6C432">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Nc</w:t>
                  </w:r>
                </w:p>
                <w:p w14:paraId="0CF95A3F">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（车/a）</w:t>
                  </w:r>
                </w:p>
              </w:tc>
              <w:tc>
                <w:tcPr>
                  <w:tcW w:w="918" w:type="dxa"/>
                  <w:tcBorders>
                    <w:tl2br w:val="nil"/>
                    <w:tr2bl w:val="nil"/>
                  </w:tcBorders>
                  <w:noWrap w:val="0"/>
                  <w:vAlign w:val="center"/>
                </w:tcPr>
                <w:p w14:paraId="73766825">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D</w:t>
                  </w:r>
                </w:p>
                <w:p w14:paraId="42FC0A3B">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（t/车）</w:t>
                  </w:r>
                </w:p>
              </w:tc>
              <w:tc>
                <w:tcPr>
                  <w:tcW w:w="948" w:type="dxa"/>
                  <w:tcBorders>
                    <w:tl2br w:val="nil"/>
                    <w:tr2bl w:val="nil"/>
                  </w:tcBorders>
                  <w:noWrap w:val="0"/>
                  <w:vAlign w:val="center"/>
                </w:tcPr>
                <w:p w14:paraId="25BAD6A7">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a/b（kg/t）</w:t>
                  </w:r>
                </w:p>
              </w:tc>
              <w:tc>
                <w:tcPr>
                  <w:tcW w:w="572" w:type="dxa"/>
                  <w:tcBorders>
                    <w:tl2br w:val="nil"/>
                    <w:tr2bl w:val="nil"/>
                  </w:tcBorders>
                  <w:noWrap w:val="0"/>
                  <w:vAlign w:val="center"/>
                </w:tcPr>
                <w:p w14:paraId="6F674EB3">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E</w:t>
                  </w:r>
                  <w:r>
                    <w:rPr>
                      <w:rFonts w:hint="eastAsia" w:ascii="Times New Roman" w:hAnsi="Times New Roman" w:cs="Times New Roman"/>
                      <w:b/>
                      <w:bCs/>
                      <w:color w:val="auto"/>
                      <w:sz w:val="21"/>
                      <w:szCs w:val="21"/>
                      <w:highlight w:val="none"/>
                      <w:vertAlign w:val="subscript"/>
                      <w:lang w:val="en-US" w:eastAsia="zh-CN"/>
                    </w:rPr>
                    <w:t>f</w:t>
                  </w:r>
                </w:p>
              </w:tc>
              <w:tc>
                <w:tcPr>
                  <w:tcW w:w="843" w:type="dxa"/>
                  <w:tcBorders>
                    <w:tl2br w:val="nil"/>
                    <w:tr2bl w:val="nil"/>
                  </w:tcBorders>
                  <w:noWrap w:val="0"/>
                  <w:vAlign w:val="center"/>
                </w:tcPr>
                <w:p w14:paraId="5325E95B">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S（m</w:t>
                  </w:r>
                  <w:r>
                    <w:rPr>
                      <w:rFonts w:hint="eastAsia" w:ascii="Times New Roman" w:hAnsi="Times New Roman" w:cs="Times New Roman"/>
                      <w:b/>
                      <w:bCs/>
                      <w:color w:val="auto"/>
                      <w:sz w:val="21"/>
                      <w:szCs w:val="21"/>
                      <w:highlight w:val="none"/>
                      <w:vertAlign w:val="superscript"/>
                      <w:lang w:val="en-US" w:eastAsia="zh-CN"/>
                    </w:rPr>
                    <w:t>2</w:t>
                  </w:r>
                  <w:r>
                    <w:rPr>
                      <w:rFonts w:hint="eastAsia" w:ascii="Times New Roman" w:hAnsi="Times New Roman" w:cs="Times New Roman"/>
                      <w:b/>
                      <w:bCs/>
                      <w:color w:val="auto"/>
                      <w:sz w:val="21"/>
                      <w:szCs w:val="21"/>
                      <w:highlight w:val="none"/>
                      <w:lang w:val="en-US" w:eastAsia="zh-CN"/>
                    </w:rPr>
                    <w:t>）</w:t>
                  </w:r>
                </w:p>
              </w:tc>
              <w:tc>
                <w:tcPr>
                  <w:tcW w:w="813" w:type="dxa"/>
                  <w:tcBorders>
                    <w:tl2br w:val="nil"/>
                    <w:tr2bl w:val="nil"/>
                  </w:tcBorders>
                  <w:noWrap w:val="0"/>
                  <w:vAlign w:val="center"/>
                </w:tcPr>
                <w:p w14:paraId="2F3D7120">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P（t/a）</w:t>
                  </w:r>
                </w:p>
              </w:tc>
            </w:tr>
            <w:tr w14:paraId="657CB51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8" w:hRule="atLeast"/>
                <w:jc w:val="center"/>
              </w:trPr>
              <w:tc>
                <w:tcPr>
                  <w:tcW w:w="2746" w:type="dxa"/>
                  <w:tcBorders>
                    <w:tl2br w:val="nil"/>
                    <w:tr2bl w:val="nil"/>
                  </w:tcBorders>
                  <w:noWrap w:val="0"/>
                  <w:vAlign w:val="center"/>
                </w:tcPr>
                <w:p w14:paraId="717D9C21">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不合格原料矿石装卸、堆存过程产生的废气</w:t>
                  </w:r>
                </w:p>
              </w:tc>
              <w:tc>
                <w:tcPr>
                  <w:tcW w:w="978" w:type="dxa"/>
                  <w:tcBorders>
                    <w:tl2br w:val="nil"/>
                    <w:tr2bl w:val="nil"/>
                  </w:tcBorders>
                  <w:noWrap w:val="0"/>
                  <w:vAlign w:val="center"/>
                </w:tcPr>
                <w:p w14:paraId="75D9349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olor w:val="auto"/>
                      <w:sz w:val="21"/>
                      <w:szCs w:val="21"/>
                      <w:vertAlign w:val="baseline"/>
                      <w:lang w:val="en-US" w:eastAsia="zh-CN"/>
                    </w:rPr>
                    <w:t>6000</w:t>
                  </w:r>
                </w:p>
              </w:tc>
              <w:tc>
                <w:tcPr>
                  <w:tcW w:w="918" w:type="dxa"/>
                  <w:tcBorders>
                    <w:tl2br w:val="nil"/>
                    <w:tr2bl w:val="nil"/>
                  </w:tcBorders>
                  <w:noWrap w:val="0"/>
                  <w:vAlign w:val="center"/>
                </w:tcPr>
                <w:p w14:paraId="16980C1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olor w:val="auto"/>
                      <w:sz w:val="21"/>
                      <w:szCs w:val="21"/>
                      <w:vertAlign w:val="baseline"/>
                      <w:lang w:val="en-US" w:eastAsia="zh-CN"/>
                    </w:rPr>
                    <w:t>15</w:t>
                  </w:r>
                </w:p>
              </w:tc>
              <w:tc>
                <w:tcPr>
                  <w:tcW w:w="948" w:type="dxa"/>
                  <w:tcBorders>
                    <w:tl2br w:val="nil"/>
                    <w:tr2bl w:val="nil"/>
                  </w:tcBorders>
                  <w:noWrap w:val="0"/>
                  <w:vAlign w:val="center"/>
                </w:tcPr>
                <w:p w14:paraId="664969B4">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0.15625</w:t>
                  </w:r>
                </w:p>
              </w:tc>
              <w:tc>
                <w:tcPr>
                  <w:tcW w:w="572" w:type="dxa"/>
                  <w:tcBorders>
                    <w:tl2br w:val="nil"/>
                    <w:tr2bl w:val="nil"/>
                  </w:tcBorders>
                  <w:noWrap w:val="0"/>
                  <w:vAlign w:val="center"/>
                </w:tcPr>
                <w:p w14:paraId="757E6DFF">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843" w:type="dxa"/>
                  <w:tcBorders>
                    <w:tl2br w:val="nil"/>
                    <w:tr2bl w:val="nil"/>
                  </w:tcBorders>
                  <w:noWrap w:val="0"/>
                  <w:vAlign w:val="center"/>
                </w:tcPr>
                <w:p w14:paraId="508BC66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1000</w:t>
                  </w:r>
                </w:p>
              </w:tc>
              <w:tc>
                <w:tcPr>
                  <w:tcW w:w="813" w:type="dxa"/>
                  <w:tcBorders>
                    <w:tl2br w:val="nil"/>
                    <w:tr2bl w:val="nil"/>
                  </w:tcBorders>
                  <w:noWrap w:val="0"/>
                  <w:vAlign w:val="center"/>
                </w:tcPr>
                <w:p w14:paraId="3824FF0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14.063</w:t>
                  </w:r>
                </w:p>
              </w:tc>
            </w:tr>
            <w:tr w14:paraId="2AAF20A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8" w:hRule="atLeast"/>
                <w:jc w:val="center"/>
              </w:trPr>
              <w:tc>
                <w:tcPr>
                  <w:tcW w:w="2746" w:type="dxa"/>
                  <w:tcBorders>
                    <w:tl2br w:val="nil"/>
                    <w:tr2bl w:val="nil"/>
                  </w:tcBorders>
                  <w:noWrap w:val="0"/>
                  <w:vAlign w:val="center"/>
                </w:tcPr>
                <w:p w14:paraId="7ED4BACA">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合格矿石原料装卸、堆存过程产生的废气</w:t>
                  </w:r>
                </w:p>
              </w:tc>
              <w:tc>
                <w:tcPr>
                  <w:tcW w:w="978" w:type="dxa"/>
                  <w:tcBorders>
                    <w:tl2br w:val="nil"/>
                    <w:tr2bl w:val="nil"/>
                  </w:tcBorders>
                  <w:noWrap w:val="0"/>
                  <w:vAlign w:val="center"/>
                </w:tcPr>
                <w:p w14:paraId="101E20B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olor w:val="auto"/>
                      <w:sz w:val="21"/>
                      <w:szCs w:val="21"/>
                      <w:vertAlign w:val="baseline"/>
                      <w:lang w:val="en-US" w:eastAsia="zh-CN"/>
                    </w:rPr>
                    <w:t>15000</w:t>
                  </w:r>
                </w:p>
              </w:tc>
              <w:tc>
                <w:tcPr>
                  <w:tcW w:w="918" w:type="dxa"/>
                  <w:tcBorders>
                    <w:tl2br w:val="nil"/>
                    <w:tr2bl w:val="nil"/>
                  </w:tcBorders>
                  <w:noWrap w:val="0"/>
                  <w:vAlign w:val="center"/>
                </w:tcPr>
                <w:p w14:paraId="29912E4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olor w:val="auto"/>
                      <w:sz w:val="21"/>
                      <w:szCs w:val="21"/>
                      <w:vertAlign w:val="baseline"/>
                      <w:lang w:val="en-US" w:eastAsia="zh-CN"/>
                    </w:rPr>
                    <w:t>4</w:t>
                  </w:r>
                </w:p>
              </w:tc>
              <w:tc>
                <w:tcPr>
                  <w:tcW w:w="948" w:type="dxa"/>
                  <w:tcBorders>
                    <w:tl2br w:val="nil"/>
                    <w:tr2bl w:val="nil"/>
                  </w:tcBorders>
                  <w:noWrap w:val="0"/>
                  <w:vAlign w:val="center"/>
                </w:tcPr>
                <w:p w14:paraId="54341E6B">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0.15625</w:t>
                  </w:r>
                </w:p>
              </w:tc>
              <w:tc>
                <w:tcPr>
                  <w:tcW w:w="572" w:type="dxa"/>
                  <w:tcBorders>
                    <w:tl2br w:val="nil"/>
                    <w:tr2bl w:val="nil"/>
                  </w:tcBorders>
                  <w:noWrap w:val="0"/>
                  <w:vAlign w:val="center"/>
                </w:tcPr>
                <w:p w14:paraId="568703BC">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843" w:type="dxa"/>
                  <w:tcBorders>
                    <w:tl2br w:val="nil"/>
                    <w:tr2bl w:val="nil"/>
                  </w:tcBorders>
                  <w:noWrap w:val="0"/>
                  <w:vAlign w:val="center"/>
                </w:tcPr>
                <w:p w14:paraId="74CDAC8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500</w:t>
                  </w:r>
                </w:p>
              </w:tc>
              <w:tc>
                <w:tcPr>
                  <w:tcW w:w="813" w:type="dxa"/>
                  <w:tcBorders>
                    <w:tl2br w:val="nil"/>
                    <w:tr2bl w:val="nil"/>
                  </w:tcBorders>
                  <w:noWrap w:val="0"/>
                  <w:vAlign w:val="center"/>
                </w:tcPr>
                <w:p w14:paraId="68F5EBA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default"/>
                      <w:color w:val="auto"/>
                      <w:sz w:val="21"/>
                      <w:szCs w:val="21"/>
                      <w:vertAlign w:val="baseline"/>
                      <w:lang w:val="en-US" w:eastAsia="zh-CN"/>
                    </w:rPr>
                    <w:t>9.375</w:t>
                  </w:r>
                </w:p>
              </w:tc>
            </w:tr>
            <w:tr w14:paraId="346E8CF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8" w:hRule="atLeast"/>
                <w:jc w:val="center"/>
              </w:trPr>
              <w:tc>
                <w:tcPr>
                  <w:tcW w:w="2746" w:type="dxa"/>
                  <w:tcBorders>
                    <w:tl2br w:val="nil"/>
                    <w:tr2bl w:val="nil"/>
                  </w:tcBorders>
                  <w:noWrap w:val="0"/>
                  <w:vAlign w:val="center"/>
                </w:tcPr>
                <w:p w14:paraId="5145429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土渣装卸、堆存过程产生的废气</w:t>
                  </w:r>
                </w:p>
              </w:tc>
              <w:tc>
                <w:tcPr>
                  <w:tcW w:w="978" w:type="dxa"/>
                  <w:tcBorders>
                    <w:tl2br w:val="nil"/>
                    <w:tr2bl w:val="nil"/>
                  </w:tcBorders>
                  <w:noWrap w:val="0"/>
                  <w:vAlign w:val="center"/>
                </w:tcPr>
                <w:p w14:paraId="7ADA1CF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olor w:val="auto"/>
                      <w:sz w:val="21"/>
                      <w:szCs w:val="21"/>
                      <w:vertAlign w:val="baseline"/>
                      <w:lang w:val="en-US" w:eastAsia="zh-CN"/>
                    </w:rPr>
                    <w:t>1000</w:t>
                  </w:r>
                </w:p>
              </w:tc>
              <w:tc>
                <w:tcPr>
                  <w:tcW w:w="918" w:type="dxa"/>
                  <w:tcBorders>
                    <w:tl2br w:val="nil"/>
                    <w:tr2bl w:val="nil"/>
                  </w:tcBorders>
                  <w:noWrap w:val="0"/>
                  <w:vAlign w:val="center"/>
                </w:tcPr>
                <w:p w14:paraId="25EB3F4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olor w:val="auto"/>
                      <w:sz w:val="21"/>
                      <w:szCs w:val="21"/>
                      <w:vertAlign w:val="baseline"/>
                      <w:lang w:val="en-US" w:eastAsia="zh-CN"/>
                    </w:rPr>
                    <w:t>30</w:t>
                  </w:r>
                </w:p>
              </w:tc>
              <w:tc>
                <w:tcPr>
                  <w:tcW w:w="948" w:type="dxa"/>
                  <w:tcBorders>
                    <w:tl2br w:val="nil"/>
                    <w:tr2bl w:val="nil"/>
                  </w:tcBorders>
                  <w:noWrap w:val="0"/>
                  <w:vAlign w:val="center"/>
                </w:tcPr>
                <w:p w14:paraId="7F2750F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0.15625</w:t>
                  </w:r>
                </w:p>
              </w:tc>
              <w:tc>
                <w:tcPr>
                  <w:tcW w:w="572" w:type="dxa"/>
                  <w:tcBorders>
                    <w:tl2br w:val="nil"/>
                    <w:tr2bl w:val="nil"/>
                  </w:tcBorders>
                  <w:noWrap w:val="0"/>
                  <w:vAlign w:val="center"/>
                </w:tcPr>
                <w:p w14:paraId="77C3D24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843" w:type="dxa"/>
                  <w:tcBorders>
                    <w:tl2br w:val="nil"/>
                    <w:tr2bl w:val="nil"/>
                  </w:tcBorders>
                  <w:noWrap w:val="0"/>
                  <w:vAlign w:val="center"/>
                </w:tcPr>
                <w:p w14:paraId="63A520C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1000</w:t>
                  </w:r>
                </w:p>
              </w:tc>
              <w:tc>
                <w:tcPr>
                  <w:tcW w:w="813" w:type="dxa"/>
                  <w:tcBorders>
                    <w:tl2br w:val="nil"/>
                    <w:tr2bl w:val="nil"/>
                  </w:tcBorders>
                  <w:noWrap w:val="0"/>
                  <w:vAlign w:val="center"/>
                </w:tcPr>
                <w:p w14:paraId="4270181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default"/>
                      <w:color w:val="auto"/>
                      <w:sz w:val="21"/>
                      <w:szCs w:val="21"/>
                      <w:vertAlign w:val="baseline"/>
                      <w:lang w:val="en-US" w:eastAsia="zh-CN"/>
                    </w:rPr>
                    <w:t>4.688</w:t>
                  </w:r>
                </w:p>
              </w:tc>
            </w:tr>
            <w:tr w14:paraId="42E2CB8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5" w:hRule="atLeast"/>
                <w:jc w:val="center"/>
              </w:trPr>
              <w:tc>
                <w:tcPr>
                  <w:tcW w:w="2746" w:type="dxa"/>
                  <w:tcBorders>
                    <w:tl2br w:val="nil"/>
                    <w:tr2bl w:val="nil"/>
                  </w:tcBorders>
                  <w:noWrap w:val="0"/>
                  <w:vAlign w:val="center"/>
                </w:tcPr>
                <w:p w14:paraId="79F05C4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合计</w:t>
                  </w:r>
                </w:p>
              </w:tc>
              <w:tc>
                <w:tcPr>
                  <w:tcW w:w="978" w:type="dxa"/>
                  <w:tcBorders>
                    <w:tl2br w:val="nil"/>
                    <w:tr2bl w:val="nil"/>
                  </w:tcBorders>
                  <w:noWrap w:val="0"/>
                  <w:vAlign w:val="center"/>
                </w:tcPr>
                <w:p w14:paraId="2CA78DE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p>
              </w:tc>
              <w:tc>
                <w:tcPr>
                  <w:tcW w:w="918" w:type="dxa"/>
                  <w:tcBorders>
                    <w:tl2br w:val="nil"/>
                    <w:tr2bl w:val="nil"/>
                  </w:tcBorders>
                  <w:noWrap w:val="0"/>
                  <w:vAlign w:val="center"/>
                </w:tcPr>
                <w:p w14:paraId="00A4AE2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p>
              </w:tc>
              <w:tc>
                <w:tcPr>
                  <w:tcW w:w="948" w:type="dxa"/>
                  <w:tcBorders>
                    <w:tl2br w:val="nil"/>
                    <w:tr2bl w:val="nil"/>
                  </w:tcBorders>
                  <w:noWrap w:val="0"/>
                  <w:vAlign w:val="center"/>
                </w:tcPr>
                <w:p w14:paraId="574DFBF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572" w:type="dxa"/>
                  <w:tcBorders>
                    <w:tl2br w:val="nil"/>
                    <w:tr2bl w:val="nil"/>
                  </w:tcBorders>
                  <w:noWrap w:val="0"/>
                  <w:vAlign w:val="center"/>
                </w:tcPr>
                <w:p w14:paraId="6C2638F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43" w:type="dxa"/>
                  <w:tcBorders>
                    <w:tl2br w:val="nil"/>
                    <w:tr2bl w:val="nil"/>
                  </w:tcBorders>
                  <w:noWrap w:val="0"/>
                  <w:vAlign w:val="center"/>
                </w:tcPr>
                <w:p w14:paraId="6C37589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p>
              </w:tc>
              <w:tc>
                <w:tcPr>
                  <w:tcW w:w="813" w:type="dxa"/>
                  <w:tcBorders>
                    <w:tl2br w:val="nil"/>
                    <w:tr2bl w:val="nil"/>
                  </w:tcBorders>
                  <w:noWrap w:val="0"/>
                  <w:vAlign w:val="center"/>
                </w:tcPr>
                <w:p w14:paraId="687E392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vertAlign w:val="baseline"/>
                      <w:lang w:val="en-US" w:eastAsia="zh-CN"/>
                    </w:rPr>
                  </w:pPr>
                  <w:r>
                    <w:rPr>
                      <w:rFonts w:hint="default"/>
                      <w:color w:val="auto"/>
                      <w:sz w:val="21"/>
                      <w:szCs w:val="21"/>
                      <w:vertAlign w:val="baseline"/>
                      <w:lang w:val="en-US" w:eastAsia="zh-CN"/>
                    </w:rPr>
                    <w:t>28.12</w:t>
                  </w:r>
                  <w:r>
                    <w:rPr>
                      <w:rFonts w:hint="eastAsia"/>
                      <w:color w:val="auto"/>
                      <w:sz w:val="21"/>
                      <w:szCs w:val="21"/>
                      <w:vertAlign w:val="baseline"/>
                      <w:lang w:val="en-US" w:eastAsia="zh-CN"/>
                    </w:rPr>
                    <w:t>6</w:t>
                  </w:r>
                </w:p>
              </w:tc>
            </w:tr>
          </w:tbl>
          <w:p w14:paraId="06774486">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工业企业固体物料堆场颗粒物排放量核算公式如下：</w:t>
            </w:r>
          </w:p>
          <w:p w14:paraId="7989D02C">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Uc=P×</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1−Cm</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1−Tm</w:t>
            </w:r>
            <w:r>
              <w:rPr>
                <w:rFonts w:hint="eastAsia" w:cs="Times New Roman"/>
                <w:color w:val="auto"/>
                <w:sz w:val="24"/>
                <w:szCs w:val="24"/>
                <w:highlight w:val="none"/>
                <w:lang w:val="en-US" w:eastAsia="zh-CN"/>
              </w:rPr>
              <w:t>）</w:t>
            </w:r>
          </w:p>
          <w:p w14:paraId="65C99B03">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式中：P指颗粒物产生量（单位：吨）；</w:t>
            </w:r>
          </w:p>
          <w:p w14:paraId="24527C03">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Uc指颗粒物排放量（单位：吨）；</w:t>
            </w:r>
          </w:p>
          <w:p w14:paraId="4F8C32A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Cm指颗粒物控制措施控制效率（单位：%），根据《固体物料堆存颗粒物产排污核算系数手册》附录4，本项目采取的粉尘控制措施为喷淋抑尘</w:t>
            </w:r>
            <w:r>
              <w:rPr>
                <w:rFonts w:hint="eastAsia" w:ascii="Times New Roman" w:hAnsi="Times New Roman" w:cs="Times New Roman"/>
                <w:color w:val="auto"/>
                <w:sz w:val="24"/>
                <w:szCs w:val="24"/>
                <w:highlight w:val="none"/>
                <w:lang w:val="en-US" w:eastAsia="zh-CN"/>
              </w:rPr>
              <w:t>（控制效率74%）</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出入口设洗车平台</w:t>
            </w:r>
            <w:r>
              <w:rPr>
                <w:rFonts w:hint="eastAsia" w:ascii="Times New Roman" w:hAnsi="Times New Roman" w:cs="Times New Roman"/>
                <w:color w:val="auto"/>
                <w:sz w:val="24"/>
                <w:szCs w:val="24"/>
                <w:highlight w:val="none"/>
                <w:lang w:val="en-US" w:eastAsia="zh-CN"/>
              </w:rPr>
              <w:t>（控制效率78%）</w:t>
            </w:r>
            <w:r>
              <w:rPr>
                <w:rFonts w:hint="default" w:ascii="Times New Roman" w:hAnsi="Times New Roman" w:eastAsia="宋体" w:cs="Times New Roman"/>
                <w:color w:val="auto"/>
                <w:sz w:val="24"/>
                <w:szCs w:val="24"/>
                <w:highlight w:val="none"/>
                <w:lang w:val="en-US" w:eastAsia="zh-CN"/>
              </w:rPr>
              <w:t>。</w:t>
            </w:r>
          </w:p>
          <w:p w14:paraId="377EC4B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Tm指堆场类型控制效率（单位：%），根据《固体物料堆存颗粒物产排污核算系数手册》附录5密闭式堆场类型控制效率取值99%。</w:t>
            </w:r>
          </w:p>
          <w:p w14:paraId="10B8CCF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cs="Times New Roman"/>
                <w:b/>
                <w:bCs/>
                <w:color w:val="auto"/>
                <w:spacing w:val="0"/>
                <w:sz w:val="21"/>
                <w:szCs w:val="21"/>
                <w:highlight w:val="none"/>
                <w:lang w:val="en-US" w:eastAsia="zh-CN"/>
              </w:rPr>
              <w:t>物料堆场</w:t>
            </w:r>
            <w:r>
              <w:rPr>
                <w:rFonts w:hint="eastAsia" w:ascii="Times New Roman" w:hAnsi="Times New Roman" w:cs="Times New Roman"/>
                <w:b/>
                <w:bCs/>
                <w:color w:val="auto"/>
                <w:spacing w:val="0"/>
                <w:sz w:val="21"/>
                <w:szCs w:val="21"/>
                <w:highlight w:val="none"/>
                <w:lang w:val="en-US" w:eastAsia="zh-CN"/>
              </w:rPr>
              <w:t>颗粒物</w:t>
            </w:r>
            <w:r>
              <w:rPr>
                <w:rFonts w:hint="eastAsia" w:cs="Times New Roman"/>
                <w:b/>
                <w:bCs/>
                <w:color w:val="auto"/>
                <w:spacing w:val="0"/>
                <w:sz w:val="21"/>
                <w:szCs w:val="21"/>
                <w:highlight w:val="none"/>
                <w:lang w:val="en-US" w:eastAsia="zh-CN"/>
              </w:rPr>
              <w:t>无组织</w:t>
            </w:r>
            <w:r>
              <w:rPr>
                <w:rFonts w:hint="default" w:ascii="Times New Roman" w:hAnsi="Times New Roman" w:eastAsia="宋体" w:cs="Times New Roman"/>
                <w:b/>
                <w:bCs/>
                <w:color w:val="auto"/>
                <w:spacing w:val="0"/>
                <w:sz w:val="21"/>
                <w:szCs w:val="21"/>
                <w:highlight w:val="none"/>
                <w:lang w:val="en-US" w:eastAsia="zh-CN"/>
              </w:rPr>
              <w:t>排放量</w:t>
            </w:r>
          </w:p>
          <w:tbl>
            <w:tblPr>
              <w:tblStyle w:val="32"/>
              <w:tblW w:w="4846"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3397"/>
              <w:gridCol w:w="1175"/>
              <w:gridCol w:w="1175"/>
              <w:gridCol w:w="1175"/>
              <w:gridCol w:w="1176"/>
            </w:tblGrid>
            <w:tr w14:paraId="7AE1D9E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2" w:hRule="atLeast"/>
                <w:jc w:val="center"/>
              </w:trPr>
              <w:tc>
                <w:tcPr>
                  <w:tcW w:w="2097" w:type="pct"/>
                  <w:tcBorders>
                    <w:tl2br w:val="nil"/>
                    <w:tr2bl w:val="nil"/>
                  </w:tcBorders>
                  <w:noWrap w:val="0"/>
                  <w:vAlign w:val="center"/>
                </w:tcPr>
                <w:p w14:paraId="16A3ACEE">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eastAsia="zh-CN"/>
                    </w:rPr>
                  </w:pPr>
                  <w:bookmarkStart w:id="4" w:name="OLE_LINK160" w:colFirst="0" w:colLast="4"/>
                  <w:r>
                    <w:rPr>
                      <w:rFonts w:hint="eastAsia" w:ascii="Times New Roman" w:hAnsi="Times New Roman" w:cs="Times New Roman"/>
                      <w:color w:val="auto"/>
                      <w:kern w:val="2"/>
                      <w:sz w:val="21"/>
                      <w:szCs w:val="21"/>
                      <w:lang w:eastAsia="zh-CN"/>
                    </w:rPr>
                    <w:t>污染源</w:t>
                  </w:r>
                </w:p>
              </w:tc>
              <w:tc>
                <w:tcPr>
                  <w:tcW w:w="725" w:type="pct"/>
                  <w:tcBorders>
                    <w:tl2br w:val="nil"/>
                    <w:tr2bl w:val="nil"/>
                  </w:tcBorders>
                  <w:noWrap w:val="0"/>
                  <w:vAlign w:val="center"/>
                </w:tcPr>
                <w:p w14:paraId="60A3454B">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P</w:t>
                  </w:r>
                  <w:r>
                    <w:rPr>
                      <w:rFonts w:hint="eastAsia" w:ascii="Times New Roman" w:hAnsi="Times New Roman" w:cs="Times New Roman"/>
                      <w:color w:val="auto"/>
                      <w:kern w:val="2"/>
                      <w:sz w:val="21"/>
                      <w:szCs w:val="21"/>
                      <w:lang w:eastAsia="zh-CN"/>
                    </w:rPr>
                    <w:t>（</w:t>
                  </w:r>
                  <w:r>
                    <w:rPr>
                      <w:rFonts w:hint="default" w:ascii="Times New Roman" w:hAnsi="Times New Roman" w:eastAsia="宋体" w:cs="Times New Roman"/>
                      <w:color w:val="auto"/>
                      <w:kern w:val="2"/>
                      <w:sz w:val="21"/>
                      <w:szCs w:val="21"/>
                    </w:rPr>
                    <w:t>t/a</w:t>
                  </w:r>
                  <w:r>
                    <w:rPr>
                      <w:rFonts w:hint="eastAsia" w:ascii="Times New Roman" w:hAnsi="Times New Roman" w:cs="Times New Roman"/>
                      <w:color w:val="auto"/>
                      <w:kern w:val="2"/>
                      <w:sz w:val="21"/>
                      <w:szCs w:val="21"/>
                      <w:lang w:eastAsia="zh-CN"/>
                    </w:rPr>
                    <w:t>）</w:t>
                  </w:r>
                </w:p>
              </w:tc>
              <w:tc>
                <w:tcPr>
                  <w:tcW w:w="725" w:type="pct"/>
                  <w:tcBorders>
                    <w:tl2br w:val="nil"/>
                    <w:tr2bl w:val="nil"/>
                  </w:tcBorders>
                  <w:noWrap w:val="0"/>
                  <w:vAlign w:val="center"/>
                </w:tcPr>
                <w:p w14:paraId="4ADA6A2A">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C</w:t>
                  </w:r>
                  <w:r>
                    <w:rPr>
                      <w:rFonts w:hint="default" w:ascii="Times New Roman" w:hAnsi="Times New Roman" w:eastAsia="宋体" w:cs="Times New Roman"/>
                      <w:color w:val="auto"/>
                      <w:kern w:val="2"/>
                      <w:sz w:val="21"/>
                      <w:szCs w:val="21"/>
                      <w:vertAlign w:val="subscript"/>
                    </w:rPr>
                    <w:t>m</w:t>
                  </w:r>
                  <w:r>
                    <w:rPr>
                      <w:rFonts w:hint="eastAsia" w:ascii="Times New Roman" w:hAnsi="Times New Roman" w:cs="Times New Roman"/>
                      <w:color w:val="auto"/>
                      <w:kern w:val="2"/>
                      <w:sz w:val="21"/>
                      <w:szCs w:val="21"/>
                      <w:lang w:eastAsia="zh-CN"/>
                    </w:rPr>
                    <w:t>（</w:t>
                  </w:r>
                  <w:r>
                    <w:rPr>
                      <w:rFonts w:hint="default" w:ascii="Times New Roman" w:hAnsi="Times New Roman" w:eastAsia="宋体" w:cs="Times New Roman"/>
                      <w:color w:val="auto"/>
                      <w:kern w:val="2"/>
                      <w:sz w:val="21"/>
                      <w:szCs w:val="21"/>
                    </w:rPr>
                    <w:t>%</w:t>
                  </w:r>
                  <w:r>
                    <w:rPr>
                      <w:rFonts w:hint="eastAsia" w:ascii="Times New Roman" w:hAnsi="Times New Roman" w:cs="Times New Roman"/>
                      <w:color w:val="auto"/>
                      <w:kern w:val="2"/>
                      <w:sz w:val="21"/>
                      <w:szCs w:val="21"/>
                      <w:lang w:eastAsia="zh-CN"/>
                    </w:rPr>
                    <w:t>）</w:t>
                  </w:r>
                </w:p>
              </w:tc>
              <w:tc>
                <w:tcPr>
                  <w:tcW w:w="725" w:type="pct"/>
                  <w:tcBorders>
                    <w:tl2br w:val="nil"/>
                    <w:tr2bl w:val="nil"/>
                  </w:tcBorders>
                  <w:noWrap w:val="0"/>
                  <w:vAlign w:val="center"/>
                </w:tcPr>
                <w:p w14:paraId="40602D57">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T</w:t>
                  </w:r>
                  <w:r>
                    <w:rPr>
                      <w:rFonts w:hint="default" w:ascii="Times New Roman" w:hAnsi="Times New Roman" w:eastAsia="宋体" w:cs="Times New Roman"/>
                      <w:color w:val="auto"/>
                      <w:kern w:val="2"/>
                      <w:sz w:val="21"/>
                      <w:szCs w:val="21"/>
                      <w:vertAlign w:val="subscript"/>
                    </w:rPr>
                    <w:t>m</w:t>
                  </w:r>
                  <w:r>
                    <w:rPr>
                      <w:rFonts w:hint="eastAsia" w:ascii="Times New Roman" w:hAnsi="Times New Roman" w:cs="Times New Roman"/>
                      <w:color w:val="auto"/>
                      <w:kern w:val="2"/>
                      <w:sz w:val="21"/>
                      <w:szCs w:val="21"/>
                      <w:lang w:eastAsia="zh-CN"/>
                    </w:rPr>
                    <w:t>（</w:t>
                  </w:r>
                  <w:r>
                    <w:rPr>
                      <w:rFonts w:hint="default" w:ascii="Times New Roman" w:hAnsi="Times New Roman" w:eastAsia="宋体" w:cs="Times New Roman"/>
                      <w:color w:val="auto"/>
                      <w:kern w:val="2"/>
                      <w:sz w:val="21"/>
                      <w:szCs w:val="21"/>
                    </w:rPr>
                    <w:t>%</w:t>
                  </w:r>
                  <w:r>
                    <w:rPr>
                      <w:rFonts w:hint="eastAsia" w:ascii="Times New Roman" w:hAnsi="Times New Roman" w:cs="Times New Roman"/>
                      <w:color w:val="auto"/>
                      <w:kern w:val="2"/>
                      <w:sz w:val="21"/>
                      <w:szCs w:val="21"/>
                      <w:lang w:eastAsia="zh-CN"/>
                    </w:rPr>
                    <w:t>）</w:t>
                  </w:r>
                </w:p>
              </w:tc>
              <w:tc>
                <w:tcPr>
                  <w:tcW w:w="726" w:type="pct"/>
                  <w:tcBorders>
                    <w:tl2br w:val="nil"/>
                    <w:tr2bl w:val="nil"/>
                  </w:tcBorders>
                  <w:noWrap w:val="0"/>
                  <w:vAlign w:val="center"/>
                </w:tcPr>
                <w:p w14:paraId="1275AD8C">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Uc</w:t>
                  </w:r>
                  <w:r>
                    <w:rPr>
                      <w:rFonts w:hint="eastAsia" w:ascii="Times New Roman" w:hAnsi="Times New Roman" w:cs="Times New Roman"/>
                      <w:color w:val="auto"/>
                      <w:kern w:val="2"/>
                      <w:sz w:val="21"/>
                      <w:szCs w:val="21"/>
                      <w:lang w:eastAsia="zh-CN"/>
                    </w:rPr>
                    <w:t>（</w:t>
                  </w:r>
                  <w:r>
                    <w:rPr>
                      <w:rFonts w:hint="default" w:ascii="Times New Roman" w:hAnsi="Times New Roman" w:eastAsia="宋体" w:cs="Times New Roman"/>
                      <w:color w:val="auto"/>
                      <w:kern w:val="2"/>
                      <w:sz w:val="21"/>
                      <w:szCs w:val="21"/>
                    </w:rPr>
                    <w:t>t/a</w:t>
                  </w:r>
                  <w:r>
                    <w:rPr>
                      <w:rFonts w:hint="eastAsia" w:ascii="Times New Roman" w:hAnsi="Times New Roman" w:cs="Times New Roman"/>
                      <w:color w:val="auto"/>
                      <w:kern w:val="2"/>
                      <w:sz w:val="21"/>
                      <w:szCs w:val="21"/>
                      <w:lang w:eastAsia="zh-CN"/>
                    </w:rPr>
                    <w:t>）</w:t>
                  </w:r>
                </w:p>
              </w:tc>
            </w:tr>
            <w:tr w14:paraId="6FF287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76" w:hRule="atLeast"/>
                <w:jc w:val="center"/>
              </w:trPr>
              <w:tc>
                <w:tcPr>
                  <w:tcW w:w="2097" w:type="pct"/>
                  <w:tcBorders>
                    <w:tl2br w:val="nil"/>
                    <w:tr2bl w:val="nil"/>
                  </w:tcBorders>
                  <w:noWrap w:val="0"/>
                  <w:vAlign w:val="center"/>
                </w:tcPr>
                <w:p w14:paraId="3E5F7853">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rPr>
                  </w:pPr>
                  <w:bookmarkStart w:id="5" w:name="OLE_LINK45" w:colFirst="4" w:colLast="4"/>
                  <w:r>
                    <w:rPr>
                      <w:rFonts w:hint="eastAsia" w:ascii="Times New Roman" w:hAnsi="Times New Roman" w:eastAsia="宋体" w:cs="Times New Roman"/>
                      <w:color w:val="auto"/>
                      <w:sz w:val="21"/>
                      <w:szCs w:val="21"/>
                      <w:highlight w:val="none"/>
                      <w:lang w:val="en-US" w:eastAsia="zh-CN"/>
                    </w:rPr>
                    <w:t>不合格原料矿石装卸、堆存过程产生的废气</w:t>
                  </w:r>
                </w:p>
              </w:tc>
              <w:tc>
                <w:tcPr>
                  <w:tcW w:w="725" w:type="pct"/>
                  <w:tcBorders>
                    <w:tl2br w:val="nil"/>
                    <w:tr2bl w:val="nil"/>
                  </w:tcBorders>
                  <w:noWrap w:val="0"/>
                  <w:vAlign w:val="center"/>
                </w:tcPr>
                <w:p w14:paraId="5202E461">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14.063 </w:t>
                  </w:r>
                </w:p>
              </w:tc>
              <w:tc>
                <w:tcPr>
                  <w:tcW w:w="725" w:type="pct"/>
                  <w:tcBorders>
                    <w:tl2br w:val="nil"/>
                    <w:tr2bl w:val="nil"/>
                  </w:tcBorders>
                  <w:noWrap w:val="0"/>
                  <w:vAlign w:val="center"/>
                </w:tcPr>
                <w:p w14:paraId="792B1AFB">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val="en-US" w:eastAsia="zh-CN"/>
                    </w:rPr>
                    <w:t>78%</w:t>
                  </w:r>
                </w:p>
              </w:tc>
              <w:tc>
                <w:tcPr>
                  <w:tcW w:w="725" w:type="pct"/>
                  <w:tcBorders>
                    <w:tl2br w:val="nil"/>
                    <w:tr2bl w:val="nil"/>
                  </w:tcBorders>
                  <w:noWrap w:val="0"/>
                  <w:vAlign w:val="center"/>
                </w:tcPr>
                <w:p w14:paraId="6831E6D2">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99%</w:t>
                  </w:r>
                </w:p>
              </w:tc>
              <w:tc>
                <w:tcPr>
                  <w:tcW w:w="726" w:type="pct"/>
                  <w:tcBorders>
                    <w:tl2br w:val="nil"/>
                    <w:tr2bl w:val="nil"/>
                  </w:tcBorders>
                  <w:noWrap w:val="0"/>
                  <w:vAlign w:val="center"/>
                </w:tcPr>
                <w:p w14:paraId="1A3AEF13">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0.031 </w:t>
                  </w:r>
                </w:p>
              </w:tc>
            </w:tr>
            <w:tr w14:paraId="347EBB1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76" w:hRule="atLeast"/>
                <w:jc w:val="center"/>
              </w:trPr>
              <w:tc>
                <w:tcPr>
                  <w:tcW w:w="2097" w:type="pct"/>
                  <w:tcBorders>
                    <w:tl2br w:val="nil"/>
                    <w:tr2bl w:val="nil"/>
                  </w:tcBorders>
                  <w:noWrap w:val="0"/>
                  <w:vAlign w:val="center"/>
                </w:tcPr>
                <w:p w14:paraId="4DB44C0E">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sz w:val="21"/>
                      <w:szCs w:val="21"/>
                      <w:highlight w:val="none"/>
                      <w:lang w:val="en-US" w:eastAsia="zh-CN"/>
                    </w:rPr>
                    <w:t>合格矿石原料装卸、堆存过程产生的废气</w:t>
                  </w:r>
                </w:p>
              </w:tc>
              <w:tc>
                <w:tcPr>
                  <w:tcW w:w="725" w:type="pct"/>
                  <w:tcBorders>
                    <w:tl2br w:val="nil"/>
                    <w:tr2bl w:val="nil"/>
                  </w:tcBorders>
                  <w:noWrap w:val="0"/>
                  <w:vAlign w:val="center"/>
                </w:tcPr>
                <w:p w14:paraId="05A7E02B">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9.375 </w:t>
                  </w:r>
                </w:p>
              </w:tc>
              <w:tc>
                <w:tcPr>
                  <w:tcW w:w="725" w:type="pct"/>
                  <w:tcBorders>
                    <w:tl2br w:val="nil"/>
                    <w:tr2bl w:val="nil"/>
                  </w:tcBorders>
                  <w:noWrap w:val="0"/>
                  <w:vAlign w:val="center"/>
                </w:tcPr>
                <w:p w14:paraId="1F30AFB9">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78%</w:t>
                  </w:r>
                </w:p>
              </w:tc>
              <w:tc>
                <w:tcPr>
                  <w:tcW w:w="725" w:type="pct"/>
                  <w:tcBorders>
                    <w:tl2br w:val="nil"/>
                    <w:tr2bl w:val="nil"/>
                  </w:tcBorders>
                  <w:noWrap w:val="0"/>
                  <w:vAlign w:val="center"/>
                </w:tcPr>
                <w:p w14:paraId="174E92DD">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99%</w:t>
                  </w:r>
                </w:p>
              </w:tc>
              <w:tc>
                <w:tcPr>
                  <w:tcW w:w="726" w:type="pct"/>
                  <w:tcBorders>
                    <w:tl2br w:val="nil"/>
                    <w:tr2bl w:val="nil"/>
                  </w:tcBorders>
                  <w:noWrap w:val="0"/>
                  <w:vAlign w:val="center"/>
                </w:tcPr>
                <w:p w14:paraId="525C1C50">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0.021 </w:t>
                  </w:r>
                </w:p>
              </w:tc>
            </w:tr>
            <w:tr w14:paraId="4CC409B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76" w:hRule="atLeast"/>
                <w:jc w:val="center"/>
              </w:trPr>
              <w:tc>
                <w:tcPr>
                  <w:tcW w:w="2097" w:type="pct"/>
                  <w:tcBorders>
                    <w:tl2br w:val="nil"/>
                    <w:tr2bl w:val="nil"/>
                  </w:tcBorders>
                  <w:noWrap w:val="0"/>
                  <w:vAlign w:val="center"/>
                </w:tcPr>
                <w:p w14:paraId="3460CC7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sz w:val="21"/>
                      <w:szCs w:val="21"/>
                      <w:highlight w:val="none"/>
                      <w:lang w:val="en-US" w:eastAsia="zh-CN"/>
                    </w:rPr>
                    <w:t>土渣装卸、堆存过程产生的废气</w:t>
                  </w:r>
                </w:p>
              </w:tc>
              <w:tc>
                <w:tcPr>
                  <w:tcW w:w="725" w:type="pct"/>
                  <w:tcBorders>
                    <w:tl2br w:val="nil"/>
                    <w:tr2bl w:val="nil"/>
                  </w:tcBorders>
                  <w:noWrap w:val="0"/>
                  <w:vAlign w:val="center"/>
                </w:tcPr>
                <w:p w14:paraId="2A2A8436">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4.688 </w:t>
                  </w:r>
                </w:p>
              </w:tc>
              <w:tc>
                <w:tcPr>
                  <w:tcW w:w="725" w:type="pct"/>
                  <w:tcBorders>
                    <w:tl2br w:val="nil"/>
                    <w:tr2bl w:val="nil"/>
                  </w:tcBorders>
                  <w:noWrap w:val="0"/>
                  <w:vAlign w:val="center"/>
                </w:tcPr>
                <w:p w14:paraId="14766561">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78%</w:t>
                  </w:r>
                </w:p>
              </w:tc>
              <w:tc>
                <w:tcPr>
                  <w:tcW w:w="725" w:type="pct"/>
                  <w:tcBorders>
                    <w:tl2br w:val="nil"/>
                    <w:tr2bl w:val="nil"/>
                  </w:tcBorders>
                  <w:noWrap w:val="0"/>
                  <w:vAlign w:val="center"/>
                </w:tcPr>
                <w:p w14:paraId="06AA1BAA">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99%</w:t>
                  </w:r>
                </w:p>
              </w:tc>
              <w:tc>
                <w:tcPr>
                  <w:tcW w:w="726" w:type="pct"/>
                  <w:tcBorders>
                    <w:tl2br w:val="nil"/>
                    <w:tr2bl w:val="nil"/>
                  </w:tcBorders>
                  <w:noWrap w:val="0"/>
                  <w:vAlign w:val="center"/>
                </w:tcPr>
                <w:p w14:paraId="04762AEC">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0.010 </w:t>
                  </w:r>
                </w:p>
              </w:tc>
            </w:tr>
            <w:tr w14:paraId="4615754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76" w:hRule="atLeast"/>
                <w:jc w:val="center"/>
              </w:trPr>
              <w:tc>
                <w:tcPr>
                  <w:tcW w:w="2097" w:type="pct"/>
                  <w:tcBorders>
                    <w:tl2br w:val="nil"/>
                    <w:tr2bl w:val="nil"/>
                  </w:tcBorders>
                  <w:noWrap w:val="0"/>
                  <w:vAlign w:val="center"/>
                </w:tcPr>
                <w:p w14:paraId="6288B174">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合计</w:t>
                  </w:r>
                </w:p>
              </w:tc>
              <w:tc>
                <w:tcPr>
                  <w:tcW w:w="725" w:type="pct"/>
                  <w:tcBorders>
                    <w:tl2br w:val="nil"/>
                    <w:tr2bl w:val="nil"/>
                  </w:tcBorders>
                  <w:noWrap w:val="0"/>
                  <w:vAlign w:val="center"/>
                </w:tcPr>
                <w:p w14:paraId="2452D355">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28.126 </w:t>
                  </w:r>
                </w:p>
              </w:tc>
              <w:tc>
                <w:tcPr>
                  <w:tcW w:w="725" w:type="pct"/>
                  <w:tcBorders>
                    <w:tl2br w:val="nil"/>
                    <w:tr2bl w:val="nil"/>
                  </w:tcBorders>
                  <w:noWrap w:val="0"/>
                  <w:vAlign w:val="center"/>
                </w:tcPr>
                <w:p w14:paraId="522ECFD8">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rPr>
                  </w:pPr>
                </w:p>
              </w:tc>
              <w:tc>
                <w:tcPr>
                  <w:tcW w:w="725" w:type="pct"/>
                  <w:tcBorders>
                    <w:tl2br w:val="nil"/>
                    <w:tr2bl w:val="nil"/>
                  </w:tcBorders>
                  <w:noWrap w:val="0"/>
                  <w:vAlign w:val="center"/>
                </w:tcPr>
                <w:p w14:paraId="3D3C912E">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rPr>
                  </w:pPr>
                </w:p>
              </w:tc>
              <w:tc>
                <w:tcPr>
                  <w:tcW w:w="726" w:type="pct"/>
                  <w:tcBorders>
                    <w:tl2br w:val="nil"/>
                    <w:tr2bl w:val="nil"/>
                  </w:tcBorders>
                  <w:noWrap w:val="0"/>
                  <w:vAlign w:val="center"/>
                </w:tcPr>
                <w:p w14:paraId="209FD0F0">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0.062 </w:t>
                  </w:r>
                </w:p>
              </w:tc>
            </w:tr>
            <w:bookmarkEnd w:id="4"/>
            <w:bookmarkEnd w:id="5"/>
          </w:tbl>
          <w:p w14:paraId="2BA59A7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w:t>
            </w:r>
            <w:r>
              <w:rPr>
                <w:rFonts w:hint="eastAsia" w:cs="Times New Roman"/>
                <w:color w:val="auto"/>
                <w:kern w:val="0"/>
                <w:sz w:val="24"/>
                <w:szCs w:val="24"/>
                <w:highlight w:val="none"/>
                <w:lang w:val="en-US" w:eastAsia="zh-CN"/>
              </w:rPr>
              <w:t>有组织未收集的废气</w:t>
            </w:r>
          </w:p>
          <w:p w14:paraId="6B60D64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cs="Times New Roman"/>
                <w:b w:val="0"/>
                <w:bCs w:val="0"/>
                <w:snapToGrid w:val="0"/>
                <w:color w:val="auto"/>
                <w:kern w:val="0"/>
                <w:sz w:val="24"/>
                <w:szCs w:val="24"/>
                <w:highlight w:val="none"/>
                <w:lang w:val="en-US" w:eastAsia="zh-CN"/>
              </w:rPr>
              <w:t>经</w:t>
            </w:r>
            <w:r>
              <w:rPr>
                <w:rFonts w:hint="default" w:ascii="Times New Roman" w:hAnsi="Times New Roman" w:eastAsia="宋体" w:cs="Times New Roman"/>
                <w:color w:val="auto"/>
                <w:kern w:val="0"/>
                <w:sz w:val="24"/>
                <w:szCs w:val="24"/>
                <w:highlight w:val="none"/>
                <w:lang w:val="en-US" w:eastAsia="zh-CN"/>
              </w:rPr>
              <w:t>计算，未收集颗粒物总产生量为</w:t>
            </w:r>
            <w:r>
              <w:rPr>
                <w:rFonts w:hint="eastAsia" w:ascii="Times New Roman" w:hAnsi="Times New Roman" w:cs="Times New Roman"/>
                <w:color w:val="auto"/>
                <w:kern w:val="0"/>
                <w:sz w:val="24"/>
                <w:szCs w:val="24"/>
                <w:highlight w:val="none"/>
                <w:lang w:val="en-US" w:eastAsia="zh-CN"/>
              </w:rPr>
              <w:t>5.670</w:t>
            </w:r>
            <w:r>
              <w:rPr>
                <w:rFonts w:hint="default" w:ascii="Times New Roman" w:hAnsi="Times New Roman" w:eastAsia="宋体" w:cs="Times New Roman"/>
                <w:color w:val="auto"/>
                <w:kern w:val="0"/>
                <w:sz w:val="24"/>
                <w:szCs w:val="24"/>
                <w:highlight w:val="none"/>
                <w:lang w:val="en-US" w:eastAsia="zh-CN"/>
              </w:rPr>
              <w:t>t/a，生产过程全密闭，</w:t>
            </w:r>
            <w:r>
              <w:rPr>
                <w:rFonts w:hint="default" w:ascii="Times New Roman" w:hAnsi="Times New Roman" w:eastAsia="宋体" w:cs="Times New Roman"/>
                <w:color w:val="auto"/>
                <w:sz w:val="24"/>
                <w:szCs w:val="24"/>
                <w:highlight w:val="none"/>
                <w:lang w:val="en-US" w:eastAsia="zh-CN"/>
              </w:rPr>
              <w:t>控制效率取值</w:t>
            </w:r>
            <w:r>
              <w:rPr>
                <w:rFonts w:hint="eastAsia" w:cs="Times New Roman"/>
                <w:color w:val="auto"/>
                <w:sz w:val="24"/>
                <w:szCs w:val="24"/>
                <w:highlight w:val="none"/>
                <w:lang w:val="en-US" w:eastAsia="zh-CN"/>
              </w:rPr>
              <w:t>90</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，则排放量为</w:t>
            </w:r>
            <w:r>
              <w:rPr>
                <w:rFonts w:hint="eastAsia" w:ascii="Times New Roman" w:hAnsi="Times New Roman" w:cs="Times New Roman"/>
                <w:color w:val="auto"/>
                <w:kern w:val="0"/>
                <w:sz w:val="24"/>
                <w:szCs w:val="24"/>
                <w:highlight w:val="none"/>
                <w:lang w:val="en-US" w:eastAsia="zh-CN"/>
              </w:rPr>
              <w:t>0.</w:t>
            </w:r>
            <w:r>
              <w:rPr>
                <w:rFonts w:hint="eastAsia" w:cs="Times New Roman"/>
                <w:color w:val="auto"/>
                <w:kern w:val="0"/>
                <w:sz w:val="24"/>
                <w:szCs w:val="24"/>
                <w:highlight w:val="none"/>
                <w:lang w:val="en-US" w:eastAsia="zh-CN"/>
              </w:rPr>
              <w:t>567</w:t>
            </w:r>
            <w:r>
              <w:rPr>
                <w:rFonts w:hint="default" w:ascii="Times New Roman" w:hAnsi="Times New Roman" w:eastAsia="宋体" w:cs="Times New Roman"/>
                <w:color w:val="auto"/>
                <w:kern w:val="0"/>
                <w:sz w:val="24"/>
                <w:szCs w:val="24"/>
                <w:highlight w:val="none"/>
                <w:lang w:val="en-US" w:eastAsia="zh-CN"/>
              </w:rPr>
              <w:t>t/a。</w:t>
            </w:r>
          </w:p>
          <w:p w14:paraId="6C17814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val="0"/>
                <w:color w:val="auto"/>
                <w:kern w:val="0"/>
                <w:sz w:val="24"/>
                <w:szCs w:val="24"/>
                <w:highlight w:val="none"/>
                <w:lang w:val="en-US" w:eastAsia="zh-CN"/>
              </w:rPr>
            </w:pPr>
            <w:r>
              <w:rPr>
                <w:rFonts w:hint="eastAsia" w:ascii="Times New Roman" w:hAnsi="Times New Roman" w:eastAsia="宋体" w:cs="Times New Roman"/>
                <w:b w:val="0"/>
                <w:bCs w:val="0"/>
                <w:snapToGrid w:val="0"/>
                <w:color w:val="auto"/>
                <w:kern w:val="0"/>
                <w:sz w:val="24"/>
                <w:szCs w:val="24"/>
                <w:highlight w:val="none"/>
                <w:lang w:val="en-US" w:eastAsia="zh-CN"/>
              </w:rPr>
              <w:t>综上所述，本项目无组织颗粒物产生量为33.796t/a，颗粒物无组织排放量为0.</w:t>
            </w:r>
            <w:r>
              <w:rPr>
                <w:rFonts w:hint="eastAsia" w:cs="Times New Roman"/>
                <w:b w:val="0"/>
                <w:bCs w:val="0"/>
                <w:snapToGrid w:val="0"/>
                <w:color w:val="auto"/>
                <w:kern w:val="0"/>
                <w:sz w:val="24"/>
                <w:szCs w:val="24"/>
                <w:highlight w:val="none"/>
                <w:lang w:val="en-US" w:eastAsia="zh-CN"/>
              </w:rPr>
              <w:t>629</w:t>
            </w:r>
            <w:r>
              <w:rPr>
                <w:rFonts w:hint="eastAsia" w:ascii="Times New Roman" w:hAnsi="Times New Roman" w:eastAsia="宋体" w:cs="Times New Roman"/>
                <w:b w:val="0"/>
                <w:bCs w:val="0"/>
                <w:snapToGrid w:val="0"/>
                <w:color w:val="auto"/>
                <w:kern w:val="0"/>
                <w:sz w:val="24"/>
                <w:szCs w:val="24"/>
                <w:highlight w:val="none"/>
                <w:lang w:val="en-US" w:eastAsia="zh-CN"/>
              </w:rPr>
              <w:t>t/a，排放速率为0.</w:t>
            </w:r>
            <w:r>
              <w:rPr>
                <w:rFonts w:hint="eastAsia" w:cs="Times New Roman"/>
                <w:b w:val="0"/>
                <w:bCs w:val="0"/>
                <w:snapToGrid w:val="0"/>
                <w:color w:val="auto"/>
                <w:kern w:val="0"/>
                <w:sz w:val="24"/>
                <w:szCs w:val="24"/>
                <w:highlight w:val="none"/>
                <w:lang w:val="en-US" w:eastAsia="zh-CN"/>
              </w:rPr>
              <w:t>261</w:t>
            </w:r>
            <w:r>
              <w:rPr>
                <w:rFonts w:hint="eastAsia" w:ascii="Times New Roman" w:hAnsi="Times New Roman" w:eastAsia="宋体" w:cs="Times New Roman"/>
                <w:b w:val="0"/>
                <w:bCs w:val="0"/>
                <w:snapToGrid w:val="0"/>
                <w:color w:val="auto"/>
                <w:kern w:val="0"/>
                <w:sz w:val="24"/>
                <w:szCs w:val="24"/>
                <w:highlight w:val="none"/>
                <w:lang w:val="en-US" w:eastAsia="zh-CN"/>
              </w:rPr>
              <w:t>kg/h。</w:t>
            </w:r>
          </w:p>
          <w:p w14:paraId="6F099AC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1.2</w:t>
            </w:r>
            <w:r>
              <w:rPr>
                <w:rFonts w:hint="eastAsia" w:ascii="Times New Roman" w:hAnsi="Times New Roman" w:eastAsia="宋体" w:cs="Times New Roman"/>
                <w:b/>
                <w:bCs/>
                <w:color w:val="auto"/>
                <w:kern w:val="0"/>
                <w:sz w:val="24"/>
                <w:szCs w:val="24"/>
                <w:highlight w:val="none"/>
                <w:lang w:val="en-US" w:eastAsia="zh-CN"/>
              </w:rPr>
              <w:t>无组织管控措施</w:t>
            </w:r>
          </w:p>
          <w:p w14:paraId="6B73D6D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⑴</w:t>
            </w:r>
            <w:r>
              <w:rPr>
                <w:rFonts w:hint="default" w:ascii="Times New Roman" w:hAnsi="Times New Roman" w:eastAsia="宋体" w:cs="Times New Roman"/>
                <w:color w:val="auto"/>
                <w:kern w:val="0"/>
                <w:sz w:val="24"/>
                <w:szCs w:val="24"/>
                <w:highlight w:val="none"/>
                <w:lang w:val="en-US" w:eastAsia="zh-CN"/>
              </w:rPr>
              <w:t>装卸过程在封闭的</w:t>
            </w:r>
            <w:r>
              <w:rPr>
                <w:rFonts w:hint="eastAsia" w:ascii="Times New Roman" w:hAnsi="Times New Roman" w:cs="Times New Roman"/>
                <w:color w:val="auto"/>
                <w:kern w:val="0"/>
                <w:sz w:val="24"/>
                <w:szCs w:val="24"/>
                <w:highlight w:val="none"/>
                <w:lang w:val="en-US" w:eastAsia="zh-CN"/>
              </w:rPr>
              <w:t>预处理</w:t>
            </w:r>
            <w:r>
              <w:rPr>
                <w:rFonts w:hint="default" w:ascii="Times New Roman" w:hAnsi="Times New Roman" w:eastAsia="宋体" w:cs="Times New Roman"/>
                <w:color w:val="auto"/>
                <w:kern w:val="0"/>
                <w:sz w:val="24"/>
                <w:szCs w:val="24"/>
                <w:highlight w:val="none"/>
                <w:lang w:val="en-US" w:eastAsia="zh-CN"/>
              </w:rPr>
              <w:t>车间内进行，</w:t>
            </w:r>
            <w:r>
              <w:rPr>
                <w:rFonts w:hint="eastAsia" w:ascii="Times New Roman" w:hAnsi="Times New Roman" w:cs="Times New Roman"/>
                <w:color w:val="auto"/>
                <w:kern w:val="0"/>
                <w:sz w:val="24"/>
                <w:szCs w:val="24"/>
                <w:highlight w:val="none"/>
                <w:lang w:val="en-US" w:eastAsia="zh-CN"/>
              </w:rPr>
              <w:t>预处理车间设置6台雾炮，保证不合格矿石原料、合格矿石原料、土渣装卸区域全部覆盖</w:t>
            </w:r>
            <w:r>
              <w:rPr>
                <w:rFonts w:hint="eastAsia" w:ascii="Times New Roman" w:hAnsi="Times New Roman" w:eastAsia="宋体" w:cs="Times New Roman"/>
                <w:b w:val="0"/>
                <w:bCs w:val="0"/>
                <w:snapToGrid w:val="0"/>
                <w:color w:val="auto"/>
                <w:kern w:val="0"/>
                <w:sz w:val="24"/>
                <w:szCs w:val="24"/>
                <w:highlight w:val="none"/>
                <w:lang w:val="en-US" w:eastAsia="zh-CN"/>
              </w:rPr>
              <w:t>，可有效降低原料区扬尘污染</w:t>
            </w:r>
            <w:r>
              <w:rPr>
                <w:rFonts w:hint="eastAsia" w:ascii="Times New Roman" w:hAnsi="Times New Roman" w:cs="Times New Roman"/>
                <w:b w:val="0"/>
                <w:bCs w:val="0"/>
                <w:snapToGrid w:val="0"/>
                <w:color w:val="auto"/>
                <w:kern w:val="0"/>
                <w:sz w:val="24"/>
                <w:szCs w:val="24"/>
                <w:highlight w:val="none"/>
                <w:lang w:val="en-US" w:eastAsia="zh-CN"/>
              </w:rPr>
              <w:t>；</w:t>
            </w:r>
          </w:p>
          <w:p w14:paraId="4E9538C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⑵不合格矿石原料</w:t>
            </w:r>
            <w:r>
              <w:rPr>
                <w:rFonts w:hint="default" w:ascii="Times New Roman" w:hAnsi="Times New Roman" w:eastAsia="宋体" w:cs="Times New Roman"/>
                <w:color w:val="auto"/>
                <w:kern w:val="0"/>
                <w:sz w:val="24"/>
                <w:szCs w:val="24"/>
                <w:highlight w:val="none"/>
                <w:lang w:val="en-US" w:eastAsia="zh-CN"/>
              </w:rPr>
              <w:t>上料</w:t>
            </w:r>
            <w:r>
              <w:rPr>
                <w:rFonts w:hint="eastAsia" w:ascii="Times New Roman" w:hAnsi="Times New Roman" w:eastAsia="宋体" w:cs="Times New Roman"/>
                <w:color w:val="auto"/>
                <w:kern w:val="0"/>
                <w:sz w:val="24"/>
                <w:szCs w:val="24"/>
                <w:highlight w:val="none"/>
                <w:lang w:val="en-US" w:eastAsia="zh-CN"/>
              </w:rPr>
              <w:t>仓</w:t>
            </w:r>
            <w:r>
              <w:rPr>
                <w:rFonts w:hint="default" w:ascii="Times New Roman" w:hAnsi="Times New Roman" w:eastAsia="宋体" w:cs="Times New Roman"/>
                <w:color w:val="auto"/>
                <w:kern w:val="0"/>
                <w:sz w:val="24"/>
                <w:szCs w:val="24"/>
                <w:highlight w:val="none"/>
                <w:lang w:val="en-US" w:eastAsia="zh-CN"/>
              </w:rPr>
              <w:t>三面及顶部围挡，一面设置软帘，</w:t>
            </w:r>
            <w:r>
              <w:rPr>
                <w:rFonts w:hint="eastAsia" w:ascii="Times New Roman" w:hAnsi="Times New Roman" w:eastAsia="宋体" w:cs="Times New Roman"/>
                <w:color w:val="auto"/>
                <w:kern w:val="0"/>
                <w:sz w:val="24"/>
                <w:szCs w:val="24"/>
                <w:highlight w:val="none"/>
                <w:lang w:val="en-US" w:eastAsia="zh-CN"/>
              </w:rPr>
              <w:t>设置伞状喷雾抑尘装置，喷雾抑尘装置范围应覆盖整个落料点（电伴热）；</w:t>
            </w:r>
            <w:r>
              <w:rPr>
                <w:rFonts w:hint="default" w:ascii="Times New Roman" w:hAnsi="Times New Roman" w:eastAsia="宋体" w:cs="Times New Roman"/>
                <w:color w:val="auto"/>
                <w:kern w:val="0"/>
                <w:sz w:val="24"/>
                <w:szCs w:val="24"/>
                <w:highlight w:val="none"/>
                <w:lang w:val="en-US" w:eastAsia="zh-CN"/>
              </w:rPr>
              <w:t>复式摇筛落料</w:t>
            </w:r>
            <w:r>
              <w:rPr>
                <w:rFonts w:hint="eastAsia" w:ascii="Times New Roman" w:hAnsi="Times New Roman" w:eastAsia="宋体" w:cs="Times New Roman"/>
                <w:color w:val="auto"/>
                <w:kern w:val="0"/>
                <w:sz w:val="24"/>
                <w:szCs w:val="24"/>
                <w:highlight w:val="none"/>
                <w:lang w:val="en-US" w:eastAsia="zh-CN"/>
              </w:rPr>
              <w:t>点（2处）分别设置伞状喷雾抑尘装置（设置电伴热装置），喷雾抑尘装置范围应覆盖整个落料点；</w:t>
            </w:r>
          </w:p>
          <w:p w14:paraId="75A3D2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⑶</w:t>
            </w:r>
            <w:r>
              <w:rPr>
                <w:rFonts w:hint="default" w:ascii="Times New Roman" w:hAnsi="Times New Roman" w:eastAsia="宋体" w:cs="Times New Roman"/>
                <w:color w:val="auto"/>
                <w:kern w:val="0"/>
                <w:sz w:val="24"/>
                <w:szCs w:val="24"/>
                <w:highlight w:val="none"/>
                <w:lang w:val="en-US" w:eastAsia="zh-CN"/>
              </w:rPr>
              <w:t>车间安装自动感应门，物料输送系统全封闭，输送过程中无可视性物料；</w:t>
            </w:r>
          </w:p>
          <w:p w14:paraId="2F5027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⑷</w:t>
            </w:r>
            <w:r>
              <w:rPr>
                <w:rFonts w:hint="default" w:ascii="Times New Roman" w:hAnsi="Times New Roman" w:eastAsia="宋体" w:cs="Times New Roman"/>
                <w:color w:val="auto"/>
                <w:kern w:val="0"/>
                <w:sz w:val="24"/>
                <w:szCs w:val="24"/>
                <w:highlight w:val="none"/>
                <w:lang w:val="en-US" w:eastAsia="zh-CN"/>
              </w:rPr>
              <w:t>车间及厂区道路地面全部硬化，</w:t>
            </w:r>
            <w:r>
              <w:rPr>
                <w:rFonts w:hint="eastAsia" w:ascii="Times New Roman" w:hAnsi="Times New Roman" w:eastAsia="宋体" w:cs="Times New Roman"/>
                <w:color w:val="auto"/>
                <w:kern w:val="0"/>
                <w:sz w:val="24"/>
                <w:szCs w:val="24"/>
                <w:highlight w:val="none"/>
                <w:lang w:val="en-US" w:eastAsia="zh-CN"/>
              </w:rPr>
              <w:t>未硬化的区域应采取绿化措施；</w:t>
            </w:r>
          </w:p>
          <w:p w14:paraId="334A6E3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⑸运输车辆车斗采用苫布苫盖，</w:t>
            </w:r>
            <w:r>
              <w:rPr>
                <w:rFonts w:hint="eastAsia" w:ascii="Times New Roman" w:hAnsi="Times New Roman" w:eastAsia="宋体" w:cs="Times New Roman"/>
                <w:color w:val="auto"/>
                <w:kern w:val="0"/>
                <w:sz w:val="24"/>
                <w:szCs w:val="24"/>
                <w:highlight w:val="none"/>
                <w:lang w:val="en-US" w:eastAsia="zh-CN"/>
              </w:rPr>
              <w:t>运输车辆首先采用新能源车辆或达到国五及以上排放标准的重型载货车辆；厂内非移动道路机械全部达到国四及以上标准或使用纯电动机械。</w:t>
            </w:r>
          </w:p>
          <w:p w14:paraId="74308B9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⑹</w:t>
            </w:r>
            <w:r>
              <w:rPr>
                <w:rFonts w:hint="eastAsia" w:ascii="Times New Roman" w:hAnsi="Times New Roman" w:eastAsia="宋体" w:cs="Times New Roman"/>
                <w:color w:val="auto"/>
                <w:kern w:val="0"/>
                <w:sz w:val="24"/>
                <w:szCs w:val="24"/>
                <w:highlight w:val="none"/>
                <w:lang w:val="en-US" w:eastAsia="zh-CN"/>
              </w:rPr>
              <w:t>现有工程已设置车辆洗车平台，并配套建设沉淀池、清水池等废水处理设施。本项目新增车间运输车辆清洗作业依托现有洗车平台统一实施</w:t>
            </w:r>
            <w:r>
              <w:rPr>
                <w:rFonts w:hint="default" w:ascii="Times New Roman" w:hAnsi="Times New Roman" w:eastAsia="宋体" w:cs="Times New Roman"/>
                <w:color w:val="auto"/>
                <w:kern w:val="0"/>
                <w:sz w:val="24"/>
                <w:szCs w:val="24"/>
                <w:highlight w:val="none"/>
                <w:lang w:val="en-US" w:eastAsia="zh-CN"/>
              </w:rPr>
              <w:t>。</w:t>
            </w:r>
          </w:p>
          <w:p w14:paraId="406B510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无组织废气结论：综上，</w:t>
            </w:r>
            <w:r>
              <w:rPr>
                <w:rFonts w:hint="eastAsia" w:ascii="Times New Roman" w:hAnsi="Times New Roman" w:eastAsia="宋体" w:cs="Times New Roman"/>
                <w:color w:val="auto"/>
                <w:kern w:val="0"/>
                <w:sz w:val="24"/>
                <w:szCs w:val="24"/>
                <w:highlight w:val="none"/>
                <w:lang w:val="en-US" w:eastAsia="zh-CN"/>
              </w:rPr>
              <w:t>无组织颗粒物排放量共0.</w:t>
            </w:r>
            <w:r>
              <w:rPr>
                <w:rFonts w:hint="eastAsia" w:cs="Times New Roman"/>
                <w:color w:val="auto"/>
                <w:kern w:val="0"/>
                <w:sz w:val="24"/>
                <w:szCs w:val="24"/>
                <w:highlight w:val="none"/>
                <w:lang w:val="en-US" w:eastAsia="zh-CN"/>
              </w:rPr>
              <w:t>629</w:t>
            </w:r>
            <w:r>
              <w:rPr>
                <w:rFonts w:hint="eastAsia" w:ascii="Times New Roman" w:hAnsi="Times New Roman" w:eastAsia="宋体" w:cs="Times New Roman"/>
                <w:color w:val="auto"/>
                <w:kern w:val="0"/>
                <w:sz w:val="24"/>
                <w:szCs w:val="24"/>
                <w:highlight w:val="none"/>
                <w:lang w:val="en-US" w:eastAsia="zh-CN"/>
              </w:rPr>
              <w:t>t/a。</w:t>
            </w:r>
            <w:r>
              <w:rPr>
                <w:rFonts w:hint="default" w:ascii="Times New Roman" w:hAnsi="Times New Roman" w:eastAsia="宋体" w:cs="Times New Roman"/>
                <w:color w:val="auto"/>
                <w:kern w:val="0"/>
                <w:sz w:val="24"/>
                <w:szCs w:val="24"/>
                <w:highlight w:val="none"/>
                <w:lang w:val="en-US" w:eastAsia="zh-CN"/>
              </w:rPr>
              <w:t>经预测分析，厂界无组织排放颗粒物满足</w:t>
            </w:r>
            <w:r>
              <w:rPr>
                <w:rFonts w:hint="eastAsia"/>
                <w:color w:val="auto"/>
                <w:szCs w:val="24"/>
                <w:highlight w:val="none"/>
              </w:rPr>
              <w:t>《2019年“十项重点工作”工作方案》</w:t>
            </w:r>
            <w:r>
              <w:rPr>
                <w:rFonts w:hint="eastAsia"/>
                <w:color w:val="auto"/>
                <w:szCs w:val="24"/>
                <w:highlight w:val="none"/>
                <w:lang w:eastAsia="zh-CN"/>
              </w:rPr>
              <w:t>（</w:t>
            </w:r>
            <w:r>
              <w:rPr>
                <w:rFonts w:hint="eastAsia"/>
                <w:color w:val="auto"/>
                <w:szCs w:val="24"/>
                <w:highlight w:val="none"/>
              </w:rPr>
              <w:t>唐办发</w:t>
            </w:r>
            <w:r>
              <w:rPr>
                <w:rFonts w:hint="eastAsia"/>
                <w:color w:val="auto"/>
                <w:szCs w:val="24"/>
                <w:highlight w:val="none"/>
                <w:lang w:eastAsia="zh-CN"/>
              </w:rPr>
              <w:t>﹝2019﹞</w:t>
            </w:r>
            <w:r>
              <w:rPr>
                <w:rFonts w:hint="eastAsia"/>
                <w:color w:val="auto"/>
                <w:szCs w:val="24"/>
                <w:highlight w:val="none"/>
              </w:rPr>
              <w:t>3号</w:t>
            </w:r>
            <w:r>
              <w:rPr>
                <w:rFonts w:hint="eastAsia"/>
                <w:color w:val="auto"/>
                <w:szCs w:val="24"/>
                <w:highlight w:val="none"/>
                <w:lang w:eastAsia="zh-CN"/>
              </w:rPr>
              <w:t>）</w:t>
            </w:r>
            <w:r>
              <w:rPr>
                <w:rFonts w:hint="eastAsia"/>
                <w:color w:val="auto"/>
                <w:szCs w:val="24"/>
                <w:highlight w:val="none"/>
              </w:rPr>
              <w:t>排放限值要求</w:t>
            </w:r>
            <w:r>
              <w:rPr>
                <w:rFonts w:hint="eastAsia"/>
                <w:color w:val="auto"/>
                <w:szCs w:val="24"/>
                <w:highlight w:val="none"/>
                <w:lang w:eastAsia="zh-CN"/>
              </w:rPr>
              <w:t>：厂界无组织颗粒物浓度不超过0.5mg/m</w:t>
            </w:r>
            <w:r>
              <w:rPr>
                <w:rFonts w:hint="eastAsia"/>
                <w:color w:val="auto"/>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生产车间外无组织颗粒物</w:t>
            </w:r>
            <w:r>
              <w:rPr>
                <w:rFonts w:hint="default" w:ascii="Times New Roman" w:hAnsi="Times New Roman" w:eastAsia="宋体" w:cs="Times New Roman"/>
                <w:color w:val="auto"/>
                <w:kern w:val="0"/>
                <w:sz w:val="24"/>
                <w:szCs w:val="24"/>
                <w:highlight w:val="none"/>
                <w:lang w:val="en-US" w:eastAsia="zh-CN"/>
              </w:rPr>
              <w:t>满足</w:t>
            </w:r>
            <w:r>
              <w:rPr>
                <w:rFonts w:hint="eastAsia"/>
                <w:color w:val="auto"/>
                <w:szCs w:val="24"/>
                <w:highlight w:val="none"/>
              </w:rPr>
              <w:t>《石灰行业大气污染物排放标准》</w:t>
            </w:r>
            <w:r>
              <w:rPr>
                <w:rFonts w:hint="eastAsia"/>
                <w:color w:val="auto"/>
                <w:szCs w:val="24"/>
                <w:highlight w:val="none"/>
                <w:lang w:eastAsia="zh-CN"/>
              </w:rPr>
              <w:t>（</w:t>
            </w:r>
            <w:r>
              <w:rPr>
                <w:rFonts w:hint="eastAsia"/>
                <w:color w:val="auto"/>
                <w:szCs w:val="24"/>
                <w:highlight w:val="none"/>
              </w:rPr>
              <w:t>DB13/1641</w:t>
            </w:r>
            <w:r>
              <w:rPr>
                <w:rFonts w:hint="eastAsia"/>
                <w:color w:val="auto"/>
                <w:szCs w:val="24"/>
                <w:highlight w:val="none"/>
                <w:lang w:eastAsia="zh-CN"/>
              </w:rPr>
              <w:t>-2025）</w:t>
            </w:r>
            <w:r>
              <w:rPr>
                <w:rFonts w:hint="default" w:ascii="Times New Roman" w:hAnsi="Times New Roman" w:eastAsia="宋体" w:cs="Times New Roman"/>
                <w:color w:val="auto"/>
                <w:kern w:val="0"/>
                <w:sz w:val="24"/>
                <w:szCs w:val="24"/>
                <w:highlight w:val="none"/>
                <w:lang w:val="en-US" w:eastAsia="zh-CN"/>
              </w:rPr>
              <w:t>表3企业厂区内大气污染物无组织排放限值5.0mg/m</w:t>
            </w:r>
            <w:r>
              <w:rPr>
                <w:rFonts w:hint="default"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lang w:val="en-US" w:eastAsia="zh-CN"/>
              </w:rPr>
              <w:t>。</w:t>
            </w:r>
          </w:p>
          <w:p w14:paraId="300F777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1.3非正常情况分析</w:t>
            </w:r>
          </w:p>
          <w:p w14:paraId="75A0E6C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结合项目工艺、设备及废气污染物产排特点，非正常生产状况主要是环保设施故障造成。作业前先开启环保设施，作业完成后再关闭环保设施，废气均能按正常操作进入环保设施，进行有效处理，废气污染物均可实现达标排放，不会对环境造成影响。</w:t>
            </w:r>
          </w:p>
          <w:p w14:paraId="5CF60144">
            <w:pPr>
              <w:keepNext w:val="0"/>
              <w:keepLines w:val="0"/>
              <w:suppressLineNumbers w:val="0"/>
              <w:shd w:val="clear"/>
              <w:spacing w:before="0" w:beforeAutospacing="0" w:after="0" w:afterAutospacing="0" w:line="480" w:lineRule="exact"/>
              <w:ind w:left="0" w:right="0" w:firstLine="464" w:firstLineChars="200"/>
              <w:jc w:val="left"/>
              <w:rPr>
                <w:rFonts w:hint="eastAsia" w:ascii="Times New Roman" w:hAnsi="Times New Roman" w:eastAsia="宋体" w:cs="Times New Roman"/>
                <w:color w:val="auto"/>
                <w:spacing w:val="-4"/>
                <w:sz w:val="24"/>
                <w:highlight w:val="none"/>
                <w:lang w:eastAsia="zh-CN"/>
              </w:rPr>
            </w:pPr>
            <w:r>
              <w:rPr>
                <w:rFonts w:hint="default" w:ascii="Times New Roman" w:hAnsi="Times New Roman" w:eastAsia="宋体" w:cs="Times New Roman"/>
                <w:color w:val="auto"/>
                <w:spacing w:val="-4"/>
                <w:sz w:val="24"/>
                <w:highlight w:val="none"/>
              </w:rPr>
              <w:t>当环保设施不正常运行时可直接导致废气中污染物浓度超标排放。一般来讲，废气处理环保设施存在多环节的故障隐患，但同时出现的概率极低，出现事故持续时间一般不会超过0.5h，可紧急抢修修复。非正常工况下持续时间短，对环境影响不大。一旦环保设施出现故障，影响废气处理效率，应立即停止当前作业。</w:t>
            </w:r>
          </w:p>
          <w:p w14:paraId="774106B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非正常排放参数调查表</w:t>
            </w:r>
          </w:p>
          <w:tbl>
            <w:tblPr>
              <w:tblStyle w:val="32"/>
              <w:tblW w:w="4948" w:type="pct"/>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1202"/>
              <w:gridCol w:w="824"/>
              <w:gridCol w:w="1425"/>
              <w:gridCol w:w="653"/>
              <w:gridCol w:w="774"/>
              <w:gridCol w:w="679"/>
              <w:gridCol w:w="784"/>
              <w:gridCol w:w="1928"/>
            </w:tblGrid>
            <w:tr w14:paraId="1503768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20" w:hRule="atLeast"/>
                <w:jc w:val="center"/>
              </w:trPr>
              <w:tc>
                <w:tcPr>
                  <w:tcW w:w="1202" w:type="dxa"/>
                  <w:tcBorders>
                    <w:tl2br w:val="nil"/>
                    <w:tr2bl w:val="nil"/>
                  </w:tcBorders>
                  <w:noWrap w:val="0"/>
                  <w:vAlign w:val="center"/>
                </w:tcPr>
                <w:p w14:paraId="6798CB07">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非正常排放源</w:t>
                  </w:r>
                </w:p>
              </w:tc>
              <w:tc>
                <w:tcPr>
                  <w:tcW w:w="824" w:type="dxa"/>
                  <w:tcBorders>
                    <w:tl2br w:val="nil"/>
                    <w:tr2bl w:val="nil"/>
                  </w:tcBorders>
                  <w:noWrap w:val="0"/>
                  <w:vAlign w:val="center"/>
                </w:tcPr>
                <w:p w14:paraId="17AD1C12">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pacing w:val="-14"/>
                      <w:sz w:val="21"/>
                      <w:szCs w:val="21"/>
                      <w:highlight w:val="none"/>
                    </w:rPr>
                  </w:pPr>
                  <w:r>
                    <w:rPr>
                      <w:rFonts w:hint="default" w:ascii="Times New Roman" w:hAnsi="Times New Roman" w:eastAsia="宋体" w:cs="Times New Roman"/>
                      <w:b w:val="0"/>
                      <w:bCs w:val="0"/>
                      <w:color w:val="auto"/>
                      <w:spacing w:val="-14"/>
                      <w:sz w:val="21"/>
                      <w:szCs w:val="21"/>
                      <w:highlight w:val="none"/>
                    </w:rPr>
                    <w:t>污染物</w:t>
                  </w:r>
                </w:p>
              </w:tc>
              <w:tc>
                <w:tcPr>
                  <w:tcW w:w="1425" w:type="dxa"/>
                  <w:tcBorders>
                    <w:tl2br w:val="nil"/>
                    <w:tr2bl w:val="nil"/>
                  </w:tcBorders>
                  <w:noWrap w:val="0"/>
                  <w:vAlign w:val="center"/>
                </w:tcPr>
                <w:p w14:paraId="4AD048E2">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非正常排放原因</w:t>
                  </w:r>
                </w:p>
              </w:tc>
              <w:tc>
                <w:tcPr>
                  <w:tcW w:w="653" w:type="dxa"/>
                  <w:tcBorders>
                    <w:tl2br w:val="nil"/>
                    <w:tr2bl w:val="nil"/>
                  </w:tcBorders>
                  <w:noWrap w:val="0"/>
                  <w:vAlign w:val="center"/>
                </w:tcPr>
                <w:p w14:paraId="7F316630">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频次</w:t>
                  </w:r>
                </w:p>
              </w:tc>
              <w:tc>
                <w:tcPr>
                  <w:tcW w:w="774" w:type="dxa"/>
                  <w:tcBorders>
                    <w:tl2br w:val="nil"/>
                    <w:tr2bl w:val="nil"/>
                  </w:tcBorders>
                  <w:noWrap w:val="0"/>
                  <w:vAlign w:val="center"/>
                </w:tcPr>
                <w:p w14:paraId="6CD01757">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排放浓度mg/m</w:t>
                  </w:r>
                  <w:r>
                    <w:rPr>
                      <w:rFonts w:hint="default" w:ascii="Times New Roman" w:hAnsi="Times New Roman" w:eastAsia="宋体" w:cs="Times New Roman"/>
                      <w:b w:val="0"/>
                      <w:bCs w:val="0"/>
                      <w:color w:val="auto"/>
                      <w:sz w:val="21"/>
                      <w:szCs w:val="21"/>
                      <w:highlight w:val="none"/>
                      <w:vertAlign w:val="superscript"/>
                    </w:rPr>
                    <w:t>3</w:t>
                  </w:r>
                </w:p>
              </w:tc>
              <w:tc>
                <w:tcPr>
                  <w:tcW w:w="679" w:type="dxa"/>
                  <w:tcBorders>
                    <w:tl2br w:val="nil"/>
                    <w:tr2bl w:val="nil"/>
                  </w:tcBorders>
                  <w:noWrap w:val="0"/>
                  <w:vAlign w:val="center"/>
                </w:tcPr>
                <w:p w14:paraId="207BB7B5">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持续</w:t>
                  </w:r>
                </w:p>
                <w:p w14:paraId="5BCB0704">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时间</w:t>
                  </w:r>
                </w:p>
              </w:tc>
              <w:tc>
                <w:tcPr>
                  <w:tcW w:w="784" w:type="dxa"/>
                  <w:tcBorders>
                    <w:tl2br w:val="nil"/>
                    <w:tr2bl w:val="nil"/>
                  </w:tcBorders>
                  <w:noWrap w:val="0"/>
                  <w:vAlign w:val="center"/>
                </w:tcPr>
                <w:p w14:paraId="5C25DE48">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排放量</w:t>
                  </w:r>
                </w:p>
                <w:p w14:paraId="39CAD506">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kg</w:t>
                  </w:r>
                </w:p>
              </w:tc>
              <w:tc>
                <w:tcPr>
                  <w:tcW w:w="1928" w:type="dxa"/>
                  <w:tcBorders>
                    <w:tl2br w:val="nil"/>
                    <w:tr2bl w:val="nil"/>
                  </w:tcBorders>
                  <w:noWrap w:val="0"/>
                  <w:vAlign w:val="center"/>
                </w:tcPr>
                <w:p w14:paraId="52B91FAF">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措施</w:t>
                  </w:r>
                </w:p>
              </w:tc>
            </w:tr>
            <w:tr w14:paraId="733C089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1210" w:hRule="atLeast"/>
                <w:jc w:val="center"/>
              </w:trPr>
              <w:tc>
                <w:tcPr>
                  <w:tcW w:w="1202" w:type="dxa"/>
                  <w:tcBorders>
                    <w:tl2br w:val="nil"/>
                    <w:tr2bl w:val="nil"/>
                  </w:tcBorders>
                  <w:noWrap w:val="0"/>
                  <w:vAlign w:val="center"/>
                </w:tcPr>
                <w:p w14:paraId="1A1260B5">
                  <w:pPr>
                    <w:keepNext w:val="0"/>
                    <w:keepLines w:val="0"/>
                    <w:suppressLineNumbers w:val="0"/>
                    <w:shd w:val="clear"/>
                    <w:spacing w:before="0" w:beforeAutospacing="0" w:after="0" w:afterAutospacing="0" w:line="280" w:lineRule="exact"/>
                    <w:ind w:left="-120" w:leftChars="-50" w:right="-120" w:rightChars="-50" w:firstLine="0" w:firstLineChars="0"/>
                    <w:jc w:val="center"/>
                    <w:rPr>
                      <w:rFonts w:hint="eastAsia"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rPr>
                    <w:t>DA00</w:t>
                  </w:r>
                  <w:r>
                    <w:rPr>
                      <w:rFonts w:hint="eastAsia" w:cs="Times New Roman"/>
                      <w:b w:val="0"/>
                      <w:bCs w:val="0"/>
                      <w:color w:val="auto"/>
                      <w:sz w:val="21"/>
                      <w:szCs w:val="21"/>
                      <w:highlight w:val="none"/>
                      <w:lang w:val="en-US" w:eastAsia="zh-CN"/>
                    </w:rPr>
                    <w:t>2</w:t>
                  </w:r>
                </w:p>
              </w:tc>
              <w:tc>
                <w:tcPr>
                  <w:tcW w:w="824" w:type="dxa"/>
                  <w:tcBorders>
                    <w:tl2br w:val="nil"/>
                    <w:tr2bl w:val="nil"/>
                  </w:tcBorders>
                  <w:noWrap w:val="0"/>
                  <w:vAlign w:val="center"/>
                </w:tcPr>
                <w:p w14:paraId="46E0D3E9">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颗粒物</w:t>
                  </w:r>
                </w:p>
              </w:tc>
              <w:tc>
                <w:tcPr>
                  <w:tcW w:w="1425" w:type="dxa"/>
                  <w:tcBorders>
                    <w:tl2br w:val="nil"/>
                    <w:tr2bl w:val="nil"/>
                  </w:tcBorders>
                  <w:noWrap w:val="0"/>
                  <w:vAlign w:val="center"/>
                </w:tcPr>
                <w:p w14:paraId="1587CD1E">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环保设施不正常运行</w:t>
                  </w:r>
                </w:p>
              </w:tc>
              <w:tc>
                <w:tcPr>
                  <w:tcW w:w="653" w:type="dxa"/>
                  <w:tcBorders>
                    <w:tl2br w:val="nil"/>
                    <w:tr2bl w:val="nil"/>
                  </w:tcBorders>
                  <w:noWrap w:val="0"/>
                  <w:vAlign w:val="center"/>
                </w:tcPr>
                <w:p w14:paraId="0F5945A7">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1次/年</w:t>
                  </w:r>
                </w:p>
              </w:tc>
              <w:tc>
                <w:tcPr>
                  <w:tcW w:w="774" w:type="dxa"/>
                  <w:tcBorders>
                    <w:tl2br w:val="nil"/>
                    <w:tr2bl w:val="nil"/>
                  </w:tcBorders>
                  <w:noWrap w:val="0"/>
                  <w:vAlign w:val="center"/>
                </w:tcPr>
                <w:p w14:paraId="3C819C5E">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1260.00</w:t>
                  </w:r>
                </w:p>
              </w:tc>
              <w:tc>
                <w:tcPr>
                  <w:tcW w:w="679" w:type="dxa"/>
                  <w:tcBorders>
                    <w:tl2br w:val="nil"/>
                    <w:tr2bl w:val="nil"/>
                  </w:tcBorders>
                  <w:noWrap w:val="0"/>
                  <w:vAlign w:val="center"/>
                </w:tcPr>
                <w:p w14:paraId="5DDFB63A">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0.5h</w:t>
                  </w:r>
                </w:p>
              </w:tc>
              <w:tc>
                <w:tcPr>
                  <w:tcW w:w="784" w:type="dxa"/>
                  <w:tcBorders>
                    <w:tl2br w:val="nil"/>
                    <w:tr2bl w:val="nil"/>
                  </w:tcBorders>
                  <w:noWrap w:val="0"/>
                  <w:vAlign w:val="center"/>
                </w:tcPr>
                <w:p w14:paraId="56AA7508">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23.94</w:t>
                  </w:r>
                </w:p>
              </w:tc>
              <w:tc>
                <w:tcPr>
                  <w:tcW w:w="1928" w:type="dxa"/>
                  <w:tcBorders>
                    <w:tl2br w:val="nil"/>
                    <w:tr2bl w:val="nil"/>
                  </w:tcBorders>
                  <w:noWrap w:val="0"/>
                  <w:vAlign w:val="center"/>
                </w:tcPr>
                <w:p w14:paraId="4D64FCC8">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故障可能导致超标排放时需立即停产，待环保设施能正常使用后再投产。</w:t>
                  </w:r>
                </w:p>
              </w:tc>
            </w:tr>
          </w:tbl>
          <w:p w14:paraId="36BEFEA5">
            <w:pPr>
              <w:keepNext w:val="0"/>
              <w:keepLines w:val="0"/>
              <w:suppressLineNumbers w:val="0"/>
              <w:shd w:val="clear"/>
              <w:spacing w:before="0" w:beforeAutospacing="0" w:after="0" w:afterAutospacing="0" w:line="480" w:lineRule="exact"/>
              <w:ind w:left="0" w:right="0" w:firstLine="464" w:firstLineChars="200"/>
              <w:jc w:val="left"/>
              <w:rPr>
                <w:rFonts w:hint="default" w:ascii="Times New Roman" w:hAnsi="Times New Roman" w:eastAsia="宋体" w:cs="Times New Roman"/>
                <w:color w:val="auto"/>
                <w:spacing w:val="-4"/>
                <w:sz w:val="24"/>
                <w:highlight w:val="none"/>
              </w:rPr>
            </w:pPr>
            <w:r>
              <w:rPr>
                <w:rFonts w:hint="default" w:ascii="Times New Roman" w:hAnsi="Times New Roman" w:eastAsia="宋体" w:cs="Times New Roman"/>
                <w:color w:val="auto"/>
                <w:spacing w:val="-4"/>
                <w:sz w:val="24"/>
                <w:highlight w:val="none"/>
              </w:rPr>
              <w:t>为减少非正常工况，应对设备加强日常维护，定期检修维护，确保废气净化装置稳定运行，污染物达标排放。</w:t>
            </w:r>
          </w:p>
          <w:p w14:paraId="77071AB5">
            <w:pPr>
              <w:pStyle w:val="44"/>
              <w:keepNext w:val="0"/>
              <w:keepLines w:val="0"/>
              <w:pageBreakBefore w:val="0"/>
              <w:widowControl w:val="0"/>
              <w:suppressLineNumbers w:val="0"/>
              <w:shd w:val="clear"/>
              <w:tabs>
                <w:tab w:val="center" w:pos="0"/>
                <w:tab w:val="center" w:pos="4153"/>
                <w:tab w:val="right" w:pos="8306"/>
              </w:tabs>
              <w:kinsoku/>
              <w:wordWrap/>
              <w:overflowPunct/>
              <w:topLinePunct w:val="0"/>
              <w:autoSpaceDE/>
              <w:autoSpaceDN/>
              <w:bidi w:val="0"/>
              <w:adjustRightInd/>
              <w:snapToGrid/>
              <w:spacing w:before="0" w:beforeAutospacing="0" w:after="0" w:afterLines="0" w:afterAutospacing="0" w:line="500" w:lineRule="exact"/>
              <w:ind w:left="0" w:right="0" w:firstLine="48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1.4</w:t>
            </w:r>
            <w:r>
              <w:rPr>
                <w:rFonts w:hint="eastAsia" w:ascii="Times New Roman" w:hAnsi="Times New Roman" w:cs="Times New Roman"/>
                <w:b/>
                <w:bCs/>
                <w:color w:val="auto"/>
                <w:kern w:val="2"/>
                <w:sz w:val="24"/>
                <w:szCs w:val="24"/>
                <w:highlight w:val="none"/>
                <w:lang w:val="en-US" w:eastAsia="zh-CN" w:bidi="ar-SA"/>
              </w:rPr>
              <w:t>本项目</w:t>
            </w:r>
            <w:r>
              <w:rPr>
                <w:rFonts w:hint="eastAsia" w:ascii="Times New Roman" w:hAnsi="Times New Roman" w:eastAsia="宋体" w:cs="Times New Roman"/>
                <w:b/>
                <w:bCs/>
                <w:color w:val="auto"/>
                <w:kern w:val="2"/>
                <w:sz w:val="24"/>
                <w:szCs w:val="24"/>
                <w:highlight w:val="none"/>
                <w:lang w:val="en-US" w:eastAsia="zh-CN" w:bidi="ar-SA"/>
              </w:rPr>
              <w:t>除尘器</w:t>
            </w:r>
            <w:r>
              <w:rPr>
                <w:rFonts w:hint="eastAsia" w:ascii="Times New Roman" w:hAnsi="Times New Roman" w:cs="Times New Roman"/>
                <w:b/>
                <w:bCs/>
                <w:color w:val="auto"/>
                <w:kern w:val="2"/>
                <w:sz w:val="24"/>
                <w:szCs w:val="24"/>
                <w:highlight w:val="none"/>
                <w:lang w:val="en-US" w:eastAsia="zh-CN" w:bidi="ar-SA"/>
              </w:rPr>
              <w:t>设置情况及</w:t>
            </w:r>
            <w:r>
              <w:rPr>
                <w:rFonts w:hint="eastAsia" w:ascii="Times New Roman" w:hAnsi="Times New Roman" w:eastAsia="宋体" w:cs="Times New Roman"/>
                <w:b/>
                <w:bCs/>
                <w:color w:val="auto"/>
                <w:kern w:val="2"/>
                <w:sz w:val="24"/>
                <w:szCs w:val="24"/>
                <w:highlight w:val="none"/>
                <w:lang w:val="en-US" w:eastAsia="zh-CN" w:bidi="ar-SA"/>
              </w:rPr>
              <w:t>废气治理设施风机风量合理性分析</w:t>
            </w:r>
          </w:p>
          <w:p w14:paraId="08CE29FE">
            <w:pPr>
              <w:keepNext w:val="0"/>
              <w:keepLines w:val="0"/>
              <w:pageBreakBefore w:val="0"/>
              <w:widowControl w:val="0"/>
              <w:suppressLineNumbers w:val="0"/>
              <w:shd w:val="clear"/>
              <w:kinsoku/>
              <w:wordWrap/>
              <w:overflowPunct/>
              <w:topLinePunct w:val="0"/>
              <w:autoSpaceDE/>
              <w:autoSpaceDN/>
              <w:bidi w:val="0"/>
              <w:adjustRightInd w:val="0"/>
              <w:snapToGrid/>
              <w:spacing w:before="0" w:beforeLines="0" w:beforeAutospacing="0" w:after="0" w:afterLines="0" w:afterAutospacing="0" w:line="360" w:lineRule="auto"/>
              <w:ind w:left="0" w:leftChars="0" w:right="0" w:rightChars="0" w:firstLine="480" w:firstLineChars="200"/>
              <w:textAlignment w:val="auto"/>
              <w:outlineLvl w:val="9"/>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本项目废气污染物主要为颗粒物，采用的废气治理设施主要为脉冲布袋除尘器。项目袋式除尘器主要参数情况如下表所示。</w:t>
            </w:r>
          </w:p>
          <w:p w14:paraId="32B49642">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auto"/>
                <w:spacing w:val="0"/>
                <w:sz w:val="21"/>
                <w:szCs w:val="21"/>
                <w:highlight w:val="none"/>
                <w:lang w:val="en-US" w:eastAsia="zh-CN"/>
              </w:rPr>
            </w:pPr>
            <w:r>
              <w:rPr>
                <w:rFonts w:hint="eastAsia" w:ascii="Times New Roman" w:hAnsi="Times New Roman" w:cs="Times New Roman"/>
                <w:b/>
                <w:bCs/>
                <w:color w:val="auto"/>
                <w:spacing w:val="0"/>
                <w:sz w:val="21"/>
                <w:szCs w:val="21"/>
                <w:highlight w:val="none"/>
                <w:lang w:val="en-US" w:eastAsia="zh-CN"/>
              </w:rPr>
              <w:t>布袋</w:t>
            </w:r>
            <w:r>
              <w:rPr>
                <w:rFonts w:hint="default" w:ascii="Times New Roman" w:hAnsi="Times New Roman" w:cs="Times New Roman"/>
                <w:b/>
                <w:bCs/>
                <w:color w:val="auto"/>
                <w:spacing w:val="0"/>
                <w:sz w:val="21"/>
                <w:szCs w:val="21"/>
                <w:highlight w:val="none"/>
                <w:lang w:val="en-US" w:eastAsia="zh-CN"/>
              </w:rPr>
              <w:t>除尘参数一览表</w:t>
            </w:r>
          </w:p>
          <w:tbl>
            <w:tblPr>
              <w:tblStyle w:val="32"/>
              <w:tblW w:w="4950"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432"/>
              <w:gridCol w:w="1142"/>
              <w:gridCol w:w="1189"/>
              <w:gridCol w:w="1366"/>
              <w:gridCol w:w="983"/>
              <w:gridCol w:w="1365"/>
              <w:gridCol w:w="794"/>
            </w:tblGrid>
            <w:tr w14:paraId="6C4C94B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62" w:hRule="atLeast"/>
                <w:jc w:val="center"/>
              </w:trPr>
              <w:tc>
                <w:tcPr>
                  <w:tcW w:w="1133" w:type="dxa"/>
                  <w:tcBorders>
                    <w:tl2br w:val="nil"/>
                    <w:tr2bl w:val="nil"/>
                  </w:tcBorders>
                  <w:noWrap w:val="0"/>
                  <w:vAlign w:val="center"/>
                </w:tcPr>
                <w:p w14:paraId="41D30CF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eastAsia" w:ascii="Times New Roman" w:hAnsi="Times New Roman" w:eastAsia="宋体" w:cs="Times New Roman"/>
                      <w:b w:val="0"/>
                      <w:bCs/>
                      <w:snapToGrid w:val="0"/>
                      <w:color w:val="auto"/>
                      <w:kern w:val="24"/>
                      <w:sz w:val="21"/>
                      <w:szCs w:val="21"/>
                      <w:highlight w:val="none"/>
                      <w:lang w:eastAsia="zh-CN"/>
                    </w:rPr>
                  </w:pPr>
                  <w:r>
                    <w:rPr>
                      <w:rFonts w:hint="eastAsia" w:ascii="Times New Roman" w:hAnsi="Times New Roman" w:cs="Times New Roman"/>
                      <w:b w:val="0"/>
                      <w:bCs/>
                      <w:snapToGrid w:val="0"/>
                      <w:color w:val="auto"/>
                      <w:kern w:val="24"/>
                      <w:sz w:val="21"/>
                      <w:szCs w:val="21"/>
                      <w:highlight w:val="none"/>
                      <w:lang w:eastAsia="zh-CN"/>
                    </w:rPr>
                    <w:t>设施名称</w:t>
                  </w:r>
                </w:p>
              </w:tc>
              <w:tc>
                <w:tcPr>
                  <w:tcW w:w="905" w:type="dxa"/>
                  <w:tcBorders>
                    <w:tl2br w:val="nil"/>
                    <w:tr2bl w:val="nil"/>
                  </w:tcBorders>
                  <w:noWrap w:val="0"/>
                  <w:vAlign w:val="center"/>
                </w:tcPr>
                <w:p w14:paraId="0A9DC6C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rPr>
                  </w:pPr>
                  <w:r>
                    <w:rPr>
                      <w:rFonts w:hint="default" w:ascii="Times New Roman" w:hAnsi="Times New Roman" w:cs="Times New Roman"/>
                      <w:b w:val="0"/>
                      <w:bCs/>
                      <w:snapToGrid w:val="0"/>
                      <w:color w:val="auto"/>
                      <w:kern w:val="24"/>
                      <w:sz w:val="21"/>
                      <w:szCs w:val="21"/>
                      <w:highlight w:val="none"/>
                    </w:rPr>
                    <w:t>单台风机风量</w:t>
                  </w:r>
                </w:p>
              </w:tc>
              <w:tc>
                <w:tcPr>
                  <w:tcW w:w="942" w:type="dxa"/>
                  <w:tcBorders>
                    <w:tl2br w:val="nil"/>
                    <w:tr2bl w:val="nil"/>
                  </w:tcBorders>
                  <w:noWrap w:val="0"/>
                  <w:vAlign w:val="center"/>
                </w:tcPr>
                <w:p w14:paraId="1EC55DD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rPr>
                  </w:pPr>
                  <w:r>
                    <w:rPr>
                      <w:rFonts w:hint="default" w:ascii="Times New Roman" w:hAnsi="Times New Roman" w:cs="Times New Roman"/>
                      <w:b w:val="0"/>
                      <w:bCs/>
                      <w:snapToGrid w:val="0"/>
                      <w:color w:val="auto"/>
                      <w:kern w:val="24"/>
                      <w:sz w:val="21"/>
                      <w:szCs w:val="21"/>
                      <w:highlight w:val="none"/>
                    </w:rPr>
                    <w:t>滤袋材质</w:t>
                  </w:r>
                </w:p>
              </w:tc>
              <w:tc>
                <w:tcPr>
                  <w:tcW w:w="1082" w:type="dxa"/>
                  <w:tcBorders>
                    <w:tl2br w:val="nil"/>
                    <w:tr2bl w:val="nil"/>
                  </w:tcBorders>
                  <w:noWrap w:val="0"/>
                  <w:vAlign w:val="center"/>
                </w:tcPr>
                <w:p w14:paraId="131FA5B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rPr>
                  </w:pPr>
                  <w:r>
                    <w:rPr>
                      <w:rFonts w:hint="default" w:ascii="Times New Roman" w:hAnsi="Times New Roman" w:cs="Times New Roman"/>
                      <w:b w:val="0"/>
                      <w:bCs/>
                      <w:snapToGrid w:val="0"/>
                      <w:color w:val="auto"/>
                      <w:kern w:val="24"/>
                      <w:sz w:val="21"/>
                      <w:szCs w:val="21"/>
                      <w:highlight w:val="none"/>
                    </w:rPr>
                    <w:t>过滤风速</w:t>
                  </w:r>
                </w:p>
              </w:tc>
              <w:tc>
                <w:tcPr>
                  <w:tcW w:w="777" w:type="dxa"/>
                  <w:tcBorders>
                    <w:tl2br w:val="nil"/>
                    <w:tr2bl w:val="nil"/>
                  </w:tcBorders>
                  <w:noWrap w:val="0"/>
                  <w:vAlign w:val="center"/>
                </w:tcPr>
                <w:p w14:paraId="381E708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rPr>
                  </w:pPr>
                  <w:r>
                    <w:rPr>
                      <w:rFonts w:hint="default" w:ascii="Times New Roman" w:hAnsi="Times New Roman" w:cs="Times New Roman"/>
                      <w:b w:val="0"/>
                      <w:bCs/>
                      <w:snapToGrid w:val="0"/>
                      <w:color w:val="auto"/>
                      <w:kern w:val="24"/>
                      <w:sz w:val="21"/>
                      <w:szCs w:val="21"/>
                      <w:highlight w:val="none"/>
                    </w:rPr>
                    <w:t>过滤面积</w:t>
                  </w:r>
                </w:p>
              </w:tc>
              <w:tc>
                <w:tcPr>
                  <w:tcW w:w="1081" w:type="dxa"/>
                  <w:tcBorders>
                    <w:tl2br w:val="nil"/>
                    <w:tr2bl w:val="nil"/>
                  </w:tcBorders>
                  <w:noWrap w:val="0"/>
                  <w:vAlign w:val="center"/>
                </w:tcPr>
                <w:p w14:paraId="3E3E10B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color w:val="auto"/>
                      <w:sz w:val="21"/>
                      <w:szCs w:val="21"/>
                      <w:highlight w:val="none"/>
                    </w:rPr>
                  </w:pPr>
                  <w:r>
                    <w:rPr>
                      <w:rFonts w:hint="default" w:ascii="Times New Roman" w:hAnsi="Times New Roman" w:cs="Times New Roman"/>
                      <w:b w:val="0"/>
                      <w:bCs/>
                      <w:snapToGrid w:val="0"/>
                      <w:color w:val="auto"/>
                      <w:kern w:val="24"/>
                      <w:sz w:val="21"/>
                      <w:szCs w:val="21"/>
                      <w:highlight w:val="none"/>
                    </w:rPr>
                    <w:t>处理效率</w:t>
                  </w:r>
                </w:p>
              </w:tc>
              <w:tc>
                <w:tcPr>
                  <w:tcW w:w="628" w:type="dxa"/>
                  <w:tcBorders>
                    <w:tl2br w:val="nil"/>
                    <w:tr2bl w:val="nil"/>
                  </w:tcBorders>
                  <w:noWrap w:val="0"/>
                  <w:vAlign w:val="center"/>
                </w:tcPr>
                <w:p w14:paraId="17C2C9F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eastAsia" w:ascii="Times New Roman" w:hAnsi="Times New Roman" w:eastAsia="宋体" w:cs="Times New Roman"/>
                      <w:b w:val="0"/>
                      <w:bCs/>
                      <w:snapToGrid w:val="0"/>
                      <w:color w:val="auto"/>
                      <w:kern w:val="24"/>
                      <w:sz w:val="21"/>
                      <w:szCs w:val="21"/>
                      <w:highlight w:val="none"/>
                      <w:lang w:eastAsia="zh-CN"/>
                    </w:rPr>
                  </w:pPr>
                  <w:r>
                    <w:rPr>
                      <w:rFonts w:hint="eastAsia" w:ascii="Times New Roman" w:hAnsi="Times New Roman" w:cs="Times New Roman"/>
                      <w:b w:val="0"/>
                      <w:bCs/>
                      <w:snapToGrid w:val="0"/>
                      <w:color w:val="auto"/>
                      <w:kern w:val="24"/>
                      <w:sz w:val="21"/>
                      <w:szCs w:val="21"/>
                      <w:highlight w:val="none"/>
                      <w:lang w:eastAsia="zh-CN"/>
                    </w:rPr>
                    <w:t>数量</w:t>
                  </w:r>
                </w:p>
              </w:tc>
            </w:tr>
            <w:tr w14:paraId="0EA016B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2" w:hRule="atLeast"/>
                <w:jc w:val="center"/>
              </w:trPr>
              <w:tc>
                <w:tcPr>
                  <w:tcW w:w="1133" w:type="dxa"/>
                  <w:tcBorders>
                    <w:tl2br w:val="nil"/>
                    <w:tr2bl w:val="nil"/>
                  </w:tcBorders>
                  <w:noWrap w:val="0"/>
                  <w:vAlign w:val="center"/>
                </w:tcPr>
                <w:p w14:paraId="39BE7D3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lang w:val="en-US" w:eastAsia="zh-CN" w:bidi="ar-SA"/>
                    </w:rPr>
                  </w:pPr>
                  <w:r>
                    <w:rPr>
                      <w:rFonts w:hint="default" w:ascii="Times New Roman" w:hAnsi="Times New Roman" w:cs="Times New Roman"/>
                      <w:b w:val="0"/>
                      <w:bCs/>
                      <w:snapToGrid w:val="0"/>
                      <w:color w:val="auto"/>
                      <w:kern w:val="24"/>
                      <w:sz w:val="21"/>
                      <w:szCs w:val="21"/>
                      <w:highlight w:val="none"/>
                      <w:lang w:val="en-US" w:eastAsia="zh-CN"/>
                    </w:rPr>
                    <w:t>脉冲布袋除尘器</w:t>
                  </w:r>
                </w:p>
              </w:tc>
              <w:tc>
                <w:tcPr>
                  <w:tcW w:w="905" w:type="dxa"/>
                  <w:tcBorders>
                    <w:tl2br w:val="nil"/>
                    <w:tr2bl w:val="nil"/>
                  </w:tcBorders>
                  <w:noWrap w:val="0"/>
                  <w:vAlign w:val="center"/>
                </w:tcPr>
                <w:p w14:paraId="343E69B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eastAsia" w:ascii="Times New Roman" w:hAnsi="Times New Roman" w:cs="Times New Roman"/>
                      <w:b w:val="0"/>
                      <w:bCs/>
                      <w:snapToGrid w:val="0"/>
                      <w:color w:val="auto"/>
                      <w:kern w:val="24"/>
                      <w:sz w:val="21"/>
                      <w:szCs w:val="21"/>
                      <w:highlight w:val="none"/>
                      <w:lang w:val="en-US" w:eastAsia="zh-CN" w:bidi="ar-SA"/>
                    </w:rPr>
                  </w:pPr>
                  <w:r>
                    <w:rPr>
                      <w:rFonts w:hint="eastAsia" w:cs="Times New Roman"/>
                      <w:b w:val="0"/>
                      <w:bCs/>
                      <w:snapToGrid w:val="0"/>
                      <w:color w:val="auto"/>
                      <w:kern w:val="24"/>
                      <w:sz w:val="21"/>
                      <w:szCs w:val="21"/>
                      <w:highlight w:val="none"/>
                      <w:lang w:val="en-US" w:eastAsia="zh-CN"/>
                    </w:rPr>
                    <w:t>38000</w:t>
                  </w:r>
                  <w:r>
                    <w:rPr>
                      <w:rFonts w:hint="default" w:ascii="Times New Roman" w:hAnsi="Times New Roman" w:cs="Times New Roman"/>
                      <w:b w:val="0"/>
                      <w:bCs/>
                      <w:color w:val="auto"/>
                      <w:sz w:val="21"/>
                      <w:szCs w:val="21"/>
                      <w:highlight w:val="none"/>
                    </w:rPr>
                    <w:t>m</w:t>
                  </w:r>
                  <w:r>
                    <w:rPr>
                      <w:rFonts w:hint="default" w:ascii="Times New Roman" w:hAnsi="Times New Roman" w:cs="Times New Roman"/>
                      <w:b w:val="0"/>
                      <w:bCs/>
                      <w:color w:val="auto"/>
                      <w:sz w:val="21"/>
                      <w:szCs w:val="21"/>
                      <w:highlight w:val="none"/>
                      <w:vertAlign w:val="superscript"/>
                    </w:rPr>
                    <w:t>3</w:t>
                  </w:r>
                  <w:r>
                    <w:rPr>
                      <w:rFonts w:hint="default" w:ascii="Times New Roman" w:hAnsi="Times New Roman" w:cs="Times New Roman"/>
                      <w:b w:val="0"/>
                      <w:bCs/>
                      <w:color w:val="auto"/>
                      <w:sz w:val="21"/>
                      <w:szCs w:val="21"/>
                      <w:highlight w:val="none"/>
                    </w:rPr>
                    <w:t>/h</w:t>
                  </w:r>
                </w:p>
              </w:tc>
              <w:tc>
                <w:tcPr>
                  <w:tcW w:w="942" w:type="dxa"/>
                  <w:tcBorders>
                    <w:tl2br w:val="nil"/>
                    <w:tr2bl w:val="nil"/>
                  </w:tcBorders>
                  <w:noWrap w:val="0"/>
                  <w:vAlign w:val="center"/>
                </w:tcPr>
                <w:p w14:paraId="78B972B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lang w:val="en-US" w:eastAsia="zh-CN" w:bidi="ar-SA"/>
                    </w:rPr>
                  </w:pPr>
                  <w:r>
                    <w:rPr>
                      <w:rFonts w:hint="eastAsia" w:ascii="Times New Roman" w:hAnsi="Times New Roman" w:cs="Times New Roman"/>
                      <w:b w:val="0"/>
                      <w:bCs/>
                      <w:color w:val="auto"/>
                      <w:sz w:val="21"/>
                      <w:szCs w:val="21"/>
                      <w:highlight w:val="none"/>
                      <w:lang w:eastAsia="zh-CN"/>
                    </w:rPr>
                    <w:t>覆膜</w:t>
                  </w:r>
                  <w:r>
                    <w:rPr>
                      <w:rFonts w:hint="default" w:ascii="Times New Roman" w:hAnsi="Times New Roman" w:cs="Times New Roman"/>
                      <w:b w:val="0"/>
                      <w:bCs/>
                      <w:color w:val="auto"/>
                      <w:sz w:val="21"/>
                      <w:szCs w:val="21"/>
                      <w:highlight w:val="none"/>
                    </w:rPr>
                    <w:t>涤纶针刺毡</w:t>
                  </w:r>
                </w:p>
              </w:tc>
              <w:tc>
                <w:tcPr>
                  <w:tcW w:w="1082" w:type="dxa"/>
                  <w:tcBorders>
                    <w:tl2br w:val="nil"/>
                    <w:tr2bl w:val="nil"/>
                  </w:tcBorders>
                  <w:noWrap w:val="0"/>
                  <w:vAlign w:val="center"/>
                </w:tcPr>
                <w:p w14:paraId="26FC801E">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lang w:val="en-US" w:eastAsia="zh-CN" w:bidi="ar-SA"/>
                    </w:rPr>
                  </w:pPr>
                  <w:r>
                    <w:rPr>
                      <w:rFonts w:hint="eastAsia" w:ascii="Times New Roman" w:hAnsi="Times New Roman" w:cs="Times New Roman"/>
                      <w:b w:val="0"/>
                      <w:bCs/>
                      <w:snapToGrid w:val="0"/>
                      <w:color w:val="auto"/>
                      <w:kern w:val="24"/>
                      <w:sz w:val="21"/>
                      <w:szCs w:val="21"/>
                      <w:highlight w:val="none"/>
                      <w:lang w:eastAsia="zh-CN"/>
                    </w:rPr>
                    <w:t>≤</w:t>
                  </w:r>
                  <w:r>
                    <w:rPr>
                      <w:rFonts w:hint="default" w:ascii="Times New Roman" w:hAnsi="Times New Roman" w:cs="Times New Roman"/>
                      <w:b w:val="0"/>
                      <w:bCs/>
                      <w:snapToGrid w:val="0"/>
                      <w:color w:val="auto"/>
                      <w:kern w:val="24"/>
                      <w:sz w:val="21"/>
                      <w:szCs w:val="21"/>
                      <w:highlight w:val="none"/>
                    </w:rPr>
                    <w:t>0.8m/min</w:t>
                  </w:r>
                </w:p>
              </w:tc>
              <w:tc>
                <w:tcPr>
                  <w:tcW w:w="777" w:type="dxa"/>
                  <w:tcBorders>
                    <w:tl2br w:val="nil"/>
                    <w:tr2bl w:val="nil"/>
                  </w:tcBorders>
                  <w:noWrap w:val="0"/>
                  <w:vAlign w:val="center"/>
                </w:tcPr>
                <w:p w14:paraId="587A0C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center"/>
                    <w:rPr>
                      <w:rFonts w:hint="eastAsia" w:ascii="Times New Roman" w:hAnsi="Times New Roman" w:cs="Times New Roman"/>
                      <w:b w:val="0"/>
                      <w:bCs/>
                      <w:snapToGrid w:val="0"/>
                      <w:color w:val="auto"/>
                      <w:kern w:val="24"/>
                      <w:sz w:val="21"/>
                      <w:szCs w:val="21"/>
                      <w:highlight w:val="none"/>
                      <w:lang w:val="en-US" w:eastAsia="zh-CN" w:bidi="ar-SA"/>
                    </w:rPr>
                  </w:pPr>
                  <w:r>
                    <w:rPr>
                      <w:rFonts w:hint="eastAsia" w:cs="Times New Roman"/>
                      <w:b w:val="0"/>
                      <w:bCs/>
                      <w:i w:val="0"/>
                      <w:iCs w:val="0"/>
                      <w:color w:val="auto"/>
                      <w:kern w:val="0"/>
                      <w:sz w:val="21"/>
                      <w:szCs w:val="21"/>
                      <w:highlight w:val="none"/>
                      <w:u w:val="none"/>
                      <w:lang w:val="en-US" w:eastAsia="zh-CN" w:bidi="ar"/>
                    </w:rPr>
                    <w:t>670</w:t>
                  </w:r>
                  <w:r>
                    <w:rPr>
                      <w:rFonts w:hint="default" w:ascii="Times New Roman" w:hAnsi="Times New Roman" w:eastAsia="宋体" w:cs="Times New Roman"/>
                      <w:b w:val="0"/>
                      <w:bCs/>
                      <w:i w:val="0"/>
                      <w:iCs w:val="0"/>
                      <w:color w:val="auto"/>
                      <w:kern w:val="0"/>
                      <w:sz w:val="21"/>
                      <w:szCs w:val="21"/>
                      <w:highlight w:val="none"/>
                      <w:u w:val="none"/>
                      <w:lang w:val="en-US" w:eastAsia="zh-CN" w:bidi="ar"/>
                    </w:rPr>
                    <w:t>m</w:t>
                  </w:r>
                  <w:r>
                    <w:rPr>
                      <w:rFonts w:hint="default" w:ascii="Times New Roman" w:hAnsi="Times New Roman" w:eastAsia="宋体" w:cs="Times New Roman"/>
                      <w:b w:val="0"/>
                      <w:bCs/>
                      <w:i w:val="0"/>
                      <w:iCs w:val="0"/>
                      <w:color w:val="auto"/>
                      <w:kern w:val="0"/>
                      <w:sz w:val="21"/>
                      <w:szCs w:val="21"/>
                      <w:highlight w:val="none"/>
                      <w:u w:val="none"/>
                      <w:vertAlign w:val="superscript"/>
                      <w:lang w:val="en-US" w:eastAsia="zh-CN" w:bidi="ar"/>
                    </w:rPr>
                    <w:t>2</w:t>
                  </w:r>
                </w:p>
              </w:tc>
              <w:tc>
                <w:tcPr>
                  <w:tcW w:w="1081" w:type="dxa"/>
                  <w:tcBorders>
                    <w:tl2br w:val="nil"/>
                    <w:tr2bl w:val="nil"/>
                  </w:tcBorders>
                  <w:noWrap w:val="0"/>
                  <w:vAlign w:val="center"/>
                </w:tcPr>
                <w:p w14:paraId="1D1F85A2">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color w:val="auto"/>
                      <w:kern w:val="2"/>
                      <w:sz w:val="21"/>
                      <w:szCs w:val="21"/>
                      <w:highlight w:val="none"/>
                      <w:lang w:val="en-US" w:eastAsia="zh-CN" w:bidi="ar-SA"/>
                    </w:rPr>
                  </w:pPr>
                  <w:r>
                    <w:rPr>
                      <w:rFonts w:hint="eastAsia"/>
                      <w:bCs/>
                      <w:color w:val="auto"/>
                      <w:sz w:val="21"/>
                      <w:szCs w:val="21"/>
                      <w:highlight w:val="none"/>
                      <w:lang w:val="en-US" w:eastAsia="zh-CN"/>
                    </w:rPr>
                    <w:t>≥</w:t>
                  </w:r>
                  <w:r>
                    <w:rPr>
                      <w:rFonts w:hint="default" w:ascii="Times New Roman" w:hAnsi="Times New Roman" w:cs="Times New Roman"/>
                      <w:b w:val="0"/>
                      <w:bCs/>
                      <w:snapToGrid w:val="0"/>
                      <w:color w:val="auto"/>
                      <w:kern w:val="24"/>
                      <w:sz w:val="21"/>
                      <w:szCs w:val="21"/>
                      <w:highlight w:val="none"/>
                    </w:rPr>
                    <w:t>9</w:t>
                  </w:r>
                  <w:r>
                    <w:rPr>
                      <w:rFonts w:hint="eastAsia" w:ascii="Times New Roman" w:hAnsi="Times New Roman" w:cs="Times New Roman"/>
                      <w:b w:val="0"/>
                      <w:bCs/>
                      <w:snapToGrid w:val="0"/>
                      <w:color w:val="auto"/>
                      <w:kern w:val="24"/>
                      <w:sz w:val="21"/>
                      <w:szCs w:val="21"/>
                      <w:highlight w:val="none"/>
                      <w:lang w:val="en-US" w:eastAsia="zh-CN"/>
                    </w:rPr>
                    <w:t>9</w:t>
                  </w:r>
                  <w:r>
                    <w:rPr>
                      <w:rFonts w:hint="eastAsia" w:cs="Times New Roman"/>
                      <w:b w:val="0"/>
                      <w:bCs/>
                      <w:snapToGrid w:val="0"/>
                      <w:color w:val="auto"/>
                      <w:kern w:val="24"/>
                      <w:sz w:val="21"/>
                      <w:szCs w:val="21"/>
                      <w:highlight w:val="none"/>
                      <w:lang w:val="en-US" w:eastAsia="zh-CN"/>
                    </w:rPr>
                    <w:t>.50</w:t>
                  </w:r>
                  <w:r>
                    <w:rPr>
                      <w:rFonts w:hint="default" w:ascii="Times New Roman" w:hAnsi="Times New Roman" w:cs="Times New Roman"/>
                      <w:b w:val="0"/>
                      <w:bCs/>
                      <w:snapToGrid w:val="0"/>
                      <w:color w:val="auto"/>
                      <w:kern w:val="24"/>
                      <w:sz w:val="21"/>
                      <w:szCs w:val="21"/>
                      <w:highlight w:val="none"/>
                    </w:rPr>
                    <w:t>%</w:t>
                  </w:r>
                </w:p>
              </w:tc>
              <w:tc>
                <w:tcPr>
                  <w:tcW w:w="628" w:type="dxa"/>
                  <w:tcBorders>
                    <w:tl2br w:val="nil"/>
                    <w:tr2bl w:val="nil"/>
                  </w:tcBorders>
                  <w:noWrap w:val="0"/>
                  <w:vAlign w:val="center"/>
                </w:tcPr>
                <w:p w14:paraId="6A56B18E">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auto"/>
                      <w:kern w:val="24"/>
                      <w:sz w:val="21"/>
                      <w:szCs w:val="21"/>
                      <w:highlight w:val="none"/>
                      <w:lang w:val="en-US" w:eastAsia="zh-CN"/>
                    </w:rPr>
                  </w:pPr>
                  <w:r>
                    <w:rPr>
                      <w:rFonts w:hint="eastAsia" w:ascii="Times New Roman" w:hAnsi="Times New Roman" w:cs="Times New Roman"/>
                      <w:b w:val="0"/>
                      <w:bCs/>
                      <w:snapToGrid w:val="0"/>
                      <w:color w:val="auto"/>
                      <w:kern w:val="24"/>
                      <w:sz w:val="21"/>
                      <w:szCs w:val="21"/>
                      <w:highlight w:val="none"/>
                      <w:lang w:val="en-US" w:eastAsia="zh-CN"/>
                    </w:rPr>
                    <w:t>1台</w:t>
                  </w:r>
                </w:p>
              </w:tc>
            </w:tr>
          </w:tbl>
          <w:p w14:paraId="75AA35D1">
            <w:pPr>
              <w:pStyle w:val="45"/>
              <w:keepNext w:val="0"/>
              <w:keepLines w:val="0"/>
              <w:widowControl w:val="0"/>
              <w:numPr>
                <w:ilvl w:val="0"/>
                <w:numId w:val="0"/>
              </w:numPr>
              <w:suppressLineNumbers w:val="0"/>
              <w:shd w:val="clear"/>
              <w:autoSpaceDE w:val="0"/>
              <w:autoSpaceDN w:val="0"/>
              <w:adjustRightInd w:val="0"/>
              <w:spacing w:before="0" w:beforeLines="0" w:beforeAutospacing="0" w:after="0" w:afterLines="0" w:afterAutospacing="0" w:line="360" w:lineRule="auto"/>
              <w:ind w:left="0" w:right="0" w:firstLine="480" w:firstLineChars="200"/>
              <w:jc w:val="left"/>
              <w:rPr>
                <w:rFonts w:hint="eastAsia" w:hAnsi="Times New Roman" w:cs="Times New Roman"/>
                <w:b/>
                <w:bCs/>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根据项目原料、工艺等特点，本次参照</w:t>
            </w:r>
            <w:r>
              <w:rPr>
                <w:rFonts w:hint="default" w:ascii="Times New Roman" w:hAnsi="Times New Roman" w:eastAsia="宋体" w:cs="Times New Roman"/>
                <w:color w:val="auto"/>
                <w:sz w:val="24"/>
                <w:szCs w:val="24"/>
                <w:highlight w:val="none"/>
                <w:lang w:eastAsia="zh-CN"/>
              </w:rPr>
              <w:t>根据《排污许可证申请与核发技术规范</w:t>
            </w:r>
            <w:r>
              <w:rPr>
                <w:rFonts w:hint="eastAsia" w:ascii="Times New Roman"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eastAsia="zh-CN"/>
              </w:rPr>
              <w:t>石墨及其他非金属矿物制品制造》（HJ1119-2020）中</w:t>
            </w:r>
            <w:r>
              <w:rPr>
                <w:rFonts w:hint="eastAsia"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附录</w:t>
            </w:r>
            <w:r>
              <w:rPr>
                <w:rFonts w:hint="eastAsia" w:ascii="Times New Roman" w:hAnsi="Times New Roman" w:cs="Times New Roman"/>
                <w:color w:val="auto"/>
                <w:sz w:val="24"/>
                <w:szCs w:val="24"/>
                <w:highlight w:val="none"/>
                <w:lang w:val="en-US" w:eastAsia="zh-CN"/>
              </w:rPr>
              <w:t>A.1石墨、碳素制品生产排污单位废气污染防治可行技术参考表</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，袋式除尘器属于颗粒物废气治理可行性技术</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因此，本项目采用的废气治理设施可行。</w:t>
            </w:r>
          </w:p>
          <w:p w14:paraId="01FAB4C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Autospacing="0" w:line="500" w:lineRule="exact"/>
              <w:ind w:left="0" w:right="0" w:firstLine="482" w:firstLineChars="200"/>
              <w:jc w:val="both"/>
              <w:textAlignment w:val="auto"/>
              <w:rPr>
                <w:rFonts w:hint="default"/>
                <w:bCs/>
                <w:color w:val="auto"/>
                <w:sz w:val="24"/>
                <w:szCs w:val="24"/>
                <w:highlight w:val="none"/>
                <w:lang w:val="en-US" w:eastAsia="zh-CN"/>
              </w:rPr>
            </w:pPr>
            <w:r>
              <w:rPr>
                <w:rFonts w:hint="eastAsia"/>
                <w:b/>
                <w:bCs w:val="0"/>
                <w:color w:val="auto"/>
                <w:sz w:val="24"/>
                <w:szCs w:val="24"/>
                <w:highlight w:val="none"/>
                <w:lang w:val="en-US" w:eastAsia="zh-CN"/>
              </w:rPr>
              <w:t>1.4.1</w:t>
            </w:r>
            <w:r>
              <w:rPr>
                <w:rFonts w:hint="eastAsia" w:ascii="Times New Roman" w:hAnsi="Times New Roman" w:eastAsia="宋体" w:cs="Times New Roman"/>
                <w:b/>
                <w:bCs/>
                <w:color w:val="auto"/>
                <w:kern w:val="2"/>
                <w:sz w:val="24"/>
                <w:szCs w:val="24"/>
                <w:highlight w:val="none"/>
                <w:lang w:val="en-US" w:eastAsia="zh-CN" w:bidi="ar-SA"/>
              </w:rPr>
              <w:t>除尘器原理</w:t>
            </w:r>
          </w:p>
          <w:p w14:paraId="2DC8A0D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Autospacing="0" w:line="520" w:lineRule="exact"/>
              <w:ind w:left="0" w:right="0" w:firstLine="480" w:firstLineChars="200"/>
              <w:jc w:val="both"/>
              <w:textAlignment w:val="auto"/>
              <w:rPr>
                <w:rFonts w:hint="eastAsia"/>
                <w:bCs/>
                <w:color w:val="auto"/>
                <w:sz w:val="24"/>
                <w:szCs w:val="24"/>
                <w:highlight w:val="none"/>
                <w:lang w:val="en-US" w:eastAsia="zh-CN"/>
              </w:rPr>
            </w:pPr>
            <w:r>
              <w:rPr>
                <w:rFonts w:hint="eastAsia"/>
                <w:bCs/>
                <w:color w:val="auto"/>
                <w:sz w:val="24"/>
                <w:szCs w:val="24"/>
                <w:highlight w:val="none"/>
                <w:lang w:val="en-US" w:eastAsia="zh-CN"/>
              </w:rPr>
              <w:t>脉冲布袋除尘器工作原理：</w:t>
            </w:r>
            <w:r>
              <w:rPr>
                <w:rFonts w:hint="eastAsia"/>
                <w:bCs/>
                <w:color w:val="auto"/>
                <w:sz w:val="24"/>
                <w:szCs w:val="24"/>
                <w:highlight w:val="none"/>
                <w:lang w:eastAsia="zh-CN"/>
              </w:rPr>
              <w:t>本体结构主要由上部箱体、中部箱体、下部箱体（灰斗）、清灰系统和排灰机构等部分组成。袋式除尘器是一种干式滤尘装置。滤料使用一段时间后，由于筛滤、碰撞、滞留、扩散、静电等效应，滤袋表面积聚了一层颗粒物，这层颗粒物称为初层，在此以后的运动过程中，初层成了滤料的主要过滤层，依靠初层的作用，网孔较大的滤料也能获得较高的过滤效率。随着颗粒物在滤料表面的积聚，除尘器的效率和阻力都相应的增加，当滤料两侧的压力差很大时，会把有些已附着在滤料上的细小尘粒挤压过去，使收尘器效率下降。另外，收尘器的阻力过高会使收尘系统的风量显著下降。因此，收尘器的阻力达到一定数值后，要及时清灰。清灰时不能破坏初层，以免效率下降。</w:t>
            </w:r>
            <w:r>
              <w:rPr>
                <w:rFonts w:hint="eastAsia"/>
                <w:bCs/>
                <w:color w:val="auto"/>
                <w:sz w:val="24"/>
                <w:szCs w:val="24"/>
                <w:highlight w:val="none"/>
                <w:lang w:val="en-US" w:eastAsia="zh-CN"/>
              </w:rPr>
              <w:t>除尘器布袋材质均为覆膜涤纶针刺毡，过滤风速≤0.8m/min，过滤面积670m</w:t>
            </w:r>
            <w:r>
              <w:rPr>
                <w:rFonts w:hint="eastAsia"/>
                <w:bCs/>
                <w:color w:val="auto"/>
                <w:sz w:val="24"/>
                <w:szCs w:val="24"/>
                <w:highlight w:val="none"/>
                <w:vertAlign w:val="superscript"/>
                <w:lang w:val="en-US" w:eastAsia="zh-CN"/>
              </w:rPr>
              <w:t>2</w:t>
            </w:r>
            <w:r>
              <w:rPr>
                <w:rFonts w:hint="eastAsia"/>
                <w:bCs/>
                <w:color w:val="auto"/>
                <w:sz w:val="24"/>
                <w:szCs w:val="24"/>
                <w:highlight w:val="none"/>
                <w:lang w:val="en-US" w:eastAsia="zh-CN"/>
              </w:rPr>
              <w:t>，去除效率≥99%，本项目源强分析按99.50%计。</w:t>
            </w:r>
          </w:p>
          <w:p w14:paraId="577A04A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Autospacing="0" w:line="520" w:lineRule="exact"/>
              <w:ind w:left="0" w:right="0" w:firstLine="482" w:firstLineChars="200"/>
              <w:jc w:val="both"/>
              <w:textAlignment w:val="auto"/>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1.4.2废气治理设施风机风量核算</w:t>
            </w:r>
          </w:p>
          <w:p w14:paraId="179D85F4">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根据建设单位提供的该项目生产及环保设计资料，该项目生产线各产尘工序经各自集气装置收集，对应除尘器处理后排气筒排放。</w:t>
            </w:r>
          </w:p>
          <w:p w14:paraId="2EFBFD88">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both"/>
              <w:textAlignment w:val="auto"/>
              <w:rPr>
                <w:rFonts w:hint="default"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集气管道、集气罩收集废气量核算公式如下：</w:t>
            </w:r>
          </w:p>
          <w:p w14:paraId="223F9A32">
            <w:pPr>
              <w:keepNext w:val="0"/>
              <w:keepLines w:val="0"/>
              <w:pageBreakBefore w:val="0"/>
              <w:widowControl w:val="0"/>
              <w:shd w:val="clear"/>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z w:val="24"/>
              </w:rPr>
            </w:pPr>
            <w:r>
              <w:rPr>
                <w:rFonts w:hint="eastAsia" w:cs="Times New Roman"/>
                <w:b w:val="0"/>
                <w:bCs w:val="0"/>
                <w:snapToGrid w:val="0"/>
                <w:color w:val="auto"/>
                <w:kern w:val="0"/>
                <w:sz w:val="24"/>
                <w:szCs w:val="24"/>
                <w:highlight w:val="none"/>
                <w:lang w:val="en-US" w:eastAsia="zh-CN"/>
              </w:rPr>
              <w:t>⑴</w:t>
            </w:r>
            <w:r>
              <w:rPr>
                <w:rFonts w:hint="default" w:ascii="Times New Roman" w:hAnsi="Times New Roman" w:eastAsia="宋体" w:cs="Times New Roman"/>
                <w:color w:val="auto"/>
                <w:sz w:val="24"/>
                <w:szCs w:val="24"/>
                <w:lang w:eastAsia="zh-CN"/>
              </w:rPr>
              <w:t>本项目上料口采取区域侧、顶三面密封、一面加装软帘措施，集气罩所需风量根据</w:t>
            </w:r>
            <w:r>
              <w:rPr>
                <w:rFonts w:hint="eastAsia" w:ascii="宋体" w:hAnsi="宋体" w:cs="宋体"/>
                <w:color w:val="auto"/>
                <w:sz w:val="24"/>
              </w:rPr>
              <w:t>《除尘工程设计手册》（张殿印、王纯主编）中“第三章尘源控制与集气吸尘罩设计”章节可知，外部集气吸尘罩冷过程伞形罩风量计算公式为：</w:t>
            </w:r>
          </w:p>
          <w:p w14:paraId="319CD29A">
            <w:pPr>
              <w:keepNext w:val="0"/>
              <w:keepLines w:val="0"/>
              <w:pageBreakBefore w:val="0"/>
              <w:widowControl w:val="0"/>
              <w:shd w:val="clear"/>
              <w:kinsoku/>
              <w:wordWrap/>
              <w:overflowPunct/>
              <w:topLinePunct w:val="0"/>
              <w:autoSpaceDE/>
              <w:autoSpaceDN/>
              <w:bidi w:val="0"/>
              <w:snapToGrid w:val="0"/>
              <w:spacing w:line="500" w:lineRule="exact"/>
              <w:ind w:left="0" w:leftChars="0"/>
              <w:jc w:val="both"/>
              <w:textAlignment w:val="auto"/>
              <w:rPr>
                <w:rFonts w:ascii="Times New Roman" w:hAnsi="Times New Roman"/>
                <w:color w:val="auto"/>
                <w:sz w:val="24"/>
              </w:rPr>
            </w:pPr>
            <w:r>
              <w:rPr>
                <w:rFonts w:ascii="Times New Roman" w:hAnsi="Times New Roman"/>
                <w:color w:val="auto"/>
                <w:sz w:val="24"/>
              </w:rPr>
              <w:t>Q＝3600×K×C×H×</w:t>
            </w:r>
            <w:r>
              <w:rPr>
                <w:rFonts w:hint="eastAsia" w:ascii="Times New Roman" w:hAnsi="Times New Roman"/>
                <w:color w:val="auto"/>
                <w:sz w:val="24"/>
              </w:rPr>
              <w:t>V</w:t>
            </w:r>
            <w:r>
              <w:rPr>
                <w:rFonts w:ascii="Times New Roman" w:hAnsi="Times New Roman"/>
                <w:color w:val="auto"/>
                <w:sz w:val="24"/>
                <w:vertAlign w:val="subscript"/>
              </w:rPr>
              <w:t>0</w:t>
            </w:r>
          </w:p>
          <w:p w14:paraId="4791896F">
            <w:pPr>
              <w:keepNext w:val="0"/>
              <w:keepLines w:val="0"/>
              <w:pageBreakBefore w:val="0"/>
              <w:widowControl w:val="0"/>
              <w:shd w:val="clear"/>
              <w:kinsoku/>
              <w:wordWrap/>
              <w:overflowPunct/>
              <w:topLinePunct w:val="0"/>
              <w:autoSpaceDE/>
              <w:autoSpaceDN/>
              <w:bidi w:val="0"/>
              <w:adjustRightInd/>
              <w:snapToGrid w:val="0"/>
              <w:spacing w:line="500" w:lineRule="exact"/>
              <w:ind w:left="0" w:leftChars="0" w:firstLine="480" w:firstLineChars="200"/>
              <w:textAlignment w:val="auto"/>
              <w:rPr>
                <w:rFonts w:ascii="Times New Roman" w:hAnsi="Times New Roman"/>
                <w:color w:val="auto"/>
                <w:sz w:val="24"/>
              </w:rPr>
            </w:pPr>
            <w:r>
              <w:rPr>
                <w:rFonts w:ascii="Times New Roman" w:hAnsi="Times New Roman"/>
                <w:color w:val="auto"/>
                <w:sz w:val="24"/>
              </w:rPr>
              <w:t>式中：</w:t>
            </w:r>
          </w:p>
          <w:p w14:paraId="6FAEA03C">
            <w:pPr>
              <w:keepNext w:val="0"/>
              <w:keepLines w:val="0"/>
              <w:pageBreakBefore w:val="0"/>
              <w:widowControl w:val="0"/>
              <w:shd w:val="clear"/>
              <w:kinsoku/>
              <w:wordWrap/>
              <w:overflowPunct/>
              <w:topLinePunct w:val="0"/>
              <w:autoSpaceDE/>
              <w:autoSpaceDN/>
              <w:bidi w:val="0"/>
              <w:adjustRightInd/>
              <w:snapToGrid w:val="0"/>
              <w:spacing w:line="500" w:lineRule="exact"/>
              <w:ind w:left="0" w:leftChars="0" w:firstLine="480" w:firstLineChars="200"/>
              <w:textAlignment w:val="auto"/>
              <w:rPr>
                <w:rFonts w:ascii="Times New Roman" w:hAnsi="Times New Roman"/>
                <w:color w:val="auto"/>
                <w:sz w:val="24"/>
              </w:rPr>
            </w:pPr>
            <w:r>
              <w:rPr>
                <w:rFonts w:ascii="Times New Roman" w:hAnsi="Times New Roman"/>
                <w:color w:val="auto"/>
                <w:sz w:val="24"/>
              </w:rPr>
              <w:t>Q：排风量</w:t>
            </w:r>
            <w:r>
              <w:rPr>
                <w:rFonts w:hint="eastAsia" w:ascii="Times New Roman" w:hAnsi="Times New Roman"/>
                <w:color w:val="auto"/>
                <w:sz w:val="24"/>
              </w:rPr>
              <w:t>，</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/h；</w:t>
            </w:r>
          </w:p>
          <w:p w14:paraId="2D14DBEC">
            <w:pPr>
              <w:keepNext w:val="0"/>
              <w:keepLines w:val="0"/>
              <w:pageBreakBefore w:val="0"/>
              <w:widowControl w:val="0"/>
              <w:shd w:val="clear"/>
              <w:kinsoku/>
              <w:wordWrap/>
              <w:overflowPunct/>
              <w:topLinePunct w:val="0"/>
              <w:autoSpaceDE/>
              <w:autoSpaceDN/>
              <w:bidi w:val="0"/>
              <w:snapToGrid w:val="0"/>
              <w:spacing w:line="500" w:lineRule="exact"/>
              <w:textAlignment w:val="auto"/>
              <w:rPr>
                <w:rFonts w:ascii="Times New Roman" w:hAnsi="Times New Roman"/>
                <w:color w:val="auto"/>
                <w:sz w:val="24"/>
              </w:rPr>
            </w:pPr>
            <w:r>
              <w:rPr>
                <w:rFonts w:ascii="Times New Roman" w:hAnsi="Times New Roman"/>
                <w:color w:val="auto"/>
                <w:sz w:val="24"/>
              </w:rPr>
              <w:t>K：取决于伞形罩几何尺寸的系数</w:t>
            </w:r>
            <w:r>
              <w:rPr>
                <w:rFonts w:hint="eastAsia" w:ascii="Times New Roman" w:hAnsi="Times New Roman"/>
                <w:color w:val="auto"/>
                <w:sz w:val="24"/>
              </w:rPr>
              <w:t>，</w:t>
            </w:r>
            <w:r>
              <w:rPr>
                <w:rFonts w:ascii="Times New Roman" w:hAnsi="Times New Roman"/>
                <w:color w:val="auto"/>
                <w:sz w:val="24"/>
              </w:rPr>
              <w:t>通常取K=1.4；</w:t>
            </w:r>
          </w:p>
          <w:p w14:paraId="326796C9">
            <w:pPr>
              <w:keepNext w:val="0"/>
              <w:keepLines w:val="0"/>
              <w:pageBreakBefore w:val="0"/>
              <w:widowControl w:val="0"/>
              <w:shd w:val="clear"/>
              <w:kinsoku/>
              <w:wordWrap/>
              <w:overflowPunct/>
              <w:topLinePunct w:val="0"/>
              <w:autoSpaceDE/>
              <w:autoSpaceDN/>
              <w:bidi w:val="0"/>
              <w:snapToGrid w:val="0"/>
              <w:spacing w:line="500" w:lineRule="exact"/>
              <w:textAlignment w:val="auto"/>
              <w:rPr>
                <w:rFonts w:ascii="Times New Roman" w:hAnsi="Times New Roman"/>
                <w:color w:val="auto"/>
                <w:sz w:val="24"/>
              </w:rPr>
            </w:pPr>
            <w:r>
              <w:rPr>
                <w:rFonts w:ascii="Times New Roman" w:hAnsi="Times New Roman"/>
                <w:color w:val="auto"/>
                <w:sz w:val="24"/>
              </w:rPr>
              <w:t>C：尘源的周长</w:t>
            </w:r>
            <w:r>
              <w:rPr>
                <w:rFonts w:hint="eastAsia" w:ascii="Times New Roman" w:hAnsi="Times New Roman"/>
                <w:color w:val="auto"/>
                <w:sz w:val="24"/>
              </w:rPr>
              <w:t>，</w:t>
            </w:r>
            <w:r>
              <w:rPr>
                <w:rFonts w:ascii="Times New Roman" w:hAnsi="Times New Roman"/>
                <w:color w:val="auto"/>
                <w:sz w:val="24"/>
              </w:rPr>
              <w:t>m</w:t>
            </w:r>
            <w:r>
              <w:rPr>
                <w:rFonts w:hint="eastAsia" w:ascii="Times New Roman" w:hAnsi="Times New Roman"/>
                <w:color w:val="auto"/>
                <w:sz w:val="24"/>
              </w:rPr>
              <w:t>，</w:t>
            </w:r>
            <w:r>
              <w:rPr>
                <w:rFonts w:ascii="Times New Roman" w:hAnsi="Times New Roman"/>
                <w:color w:val="auto"/>
                <w:sz w:val="24"/>
              </w:rPr>
              <w:t>当罩口设有挡板时</w:t>
            </w:r>
            <w:r>
              <w:rPr>
                <w:rFonts w:hint="eastAsia" w:ascii="Times New Roman" w:hAnsi="Times New Roman"/>
                <w:color w:val="auto"/>
                <w:sz w:val="24"/>
              </w:rPr>
              <w:t>，</w:t>
            </w:r>
            <w:r>
              <w:rPr>
                <w:rFonts w:ascii="Times New Roman" w:hAnsi="Times New Roman"/>
                <w:color w:val="auto"/>
                <w:sz w:val="24"/>
              </w:rPr>
              <w:t>C为未设挡板部分的有尘源的周长；</w:t>
            </w:r>
          </w:p>
          <w:p w14:paraId="6D03C8EA">
            <w:pPr>
              <w:keepNext w:val="0"/>
              <w:keepLines w:val="0"/>
              <w:pageBreakBefore w:val="0"/>
              <w:widowControl w:val="0"/>
              <w:shd w:val="clear"/>
              <w:kinsoku/>
              <w:wordWrap/>
              <w:overflowPunct/>
              <w:topLinePunct w:val="0"/>
              <w:autoSpaceDE/>
              <w:autoSpaceDN/>
              <w:bidi w:val="0"/>
              <w:snapToGrid w:val="0"/>
              <w:spacing w:line="500" w:lineRule="exact"/>
              <w:textAlignment w:val="auto"/>
              <w:rPr>
                <w:rFonts w:ascii="Times New Roman" w:hAnsi="Times New Roman"/>
                <w:color w:val="auto"/>
                <w:sz w:val="24"/>
              </w:rPr>
            </w:pPr>
            <w:r>
              <w:rPr>
                <w:rFonts w:ascii="Times New Roman" w:hAnsi="Times New Roman"/>
                <w:color w:val="auto"/>
                <w:sz w:val="24"/>
              </w:rPr>
              <w:t>H：罩口距尘源的距离</w:t>
            </w:r>
            <w:r>
              <w:rPr>
                <w:rFonts w:hint="eastAsia" w:ascii="Times New Roman" w:hAnsi="Times New Roman"/>
                <w:color w:val="auto"/>
                <w:sz w:val="24"/>
              </w:rPr>
              <w:t>，</w:t>
            </w:r>
            <w:r>
              <w:rPr>
                <w:rFonts w:ascii="Times New Roman" w:hAnsi="Times New Roman"/>
                <w:color w:val="auto"/>
                <w:sz w:val="24"/>
              </w:rPr>
              <w:t>m</w:t>
            </w:r>
            <w:r>
              <w:rPr>
                <w:rFonts w:hint="eastAsia" w:ascii="Times New Roman" w:hAnsi="Times New Roman"/>
                <w:color w:val="auto"/>
                <w:sz w:val="24"/>
                <w:lang w:eastAsia="zh-CN"/>
              </w:rPr>
              <w:t>，</w:t>
            </w:r>
            <w:r>
              <w:rPr>
                <w:rFonts w:hint="eastAsia" w:ascii="Times New Roman" w:hAnsi="Times New Roman"/>
                <w:color w:val="auto"/>
                <w:sz w:val="24"/>
                <w:lang w:val="en-US" w:eastAsia="zh-CN"/>
              </w:rPr>
              <w:t>取</w:t>
            </w:r>
            <w:r>
              <w:rPr>
                <w:rFonts w:hint="eastAsia"/>
                <w:color w:val="auto"/>
                <w:sz w:val="24"/>
                <w:lang w:val="en-US" w:eastAsia="zh-CN"/>
              </w:rPr>
              <w:t>1</w:t>
            </w:r>
            <w:r>
              <w:rPr>
                <w:rFonts w:hint="eastAsia" w:ascii="Times New Roman" w:hAnsi="Times New Roman"/>
                <w:color w:val="auto"/>
                <w:sz w:val="24"/>
                <w:lang w:val="en-US" w:eastAsia="zh-CN"/>
              </w:rPr>
              <w:t>m</w:t>
            </w:r>
            <w:r>
              <w:rPr>
                <w:rFonts w:ascii="Times New Roman" w:hAnsi="Times New Roman"/>
                <w:color w:val="auto"/>
                <w:sz w:val="24"/>
              </w:rPr>
              <w:t>；</w:t>
            </w:r>
          </w:p>
          <w:p w14:paraId="53E0DE0C">
            <w:pPr>
              <w:keepNext w:val="0"/>
              <w:keepLines w:val="0"/>
              <w:pageBreakBefore w:val="0"/>
              <w:widowControl w:val="0"/>
              <w:shd w:val="clear"/>
              <w:kinsoku/>
              <w:wordWrap/>
              <w:overflowPunct/>
              <w:topLinePunct w:val="0"/>
              <w:autoSpaceDE/>
              <w:autoSpaceDN/>
              <w:bidi w:val="0"/>
              <w:spacing w:line="500" w:lineRule="exact"/>
              <w:jc w:val="left"/>
              <w:textAlignment w:val="auto"/>
              <w:rPr>
                <w:rFonts w:hint="default" w:ascii="Times New Roman" w:hAnsi="Times New Roman" w:eastAsia="宋体" w:cs="Times New Roman"/>
                <w:color w:val="auto"/>
                <w:sz w:val="24"/>
                <w:szCs w:val="24"/>
                <w:lang w:eastAsia="zh-CN"/>
              </w:rPr>
            </w:pPr>
            <w:r>
              <w:rPr>
                <w:rFonts w:hint="eastAsia" w:ascii="Times New Roman" w:hAnsi="Times New Roman"/>
                <w:color w:val="auto"/>
                <w:sz w:val="24"/>
              </w:rPr>
              <w:t>V</w:t>
            </w:r>
            <w:r>
              <w:rPr>
                <w:rFonts w:ascii="Times New Roman" w:hAnsi="Times New Roman"/>
                <w:color w:val="auto"/>
                <w:sz w:val="24"/>
                <w:vertAlign w:val="subscript"/>
              </w:rPr>
              <w:t>0</w:t>
            </w:r>
            <w:r>
              <w:rPr>
                <w:rFonts w:ascii="Times New Roman" w:hAnsi="Times New Roman"/>
                <w:color w:val="auto"/>
                <w:sz w:val="24"/>
              </w:rPr>
              <w:t>：罩口上平均风速</w:t>
            </w:r>
            <w:r>
              <w:rPr>
                <w:rFonts w:hint="eastAsia" w:ascii="Times New Roman" w:hAnsi="Times New Roman"/>
                <w:color w:val="auto"/>
                <w:sz w:val="24"/>
              </w:rPr>
              <w:t>，</w:t>
            </w:r>
            <w:r>
              <w:rPr>
                <w:rFonts w:ascii="Times New Roman" w:hAnsi="Times New Roman"/>
                <w:color w:val="auto"/>
                <w:sz w:val="24"/>
              </w:rPr>
              <w:t>m/s</w:t>
            </w:r>
            <w:r>
              <w:rPr>
                <w:rFonts w:hint="eastAsia" w:ascii="Times New Roman" w:hAnsi="Times New Roman"/>
                <w:color w:val="auto"/>
                <w:sz w:val="24"/>
              </w:rPr>
              <w:t>，</w:t>
            </w:r>
            <w:r>
              <w:rPr>
                <w:rFonts w:ascii="Times New Roman" w:hAnsi="Times New Roman"/>
                <w:color w:val="auto"/>
                <w:sz w:val="24"/>
              </w:rPr>
              <w:t>未设挡板1.0-1.27m/s、一面挡板0.9-1.0m/s、两面挡板0.76-0.9m/s、三面挡板0.5-0.76m/s</w:t>
            </w:r>
            <w:r>
              <w:rPr>
                <w:rFonts w:hint="eastAsia" w:ascii="Times New Roman" w:hAnsi="Times New Roman"/>
                <w:color w:val="auto"/>
                <w:sz w:val="24"/>
                <w:lang w:eastAsia="zh-CN"/>
              </w:rPr>
              <w:t>，</w:t>
            </w:r>
            <w:r>
              <w:rPr>
                <w:rFonts w:hint="eastAsia" w:ascii="Times New Roman" w:hAnsi="Times New Roman"/>
                <w:color w:val="auto"/>
                <w:sz w:val="24"/>
                <w:lang w:val="en-US" w:eastAsia="zh-CN"/>
              </w:rPr>
              <w:t>本次取0.6m/s</w:t>
            </w:r>
            <w:r>
              <w:rPr>
                <w:rFonts w:hint="default" w:ascii="Times New Roman" w:hAnsi="Times New Roman" w:eastAsia="宋体" w:cs="Times New Roman"/>
                <w:color w:val="auto"/>
                <w:sz w:val="24"/>
                <w:szCs w:val="24"/>
                <w:lang w:eastAsia="zh-CN"/>
              </w:rPr>
              <w:t>。</w:t>
            </w:r>
          </w:p>
          <w:p w14:paraId="6E615CD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⑵集气罩收集废气量核算公式如下：</w:t>
            </w:r>
          </w:p>
          <w:p w14:paraId="412B729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Q =3600AV</w:t>
            </w:r>
            <w:r>
              <w:rPr>
                <w:rFonts w:hint="eastAsia" w:cs="Times New Roman"/>
                <w:b w:val="0"/>
                <w:bCs w:val="0"/>
                <w:snapToGrid w:val="0"/>
                <w:color w:val="auto"/>
                <w:kern w:val="0"/>
                <w:sz w:val="24"/>
                <w:szCs w:val="24"/>
                <w:highlight w:val="none"/>
                <w:vertAlign w:val="subscript"/>
                <w:lang w:val="en-US" w:eastAsia="zh-CN"/>
              </w:rPr>
              <w:t>P</w:t>
            </w:r>
          </w:p>
          <w:p w14:paraId="5F4BF3A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Q：吸风量，m</w:t>
            </w:r>
            <w:r>
              <w:rPr>
                <w:rFonts w:hint="eastAsia" w:cs="Times New Roman"/>
                <w:b w:val="0"/>
                <w:bCs w:val="0"/>
                <w:snapToGrid w:val="0"/>
                <w:color w:val="auto"/>
                <w:kern w:val="0"/>
                <w:sz w:val="24"/>
                <w:szCs w:val="24"/>
                <w:highlight w:val="none"/>
                <w:vertAlign w:val="superscript"/>
                <w:lang w:val="en-US" w:eastAsia="zh-CN"/>
              </w:rPr>
              <w:t>3</w:t>
            </w:r>
            <w:r>
              <w:rPr>
                <w:rFonts w:hint="eastAsia" w:cs="Times New Roman"/>
                <w:b w:val="0"/>
                <w:bCs w:val="0"/>
                <w:snapToGrid w:val="0"/>
                <w:color w:val="auto"/>
                <w:kern w:val="0"/>
                <w:sz w:val="24"/>
                <w:szCs w:val="24"/>
                <w:highlight w:val="none"/>
                <w:lang w:val="en-US" w:eastAsia="zh-CN"/>
              </w:rPr>
              <w:t>/h；</w:t>
            </w:r>
          </w:p>
          <w:p w14:paraId="0FE3B95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A：罩口面积，m</w:t>
            </w:r>
            <w:r>
              <w:rPr>
                <w:rFonts w:hint="eastAsia" w:cs="Times New Roman"/>
                <w:b w:val="0"/>
                <w:bCs w:val="0"/>
                <w:snapToGrid w:val="0"/>
                <w:color w:val="auto"/>
                <w:kern w:val="0"/>
                <w:sz w:val="24"/>
                <w:szCs w:val="24"/>
                <w:highlight w:val="none"/>
                <w:vertAlign w:val="superscript"/>
                <w:lang w:val="en-US" w:eastAsia="zh-CN"/>
              </w:rPr>
              <w:t>2</w:t>
            </w:r>
            <w:r>
              <w:rPr>
                <w:rFonts w:hint="eastAsia" w:cs="Times New Roman"/>
                <w:b w:val="0"/>
                <w:bCs w:val="0"/>
                <w:snapToGrid w:val="0"/>
                <w:color w:val="auto"/>
                <w:kern w:val="0"/>
                <w:sz w:val="24"/>
                <w:szCs w:val="24"/>
                <w:highlight w:val="none"/>
                <w:lang w:val="en-US" w:eastAsia="zh-CN"/>
              </w:rPr>
              <w:t>；</w:t>
            </w:r>
          </w:p>
          <w:p w14:paraId="6BD40E2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V</w:t>
            </w:r>
            <w:r>
              <w:rPr>
                <w:rFonts w:hint="eastAsia" w:cs="Times New Roman"/>
                <w:b w:val="0"/>
                <w:bCs w:val="0"/>
                <w:snapToGrid w:val="0"/>
                <w:color w:val="auto"/>
                <w:kern w:val="0"/>
                <w:sz w:val="24"/>
                <w:szCs w:val="24"/>
                <w:highlight w:val="none"/>
                <w:vertAlign w:val="subscript"/>
                <w:lang w:val="en-US" w:eastAsia="zh-CN"/>
              </w:rPr>
              <w:t>P</w:t>
            </w:r>
            <w:r>
              <w:rPr>
                <w:rFonts w:hint="eastAsia" w:cs="Times New Roman"/>
                <w:b w:val="0"/>
                <w:bCs w:val="0"/>
                <w:snapToGrid w:val="0"/>
                <w:color w:val="auto"/>
                <w:kern w:val="0"/>
                <w:sz w:val="24"/>
                <w:szCs w:val="24"/>
                <w:highlight w:val="none"/>
                <w:lang w:val="en-US" w:eastAsia="zh-CN"/>
              </w:rPr>
              <w:t>：罩口平均风速，取1m/s</w:t>
            </w:r>
          </w:p>
          <w:p w14:paraId="06326B8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⑶集气管道收集废气量核算公式如下：</w:t>
            </w:r>
          </w:p>
          <w:p w14:paraId="23AE664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废气收集管道单孔的风量为：</w:t>
            </w:r>
            <w:r>
              <w:rPr>
                <w:rFonts w:hint="default" w:cs="Times New Roman"/>
                <w:b w:val="0"/>
                <w:bCs w:val="0"/>
                <w:snapToGrid w:val="0"/>
                <w:color w:val="auto"/>
                <w:kern w:val="0"/>
                <w:sz w:val="24"/>
                <w:szCs w:val="24"/>
                <w:highlight w:val="none"/>
                <w:lang w:val="en-US" w:eastAsia="zh-CN"/>
              </w:rPr>
              <w:t xml:space="preserve">L=3600Fvβ </w:t>
            </w:r>
          </w:p>
          <w:p w14:paraId="49FB0AA5">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式中：</w:t>
            </w:r>
          </w:p>
          <w:p w14:paraId="3564810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default" w:cs="Times New Roman"/>
                <w:b w:val="0"/>
                <w:bCs w:val="0"/>
                <w:snapToGrid w:val="0"/>
                <w:color w:val="auto"/>
                <w:kern w:val="0"/>
                <w:sz w:val="24"/>
                <w:szCs w:val="24"/>
                <w:highlight w:val="none"/>
                <w:lang w:val="en-US" w:eastAsia="zh-CN"/>
              </w:rPr>
              <w:t>L</w:t>
            </w:r>
            <w:r>
              <w:rPr>
                <w:rFonts w:hint="eastAsia" w:cs="Times New Roman"/>
                <w:b w:val="0"/>
                <w:bCs w:val="0"/>
                <w:snapToGrid w:val="0"/>
                <w:color w:val="auto"/>
                <w:kern w:val="0"/>
                <w:sz w:val="24"/>
                <w:szCs w:val="24"/>
                <w:highlight w:val="none"/>
                <w:lang w:val="en-US" w:eastAsia="zh-CN"/>
              </w:rPr>
              <w:t>：排气量，</w:t>
            </w:r>
            <w:r>
              <w:rPr>
                <w:rFonts w:hint="default" w:cs="Times New Roman"/>
                <w:b w:val="0"/>
                <w:bCs w:val="0"/>
                <w:snapToGrid w:val="0"/>
                <w:color w:val="auto"/>
                <w:kern w:val="0"/>
                <w:sz w:val="24"/>
                <w:szCs w:val="24"/>
                <w:highlight w:val="none"/>
                <w:lang w:val="en-US" w:eastAsia="zh-CN"/>
              </w:rPr>
              <w:t>m</w:t>
            </w:r>
            <w:r>
              <w:rPr>
                <w:rFonts w:hint="default" w:cs="Times New Roman"/>
                <w:b w:val="0"/>
                <w:bCs w:val="0"/>
                <w:snapToGrid w:val="0"/>
                <w:color w:val="auto"/>
                <w:kern w:val="0"/>
                <w:sz w:val="24"/>
                <w:szCs w:val="24"/>
                <w:highlight w:val="none"/>
                <w:vertAlign w:val="superscript"/>
                <w:lang w:val="en-US" w:eastAsia="zh-CN"/>
              </w:rPr>
              <w:t>3</w:t>
            </w:r>
            <w:r>
              <w:rPr>
                <w:rFonts w:hint="default" w:cs="Times New Roman"/>
                <w:b w:val="0"/>
                <w:bCs w:val="0"/>
                <w:snapToGrid w:val="0"/>
                <w:color w:val="auto"/>
                <w:kern w:val="0"/>
                <w:sz w:val="24"/>
                <w:szCs w:val="24"/>
                <w:highlight w:val="none"/>
                <w:lang w:val="en-US" w:eastAsia="zh-CN"/>
              </w:rPr>
              <w:t xml:space="preserve"> /h</w:t>
            </w:r>
            <w:r>
              <w:rPr>
                <w:rFonts w:hint="eastAsia" w:cs="Times New Roman"/>
                <w:b w:val="0"/>
                <w:bCs w:val="0"/>
                <w:snapToGrid w:val="0"/>
                <w:color w:val="auto"/>
                <w:kern w:val="0"/>
                <w:sz w:val="24"/>
                <w:szCs w:val="24"/>
                <w:highlight w:val="none"/>
                <w:lang w:val="en-US" w:eastAsia="zh-CN"/>
              </w:rPr>
              <w:t xml:space="preserve">； </w:t>
            </w:r>
          </w:p>
          <w:p w14:paraId="735830A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default" w:cs="Times New Roman"/>
                <w:b w:val="0"/>
                <w:bCs w:val="0"/>
                <w:snapToGrid w:val="0"/>
                <w:color w:val="auto"/>
                <w:kern w:val="0"/>
                <w:sz w:val="24"/>
                <w:szCs w:val="24"/>
                <w:highlight w:val="none"/>
                <w:lang w:val="en-US" w:eastAsia="zh-CN"/>
              </w:rPr>
              <w:t>F</w:t>
            </w:r>
            <w:r>
              <w:rPr>
                <w:rFonts w:hint="eastAsia" w:cs="Times New Roman"/>
                <w:b w:val="0"/>
                <w:bCs w:val="0"/>
                <w:snapToGrid w:val="0"/>
                <w:color w:val="auto"/>
                <w:kern w:val="0"/>
                <w:sz w:val="24"/>
                <w:szCs w:val="24"/>
                <w:highlight w:val="none"/>
                <w:lang w:val="en-US" w:eastAsia="zh-CN"/>
              </w:rPr>
              <w:t>：工作孔的面积，</w:t>
            </w:r>
            <w:r>
              <w:rPr>
                <w:rFonts w:hint="default" w:cs="Times New Roman"/>
                <w:b w:val="0"/>
                <w:bCs w:val="0"/>
                <w:snapToGrid w:val="0"/>
                <w:color w:val="auto"/>
                <w:kern w:val="0"/>
                <w:sz w:val="24"/>
                <w:szCs w:val="24"/>
                <w:highlight w:val="none"/>
                <w:lang w:val="en-US" w:eastAsia="zh-CN"/>
              </w:rPr>
              <w:t>m</w:t>
            </w:r>
            <w:r>
              <w:rPr>
                <w:rFonts w:hint="default" w:cs="Times New Roman"/>
                <w:b w:val="0"/>
                <w:bCs w:val="0"/>
                <w:snapToGrid w:val="0"/>
                <w:color w:val="auto"/>
                <w:kern w:val="0"/>
                <w:sz w:val="24"/>
                <w:szCs w:val="24"/>
                <w:highlight w:val="none"/>
                <w:vertAlign w:val="superscript"/>
                <w:lang w:val="en-US" w:eastAsia="zh-CN"/>
              </w:rPr>
              <w:t>2</w:t>
            </w:r>
            <w:r>
              <w:rPr>
                <w:rFonts w:hint="eastAsia" w:cs="Times New Roman"/>
                <w:b w:val="0"/>
                <w:bCs w:val="0"/>
                <w:snapToGrid w:val="0"/>
                <w:color w:val="auto"/>
                <w:kern w:val="0"/>
                <w:sz w:val="24"/>
                <w:szCs w:val="24"/>
                <w:highlight w:val="none"/>
                <w:lang w:val="en-US" w:eastAsia="zh-CN"/>
              </w:rPr>
              <w:t>；</w:t>
            </w:r>
          </w:p>
          <w:p w14:paraId="15E27B6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default" w:cs="Times New Roman"/>
                <w:b w:val="0"/>
                <w:bCs w:val="0"/>
                <w:snapToGrid w:val="0"/>
                <w:color w:val="auto"/>
                <w:kern w:val="0"/>
                <w:sz w:val="24"/>
                <w:szCs w:val="24"/>
                <w:highlight w:val="none"/>
                <w:lang w:val="en-US" w:eastAsia="zh-CN"/>
              </w:rPr>
              <w:t>V</w:t>
            </w:r>
            <w:r>
              <w:rPr>
                <w:rFonts w:hint="eastAsia" w:cs="Times New Roman"/>
                <w:b w:val="0"/>
                <w:bCs w:val="0"/>
                <w:snapToGrid w:val="0"/>
                <w:color w:val="auto"/>
                <w:kern w:val="0"/>
                <w:sz w:val="24"/>
                <w:szCs w:val="24"/>
                <w:highlight w:val="none"/>
                <w:lang w:val="en-US" w:eastAsia="zh-CN"/>
              </w:rPr>
              <w:t>：工作孔空气的吸入速度，</w:t>
            </w:r>
            <w:r>
              <w:rPr>
                <w:rFonts w:hint="default" w:cs="Times New Roman"/>
                <w:b w:val="0"/>
                <w:bCs w:val="0"/>
                <w:snapToGrid w:val="0"/>
                <w:color w:val="auto"/>
                <w:kern w:val="0"/>
                <w:sz w:val="24"/>
                <w:szCs w:val="24"/>
                <w:highlight w:val="none"/>
                <w:lang w:val="en-US" w:eastAsia="zh-CN"/>
              </w:rPr>
              <w:t>m/s</w:t>
            </w:r>
            <w:r>
              <w:rPr>
                <w:rFonts w:hint="eastAsia" w:cs="Times New Roman"/>
                <w:b w:val="0"/>
                <w:bCs w:val="0"/>
                <w:snapToGrid w:val="0"/>
                <w:color w:val="auto"/>
                <w:kern w:val="0"/>
                <w:sz w:val="24"/>
                <w:szCs w:val="24"/>
                <w:highlight w:val="none"/>
                <w:lang w:val="en-US" w:eastAsia="zh-CN"/>
              </w:rPr>
              <w:t xml:space="preserve">，本次环评取15m/s； </w:t>
            </w:r>
          </w:p>
          <w:p w14:paraId="4DE20DE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default" w:cs="Times New Roman"/>
                <w:b w:val="0"/>
                <w:bCs w:val="0"/>
                <w:snapToGrid w:val="0"/>
                <w:color w:val="auto"/>
                <w:kern w:val="0"/>
                <w:sz w:val="24"/>
                <w:szCs w:val="24"/>
                <w:highlight w:val="none"/>
                <w:lang w:val="en-US" w:eastAsia="zh-CN"/>
              </w:rPr>
              <w:t>β</w:t>
            </w:r>
            <w:r>
              <w:rPr>
                <w:rFonts w:hint="eastAsia" w:cs="Times New Roman"/>
                <w:b w:val="0"/>
                <w:bCs w:val="0"/>
                <w:snapToGrid w:val="0"/>
                <w:color w:val="auto"/>
                <w:kern w:val="0"/>
                <w:sz w:val="24"/>
                <w:szCs w:val="24"/>
                <w:highlight w:val="none"/>
                <w:lang w:val="en-US" w:eastAsia="zh-CN"/>
              </w:rPr>
              <w:t>—安全系数，本次环评取</w:t>
            </w:r>
            <w:r>
              <w:rPr>
                <w:rFonts w:hint="default" w:cs="Times New Roman"/>
                <w:b w:val="0"/>
                <w:bCs w:val="0"/>
                <w:snapToGrid w:val="0"/>
                <w:color w:val="auto"/>
                <w:kern w:val="0"/>
                <w:sz w:val="24"/>
                <w:szCs w:val="24"/>
                <w:highlight w:val="none"/>
                <w:lang w:val="en-US" w:eastAsia="zh-CN"/>
              </w:rPr>
              <w:t>1.05</w:t>
            </w:r>
            <w:r>
              <w:rPr>
                <w:rFonts w:hint="eastAsia" w:cs="Times New Roman"/>
                <w:b w:val="0"/>
                <w:bCs w:val="0"/>
                <w:snapToGrid w:val="0"/>
                <w:color w:val="auto"/>
                <w:kern w:val="0"/>
                <w:sz w:val="24"/>
                <w:szCs w:val="24"/>
                <w:highlight w:val="none"/>
                <w:lang w:val="en-US" w:eastAsia="zh-CN"/>
              </w:rPr>
              <w:t>。</w:t>
            </w:r>
          </w:p>
          <w:p w14:paraId="53A04FF3">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⑷空间换气法</w:t>
            </w:r>
          </w:p>
          <w:p w14:paraId="7AACAB9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Q=V×n</w:t>
            </w:r>
          </w:p>
          <w:p w14:paraId="5FBCFB9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V：筛体封闭空间体积（m</w:t>
            </w:r>
            <w:r>
              <w:rPr>
                <w:rFonts w:hint="eastAsia" w:cs="Times New Roman"/>
                <w:b w:val="0"/>
                <w:bCs w:val="0"/>
                <w:snapToGrid w:val="0"/>
                <w:color w:val="auto"/>
                <w:kern w:val="0"/>
                <w:sz w:val="24"/>
                <w:szCs w:val="24"/>
                <w:highlight w:val="none"/>
                <w:vertAlign w:val="superscript"/>
                <w:lang w:val="en-US" w:eastAsia="zh-CN"/>
              </w:rPr>
              <w:t>3</w:t>
            </w:r>
            <w:r>
              <w:rPr>
                <w:rFonts w:hint="eastAsia" w:cs="Times New Roman"/>
                <w:b w:val="0"/>
                <w:bCs w:val="0"/>
                <w:snapToGrid w:val="0"/>
                <w:color w:val="auto"/>
                <w:kern w:val="0"/>
                <w:sz w:val="24"/>
                <w:szCs w:val="24"/>
                <w:highlight w:val="none"/>
                <w:lang w:val="en-US" w:eastAsia="zh-CN"/>
              </w:rPr>
              <w:t>）</w:t>
            </w:r>
          </w:p>
          <w:p w14:paraId="4109402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n：换气次数（20~30 次 /h，高粉尘取上限）</w:t>
            </w:r>
          </w:p>
          <w:p w14:paraId="7F5EC27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p>
          <w:p w14:paraId="02DF2F7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color w:val="auto"/>
                <w:lang w:val="en-US" w:eastAsia="zh-CN"/>
              </w:rPr>
            </w:pPr>
          </w:p>
        </w:tc>
      </w:tr>
    </w:tbl>
    <w:p w14:paraId="7337DACD">
      <w:pPr>
        <w:pStyle w:val="7"/>
        <w:keepNext w:val="0"/>
        <w:keepLines w:val="0"/>
        <w:pageBreakBefore w:val="0"/>
        <w:widowControl w:val="0"/>
        <w:shd w:val="clear"/>
        <w:kinsoku/>
        <w:wordWrap/>
        <w:overflowPunct/>
        <w:topLinePunct w:val="0"/>
        <w:autoSpaceDE/>
        <w:autoSpaceDN/>
        <w:bidi w:val="0"/>
        <w:adjustRightInd/>
        <w:snapToGrid/>
        <w:spacing w:line="0" w:lineRule="atLeast"/>
        <w:textAlignment w:val="auto"/>
        <w:rPr>
          <w:rFonts w:hint="default"/>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autofit"/>
        <w:tblCellMar>
          <w:top w:w="0" w:type="dxa"/>
          <w:left w:w="108" w:type="dxa"/>
          <w:bottom w:w="0" w:type="dxa"/>
          <w:right w:w="108" w:type="dxa"/>
        </w:tblCellMar>
      </w:tblPr>
      <w:tblGrid>
        <w:gridCol w:w="930"/>
        <w:gridCol w:w="13244"/>
      </w:tblGrid>
      <w:tr w14:paraId="3F6EF248">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c>
          <w:tcPr>
            <w:tcW w:w="930" w:type="dxa"/>
            <w:tcBorders>
              <w:tl2br w:val="nil"/>
              <w:tr2bl w:val="nil"/>
            </w:tcBorders>
          </w:tcPr>
          <w:p w14:paraId="2D8843F6">
            <w:pPr>
              <w:pStyle w:val="40"/>
              <w:shd w:val="clear"/>
              <w:rPr>
                <w:rFonts w:hint="default"/>
                <w:color w:val="auto"/>
                <w:vertAlign w:val="baseline"/>
              </w:rPr>
            </w:pPr>
          </w:p>
        </w:tc>
        <w:tc>
          <w:tcPr>
            <w:tcW w:w="13244" w:type="dxa"/>
            <w:tcBorders>
              <w:tl2br w:val="nil"/>
              <w:tr2bl w:val="nil"/>
            </w:tcBorders>
          </w:tcPr>
          <w:p w14:paraId="6BD3F99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废气收集方式及风机合理性核算一览表</w:t>
            </w:r>
          </w:p>
          <w:tbl>
            <w:tblPr>
              <w:tblStyle w:val="33"/>
              <w:tblW w:w="4768"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autofit"/>
              <w:tblCellMar>
                <w:top w:w="0" w:type="dxa"/>
                <w:left w:w="108" w:type="dxa"/>
                <w:bottom w:w="0" w:type="dxa"/>
                <w:right w:w="108" w:type="dxa"/>
              </w:tblCellMar>
            </w:tblPr>
            <w:tblGrid>
              <w:gridCol w:w="1262"/>
              <w:gridCol w:w="930"/>
              <w:gridCol w:w="4278"/>
              <w:gridCol w:w="1493"/>
              <w:gridCol w:w="2227"/>
              <w:gridCol w:w="1059"/>
              <w:gridCol w:w="1146"/>
            </w:tblGrid>
            <w:tr w14:paraId="58ED794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5" w:hRule="atLeast"/>
                <w:jc w:val="center"/>
              </w:trPr>
              <w:tc>
                <w:tcPr>
                  <w:tcW w:w="884" w:type="pct"/>
                  <w:gridSpan w:val="2"/>
                  <w:tcBorders>
                    <w:tl2br w:val="nil"/>
                    <w:tr2bl w:val="nil"/>
                  </w:tcBorders>
                  <w:noWrap w:val="0"/>
                  <w:vAlign w:val="center"/>
                </w:tcPr>
                <w:p w14:paraId="6FBE0CD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产废</w:t>
                  </w:r>
                  <w:r>
                    <w:rPr>
                      <w:rFonts w:hint="eastAsia" w:cs="Times New Roman"/>
                      <w:b w:val="0"/>
                      <w:bCs w:val="0"/>
                      <w:snapToGrid w:val="0"/>
                      <w:color w:val="auto"/>
                      <w:kern w:val="0"/>
                      <w:sz w:val="21"/>
                      <w:szCs w:val="21"/>
                      <w:highlight w:val="none"/>
                      <w:vertAlign w:val="baseline"/>
                      <w:lang w:val="en-US" w:eastAsia="zh-CN" w:bidi="ar-SA"/>
                    </w:rPr>
                    <w:t>节点</w:t>
                  </w:r>
                </w:p>
              </w:tc>
              <w:tc>
                <w:tcPr>
                  <w:tcW w:w="1725" w:type="pct"/>
                  <w:tcBorders>
                    <w:tl2br w:val="nil"/>
                    <w:tr2bl w:val="nil"/>
                  </w:tcBorders>
                  <w:noWrap w:val="0"/>
                  <w:vAlign w:val="center"/>
                </w:tcPr>
                <w:p w14:paraId="5C92557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收集方式</w:t>
                  </w:r>
                </w:p>
              </w:tc>
              <w:tc>
                <w:tcPr>
                  <w:tcW w:w="602" w:type="pct"/>
                  <w:tcBorders>
                    <w:tl2br w:val="nil"/>
                    <w:tr2bl w:val="nil"/>
                  </w:tcBorders>
                  <w:noWrap w:val="0"/>
                  <w:vAlign w:val="center"/>
                </w:tcPr>
                <w:p w14:paraId="12825D2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尺寸</w:t>
                  </w:r>
                </w:p>
              </w:tc>
              <w:tc>
                <w:tcPr>
                  <w:tcW w:w="898" w:type="pct"/>
                  <w:tcBorders>
                    <w:tl2br w:val="nil"/>
                    <w:tr2bl w:val="nil"/>
                  </w:tcBorders>
                  <w:noWrap w:val="0"/>
                  <w:vAlign w:val="center"/>
                </w:tcPr>
                <w:p w14:paraId="17D7FA7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核算依据</w:t>
                  </w:r>
                </w:p>
              </w:tc>
              <w:tc>
                <w:tcPr>
                  <w:tcW w:w="427" w:type="pct"/>
                  <w:tcBorders>
                    <w:tl2br w:val="nil"/>
                    <w:tr2bl w:val="nil"/>
                  </w:tcBorders>
                  <w:noWrap w:val="0"/>
                  <w:vAlign w:val="center"/>
                </w:tcPr>
                <w:p w14:paraId="3D94419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数量（个）</w:t>
                  </w:r>
                </w:p>
              </w:tc>
              <w:tc>
                <w:tcPr>
                  <w:tcW w:w="462" w:type="pct"/>
                  <w:tcBorders>
                    <w:tl2br w:val="nil"/>
                    <w:tr2bl w:val="nil"/>
                  </w:tcBorders>
                  <w:noWrap w:val="0"/>
                  <w:vAlign w:val="center"/>
                </w:tcPr>
                <w:p w14:paraId="4D58BC2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风量m</w:t>
                  </w:r>
                  <w:r>
                    <w:rPr>
                      <w:rFonts w:hint="default" w:cs="Times New Roman"/>
                      <w:b w:val="0"/>
                      <w:bCs w:val="0"/>
                      <w:snapToGrid w:val="0"/>
                      <w:color w:val="auto"/>
                      <w:kern w:val="0"/>
                      <w:sz w:val="21"/>
                      <w:szCs w:val="21"/>
                      <w:highlight w:val="none"/>
                      <w:vertAlign w:val="superscript"/>
                      <w:lang w:val="en-US" w:eastAsia="zh-CN" w:bidi="ar-SA"/>
                    </w:rPr>
                    <w:t>3</w:t>
                  </w:r>
                  <w:r>
                    <w:rPr>
                      <w:rFonts w:hint="default" w:cs="Times New Roman"/>
                      <w:b w:val="0"/>
                      <w:bCs w:val="0"/>
                      <w:snapToGrid w:val="0"/>
                      <w:color w:val="auto"/>
                      <w:kern w:val="0"/>
                      <w:sz w:val="21"/>
                      <w:szCs w:val="21"/>
                      <w:highlight w:val="none"/>
                      <w:vertAlign w:val="baseline"/>
                      <w:lang w:val="en-US" w:eastAsia="zh-CN" w:bidi="ar-SA"/>
                    </w:rPr>
                    <w:t>/h</w:t>
                  </w:r>
                </w:p>
              </w:tc>
            </w:tr>
            <w:tr w14:paraId="43951AE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884" w:type="pct"/>
                  <w:gridSpan w:val="2"/>
                  <w:tcBorders>
                    <w:tl2br w:val="nil"/>
                    <w:tr2bl w:val="nil"/>
                  </w:tcBorders>
                  <w:noWrap w:val="0"/>
                  <w:vAlign w:val="center"/>
                </w:tcPr>
                <w:p w14:paraId="54AE7F4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不合格矿石原料上料过程</w:t>
                  </w:r>
                </w:p>
              </w:tc>
              <w:tc>
                <w:tcPr>
                  <w:tcW w:w="1725" w:type="pct"/>
                  <w:tcBorders>
                    <w:tl2br w:val="nil"/>
                    <w:tr2bl w:val="nil"/>
                  </w:tcBorders>
                  <w:noWrap w:val="0"/>
                  <w:vAlign w:val="center"/>
                </w:tcPr>
                <w:p w14:paraId="7C0855D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上料</w:t>
                  </w:r>
                  <w:r>
                    <w:rPr>
                      <w:rFonts w:hint="eastAsia" w:cs="Times New Roman"/>
                      <w:b w:val="0"/>
                      <w:bCs w:val="0"/>
                      <w:snapToGrid w:val="0"/>
                      <w:color w:val="auto"/>
                      <w:kern w:val="0"/>
                      <w:sz w:val="21"/>
                      <w:szCs w:val="21"/>
                      <w:highlight w:val="none"/>
                      <w:vertAlign w:val="baseline"/>
                      <w:lang w:val="en-US" w:eastAsia="zh-CN" w:bidi="ar-SA"/>
                    </w:rPr>
                    <w:t>仓</w:t>
                  </w:r>
                  <w:r>
                    <w:rPr>
                      <w:rFonts w:hint="default" w:cs="Times New Roman"/>
                      <w:b w:val="0"/>
                      <w:bCs w:val="0"/>
                      <w:snapToGrid w:val="0"/>
                      <w:color w:val="auto"/>
                      <w:kern w:val="0"/>
                      <w:sz w:val="21"/>
                      <w:szCs w:val="21"/>
                      <w:highlight w:val="none"/>
                      <w:vertAlign w:val="baseline"/>
                      <w:lang w:val="en-US" w:eastAsia="zh-CN" w:bidi="ar-SA"/>
                    </w:rPr>
                    <w:t>三面及顶部围挡，一面设置软帘，</w:t>
                  </w:r>
                  <w:r>
                    <w:rPr>
                      <w:rFonts w:hint="eastAsia" w:cs="Times New Roman"/>
                      <w:b w:val="0"/>
                      <w:bCs w:val="0"/>
                      <w:snapToGrid w:val="0"/>
                      <w:color w:val="auto"/>
                      <w:kern w:val="0"/>
                      <w:sz w:val="21"/>
                      <w:szCs w:val="21"/>
                      <w:highlight w:val="none"/>
                      <w:vertAlign w:val="baseline"/>
                      <w:lang w:val="en-US" w:eastAsia="zh-CN" w:bidi="ar-SA"/>
                    </w:rPr>
                    <w:t>顶部设置集气罩；设置伞状喷雾抑尘装置，喷雾抑尘装置范围应覆盖整个落料点（电伴热）</w:t>
                  </w:r>
                </w:p>
              </w:tc>
              <w:tc>
                <w:tcPr>
                  <w:tcW w:w="602" w:type="pct"/>
                  <w:tcBorders>
                    <w:tl2br w:val="nil"/>
                    <w:tr2bl w:val="nil"/>
                  </w:tcBorders>
                  <w:shd w:val="clear" w:color="auto" w:fill="auto"/>
                  <w:noWrap w:val="0"/>
                  <w:vAlign w:val="center"/>
                </w:tcPr>
                <w:p w14:paraId="70BC074B">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eastAsia" w:cs="Times New Roman"/>
                      <w:i w:val="0"/>
                      <w:iCs w:val="0"/>
                      <w:color w:val="auto"/>
                      <w:kern w:val="0"/>
                      <w:sz w:val="21"/>
                      <w:szCs w:val="21"/>
                      <w:u w:val="none"/>
                      <w:lang w:val="en-US" w:eastAsia="zh-CN" w:bidi="ar"/>
                    </w:rPr>
                    <w:t>集气罩</w:t>
                  </w:r>
                  <w:r>
                    <w:rPr>
                      <w:rFonts w:hint="default" w:ascii="Times New Roman" w:hAnsi="Times New Roman" w:eastAsia="宋体" w:cs="Times New Roman"/>
                      <w:i w:val="0"/>
                      <w:iCs w:val="0"/>
                      <w:color w:val="auto"/>
                      <w:kern w:val="0"/>
                      <w:sz w:val="21"/>
                      <w:szCs w:val="21"/>
                      <w:u w:val="none"/>
                      <w:lang w:val="en-US" w:eastAsia="zh-CN" w:bidi="ar"/>
                    </w:rPr>
                    <w:t>4.0m×4.0m</w:t>
                  </w:r>
                </w:p>
              </w:tc>
              <w:tc>
                <w:tcPr>
                  <w:tcW w:w="898" w:type="pct"/>
                  <w:tcBorders>
                    <w:tl2br w:val="nil"/>
                    <w:tr2bl w:val="nil"/>
                  </w:tcBorders>
                  <w:shd w:val="clear" w:color="auto" w:fill="auto"/>
                  <w:noWrap w:val="0"/>
                  <w:vAlign w:val="center"/>
                </w:tcPr>
                <w:p w14:paraId="02401D74">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Q</w:t>
                  </w:r>
                  <w:r>
                    <w:rPr>
                      <w:rFonts w:hint="eastAsia" w:ascii="宋体" w:hAnsi="宋体" w:eastAsia="宋体" w:cs="宋体"/>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3600×K×C×H×V0</w:t>
                  </w:r>
                </w:p>
              </w:tc>
              <w:tc>
                <w:tcPr>
                  <w:tcW w:w="427" w:type="pct"/>
                  <w:tcBorders>
                    <w:tl2br w:val="nil"/>
                    <w:tr2bl w:val="nil"/>
                  </w:tcBorders>
                  <w:shd w:val="clear" w:color="auto" w:fill="auto"/>
                  <w:noWrap w:val="0"/>
                  <w:vAlign w:val="center"/>
                </w:tcPr>
                <w:p w14:paraId="3091C35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462" w:type="pct"/>
                  <w:tcBorders>
                    <w:tl2br w:val="nil"/>
                    <w:tr2bl w:val="nil"/>
                  </w:tcBorders>
                  <w:shd w:val="clear" w:color="auto" w:fill="auto"/>
                  <w:noWrap w:val="0"/>
                  <w:vAlign w:val="center"/>
                </w:tcPr>
                <w:p w14:paraId="2A28FDD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12096</w:t>
                  </w:r>
                  <w:r>
                    <w:rPr>
                      <w:rFonts w:hint="eastAsia" w:cs="Times New Roman"/>
                      <w:i w:val="0"/>
                      <w:iCs w:val="0"/>
                      <w:color w:val="auto"/>
                      <w:kern w:val="0"/>
                      <w:sz w:val="21"/>
                      <w:szCs w:val="21"/>
                      <w:u w:val="none"/>
                      <w:lang w:val="en-US" w:eastAsia="zh-CN" w:bidi="ar"/>
                    </w:rPr>
                    <w:t>.0</w:t>
                  </w:r>
                </w:p>
              </w:tc>
            </w:tr>
            <w:tr w14:paraId="5438992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9" w:hRule="atLeast"/>
                <w:jc w:val="center"/>
              </w:trPr>
              <w:tc>
                <w:tcPr>
                  <w:tcW w:w="509" w:type="pct"/>
                  <w:vMerge w:val="restart"/>
                  <w:tcBorders>
                    <w:tl2br w:val="nil"/>
                    <w:tr2bl w:val="nil"/>
                  </w:tcBorders>
                  <w:noWrap w:val="0"/>
                  <w:vAlign w:val="center"/>
                </w:tcPr>
                <w:p w14:paraId="705FDDA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颚式破碎机</w:t>
                  </w:r>
                </w:p>
              </w:tc>
              <w:tc>
                <w:tcPr>
                  <w:tcW w:w="374" w:type="pct"/>
                  <w:tcBorders>
                    <w:tl2br w:val="nil"/>
                    <w:tr2bl w:val="nil"/>
                  </w:tcBorders>
                  <w:noWrap w:val="0"/>
                  <w:vAlign w:val="center"/>
                </w:tcPr>
                <w:p w14:paraId="1DE7FDC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破碎</w:t>
                  </w:r>
                </w:p>
              </w:tc>
              <w:tc>
                <w:tcPr>
                  <w:tcW w:w="1725" w:type="pct"/>
                  <w:tcBorders>
                    <w:tl2br w:val="nil"/>
                    <w:tr2bl w:val="nil"/>
                  </w:tcBorders>
                  <w:noWrap w:val="0"/>
                  <w:vAlign w:val="center"/>
                </w:tcPr>
                <w:p w14:paraId="7D777EDF">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上料仓与颚式破碎机入料口采用全封闭连接，并在衔接位置设置集气引风口</w:t>
                  </w:r>
                </w:p>
              </w:tc>
              <w:tc>
                <w:tcPr>
                  <w:tcW w:w="602" w:type="pct"/>
                  <w:tcBorders>
                    <w:tl2br w:val="nil"/>
                    <w:tr2bl w:val="nil"/>
                  </w:tcBorders>
                  <w:noWrap w:val="0"/>
                  <w:vAlign w:val="center"/>
                </w:tcPr>
                <w:p w14:paraId="732B73E4">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Φ0.2m</w:t>
                  </w:r>
                </w:p>
              </w:tc>
              <w:tc>
                <w:tcPr>
                  <w:tcW w:w="898" w:type="pct"/>
                  <w:tcBorders>
                    <w:tl2br w:val="nil"/>
                    <w:tr2bl w:val="nil"/>
                  </w:tcBorders>
                  <w:noWrap w:val="0"/>
                  <w:vAlign w:val="center"/>
                </w:tcPr>
                <w:p w14:paraId="09D0CB16">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L=3600Fvβ</w:t>
                  </w:r>
                </w:p>
              </w:tc>
              <w:tc>
                <w:tcPr>
                  <w:tcW w:w="427" w:type="pct"/>
                  <w:tcBorders>
                    <w:tl2br w:val="nil"/>
                    <w:tr2bl w:val="nil"/>
                  </w:tcBorders>
                  <w:noWrap w:val="0"/>
                  <w:vAlign w:val="center"/>
                </w:tcPr>
                <w:p w14:paraId="194859FC">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462" w:type="pct"/>
                  <w:tcBorders>
                    <w:tl2br w:val="nil"/>
                    <w:tr2bl w:val="nil"/>
                  </w:tcBorders>
                  <w:noWrap w:val="0"/>
                  <w:vAlign w:val="center"/>
                </w:tcPr>
                <w:p w14:paraId="58B7F12F">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1780.38</w:t>
                  </w:r>
                </w:p>
              </w:tc>
            </w:tr>
            <w:tr w14:paraId="303FE6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9" w:hRule="atLeast"/>
                <w:jc w:val="center"/>
              </w:trPr>
              <w:tc>
                <w:tcPr>
                  <w:tcW w:w="509" w:type="pct"/>
                  <w:vMerge w:val="continue"/>
                  <w:tcBorders>
                    <w:tl2br w:val="nil"/>
                    <w:tr2bl w:val="nil"/>
                  </w:tcBorders>
                  <w:noWrap w:val="0"/>
                  <w:vAlign w:val="center"/>
                </w:tcPr>
                <w:p w14:paraId="236388E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p>
              </w:tc>
              <w:tc>
                <w:tcPr>
                  <w:tcW w:w="374" w:type="pct"/>
                  <w:tcBorders>
                    <w:tl2br w:val="nil"/>
                    <w:tr2bl w:val="nil"/>
                  </w:tcBorders>
                  <w:noWrap w:val="0"/>
                  <w:vAlign w:val="center"/>
                </w:tcPr>
                <w:p w14:paraId="7ED091E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落料</w:t>
                  </w:r>
                </w:p>
              </w:tc>
              <w:tc>
                <w:tcPr>
                  <w:tcW w:w="1725" w:type="pct"/>
                  <w:tcBorders>
                    <w:tl2br w:val="nil"/>
                    <w:tr2bl w:val="nil"/>
                  </w:tcBorders>
                  <w:noWrap w:val="0"/>
                  <w:vAlign w:val="center"/>
                </w:tcPr>
                <w:p w14:paraId="67E34FA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物料落料处全封闭，落料点上方设置集气引风口</w:t>
                  </w:r>
                </w:p>
              </w:tc>
              <w:tc>
                <w:tcPr>
                  <w:tcW w:w="602" w:type="pct"/>
                  <w:tcBorders>
                    <w:tl2br w:val="nil"/>
                    <w:tr2bl w:val="nil"/>
                  </w:tcBorders>
                  <w:noWrap w:val="0"/>
                  <w:vAlign w:val="center"/>
                </w:tcPr>
                <w:p w14:paraId="48AE51C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Φ0.2m</w:t>
                  </w:r>
                </w:p>
              </w:tc>
              <w:tc>
                <w:tcPr>
                  <w:tcW w:w="898" w:type="pct"/>
                  <w:tcBorders>
                    <w:tl2br w:val="nil"/>
                    <w:tr2bl w:val="nil"/>
                  </w:tcBorders>
                  <w:noWrap w:val="0"/>
                  <w:vAlign w:val="center"/>
                </w:tcPr>
                <w:p w14:paraId="1D64DC8B">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L=3600Fvβ</w:t>
                  </w:r>
                </w:p>
              </w:tc>
              <w:tc>
                <w:tcPr>
                  <w:tcW w:w="427" w:type="pct"/>
                  <w:tcBorders>
                    <w:tl2br w:val="nil"/>
                    <w:tr2bl w:val="nil"/>
                  </w:tcBorders>
                  <w:noWrap w:val="0"/>
                  <w:vAlign w:val="center"/>
                </w:tcPr>
                <w:p w14:paraId="5760F192">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462" w:type="pct"/>
                  <w:tcBorders>
                    <w:tl2br w:val="nil"/>
                    <w:tr2bl w:val="nil"/>
                  </w:tcBorders>
                  <w:noWrap w:val="0"/>
                  <w:vAlign w:val="center"/>
                </w:tcPr>
                <w:p w14:paraId="20DE8B40">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1780.38</w:t>
                  </w:r>
                </w:p>
              </w:tc>
            </w:tr>
            <w:tr w14:paraId="0123695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9" w:hRule="atLeast"/>
                <w:jc w:val="center"/>
              </w:trPr>
              <w:tc>
                <w:tcPr>
                  <w:tcW w:w="509" w:type="pct"/>
                  <w:vMerge w:val="restart"/>
                  <w:tcBorders>
                    <w:tl2br w:val="nil"/>
                    <w:tr2bl w:val="nil"/>
                  </w:tcBorders>
                  <w:noWrap w:val="0"/>
                  <w:vAlign w:val="center"/>
                </w:tcPr>
                <w:p w14:paraId="66B4A04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圆锥破碎机</w:t>
                  </w:r>
                </w:p>
              </w:tc>
              <w:tc>
                <w:tcPr>
                  <w:tcW w:w="374" w:type="pct"/>
                  <w:tcBorders>
                    <w:tl2br w:val="nil"/>
                    <w:tr2bl w:val="nil"/>
                  </w:tcBorders>
                  <w:noWrap w:val="0"/>
                  <w:vAlign w:val="center"/>
                </w:tcPr>
                <w:p w14:paraId="6BC546B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上料、破碎</w:t>
                  </w:r>
                </w:p>
              </w:tc>
              <w:tc>
                <w:tcPr>
                  <w:tcW w:w="1725" w:type="pct"/>
                  <w:tcBorders>
                    <w:tl2br w:val="nil"/>
                    <w:tr2bl w:val="nil"/>
                  </w:tcBorders>
                  <w:noWrap w:val="0"/>
                  <w:vAlign w:val="center"/>
                </w:tcPr>
                <w:p w14:paraId="2187827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皮带输送机与圆锥破碎机封闭相连，圆锥破碎机入料口上方设置集气罩</w:t>
                  </w:r>
                </w:p>
              </w:tc>
              <w:tc>
                <w:tcPr>
                  <w:tcW w:w="602" w:type="pct"/>
                  <w:tcBorders>
                    <w:tl2br w:val="nil"/>
                    <w:tr2bl w:val="nil"/>
                  </w:tcBorders>
                  <w:noWrap w:val="0"/>
                  <w:vAlign w:val="center"/>
                </w:tcPr>
                <w:p w14:paraId="2DEE4850">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auto"/>
                      <w:kern w:val="0"/>
                      <w:sz w:val="21"/>
                      <w:szCs w:val="21"/>
                      <w:highlight w:val="none"/>
                      <w:vertAlign w:val="baseline"/>
                      <w:lang w:val="en-US" w:eastAsia="zh-CN" w:bidi="ar-SA"/>
                    </w:rPr>
                  </w:pPr>
                  <w:r>
                    <w:rPr>
                      <w:rFonts w:hint="eastAsia" w:cs="Times New Roman"/>
                      <w:i w:val="0"/>
                      <w:iCs w:val="0"/>
                      <w:color w:val="auto"/>
                      <w:kern w:val="0"/>
                      <w:sz w:val="21"/>
                      <w:szCs w:val="21"/>
                      <w:u w:val="none"/>
                      <w:lang w:val="en-US" w:eastAsia="zh-CN" w:bidi="ar"/>
                    </w:rPr>
                    <w:t>集气罩</w:t>
                  </w:r>
                  <w:r>
                    <w:rPr>
                      <w:rFonts w:hint="default" w:ascii="Times New Roman" w:hAnsi="Times New Roman" w:eastAsia="宋体" w:cs="Times New Roman"/>
                      <w:i w:val="0"/>
                      <w:iCs w:val="0"/>
                      <w:color w:val="auto"/>
                      <w:kern w:val="0"/>
                      <w:sz w:val="21"/>
                      <w:szCs w:val="21"/>
                      <w:u w:val="none"/>
                      <w:lang w:val="en-US" w:eastAsia="zh-CN" w:bidi="ar"/>
                    </w:rPr>
                    <w:t>0.8m×0.8m</w:t>
                  </w:r>
                </w:p>
              </w:tc>
              <w:tc>
                <w:tcPr>
                  <w:tcW w:w="898" w:type="pct"/>
                  <w:tcBorders>
                    <w:tl2br w:val="nil"/>
                    <w:tr2bl w:val="nil"/>
                  </w:tcBorders>
                  <w:noWrap w:val="0"/>
                  <w:vAlign w:val="center"/>
                </w:tcPr>
                <w:p w14:paraId="45D79DD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Q =3600AV</w:t>
                  </w:r>
                  <w:r>
                    <w:rPr>
                      <w:rFonts w:hint="default" w:ascii="Times New Roman" w:hAnsi="Times New Roman" w:eastAsia="宋体" w:cs="Times New Roman"/>
                      <w:i w:val="0"/>
                      <w:iCs w:val="0"/>
                      <w:color w:val="auto"/>
                      <w:kern w:val="0"/>
                      <w:sz w:val="21"/>
                      <w:szCs w:val="21"/>
                      <w:u w:val="none"/>
                      <w:vertAlign w:val="subscript"/>
                      <w:lang w:val="en-US" w:eastAsia="zh-CN" w:bidi="ar"/>
                    </w:rPr>
                    <w:t>P</w:t>
                  </w:r>
                </w:p>
              </w:tc>
              <w:tc>
                <w:tcPr>
                  <w:tcW w:w="427" w:type="pct"/>
                  <w:tcBorders>
                    <w:tl2br w:val="nil"/>
                    <w:tr2bl w:val="nil"/>
                  </w:tcBorders>
                  <w:noWrap w:val="0"/>
                  <w:vAlign w:val="center"/>
                </w:tcPr>
                <w:p w14:paraId="6DFCE820">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462" w:type="pct"/>
                  <w:tcBorders>
                    <w:tl2br w:val="nil"/>
                    <w:tr2bl w:val="nil"/>
                  </w:tcBorders>
                  <w:noWrap w:val="0"/>
                  <w:vAlign w:val="center"/>
                </w:tcPr>
                <w:p w14:paraId="0825B56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2304</w:t>
                  </w:r>
                  <w:r>
                    <w:rPr>
                      <w:rFonts w:hint="eastAsia" w:cs="Times New Roman"/>
                      <w:i w:val="0"/>
                      <w:iCs w:val="0"/>
                      <w:color w:val="auto"/>
                      <w:kern w:val="0"/>
                      <w:sz w:val="21"/>
                      <w:szCs w:val="21"/>
                      <w:u w:val="none"/>
                      <w:lang w:val="en-US" w:eastAsia="zh-CN" w:bidi="ar"/>
                    </w:rPr>
                    <w:t>.00</w:t>
                  </w:r>
                </w:p>
              </w:tc>
            </w:tr>
            <w:tr w14:paraId="729F11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9" w:hRule="atLeast"/>
                <w:jc w:val="center"/>
              </w:trPr>
              <w:tc>
                <w:tcPr>
                  <w:tcW w:w="509" w:type="pct"/>
                  <w:vMerge w:val="continue"/>
                  <w:tcBorders>
                    <w:tl2br w:val="nil"/>
                    <w:tr2bl w:val="nil"/>
                  </w:tcBorders>
                  <w:noWrap w:val="0"/>
                  <w:vAlign w:val="center"/>
                </w:tcPr>
                <w:p w14:paraId="5163CE5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p>
              </w:tc>
              <w:tc>
                <w:tcPr>
                  <w:tcW w:w="374" w:type="pct"/>
                  <w:tcBorders>
                    <w:tl2br w:val="nil"/>
                    <w:tr2bl w:val="nil"/>
                  </w:tcBorders>
                  <w:noWrap w:val="0"/>
                  <w:vAlign w:val="center"/>
                </w:tcPr>
                <w:p w14:paraId="7B903A0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落料</w:t>
                  </w:r>
                </w:p>
              </w:tc>
              <w:tc>
                <w:tcPr>
                  <w:tcW w:w="1725" w:type="pct"/>
                  <w:tcBorders>
                    <w:tl2br w:val="nil"/>
                    <w:tr2bl w:val="nil"/>
                  </w:tcBorders>
                  <w:noWrap w:val="0"/>
                  <w:vAlign w:val="center"/>
                </w:tcPr>
                <w:p w14:paraId="3D632B8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物料落料处全封闭，落料点上方设置集气引风口</w:t>
                  </w:r>
                </w:p>
              </w:tc>
              <w:tc>
                <w:tcPr>
                  <w:tcW w:w="602" w:type="pct"/>
                  <w:tcBorders>
                    <w:tl2br w:val="nil"/>
                    <w:tr2bl w:val="nil"/>
                  </w:tcBorders>
                  <w:noWrap w:val="0"/>
                  <w:vAlign w:val="center"/>
                </w:tcPr>
                <w:p w14:paraId="1F053E88">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Φ0.2m</w:t>
                  </w:r>
                </w:p>
              </w:tc>
              <w:tc>
                <w:tcPr>
                  <w:tcW w:w="898" w:type="pct"/>
                  <w:tcBorders>
                    <w:tl2br w:val="nil"/>
                    <w:tr2bl w:val="nil"/>
                  </w:tcBorders>
                  <w:noWrap w:val="0"/>
                  <w:vAlign w:val="center"/>
                </w:tcPr>
                <w:p w14:paraId="724C6AE3">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L=3600Fvβ</w:t>
                  </w:r>
                </w:p>
              </w:tc>
              <w:tc>
                <w:tcPr>
                  <w:tcW w:w="427" w:type="pct"/>
                  <w:tcBorders>
                    <w:tl2br w:val="nil"/>
                    <w:tr2bl w:val="nil"/>
                  </w:tcBorders>
                  <w:noWrap w:val="0"/>
                  <w:vAlign w:val="center"/>
                </w:tcPr>
                <w:p w14:paraId="307E6D0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462" w:type="pct"/>
                  <w:tcBorders>
                    <w:tl2br w:val="nil"/>
                    <w:tr2bl w:val="nil"/>
                  </w:tcBorders>
                  <w:noWrap w:val="0"/>
                  <w:vAlign w:val="center"/>
                </w:tcPr>
                <w:p w14:paraId="336F1935">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1780.38</w:t>
                  </w:r>
                </w:p>
              </w:tc>
            </w:tr>
            <w:tr w14:paraId="130407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9" w:hRule="atLeast"/>
                <w:jc w:val="center"/>
              </w:trPr>
              <w:tc>
                <w:tcPr>
                  <w:tcW w:w="509" w:type="pct"/>
                  <w:vMerge w:val="restart"/>
                  <w:tcBorders>
                    <w:tl2br w:val="nil"/>
                    <w:tr2bl w:val="nil"/>
                  </w:tcBorders>
                  <w:noWrap w:val="0"/>
                  <w:vAlign w:val="center"/>
                </w:tcPr>
                <w:p w14:paraId="2A668F4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复式摇筛</w:t>
                  </w:r>
                </w:p>
              </w:tc>
              <w:tc>
                <w:tcPr>
                  <w:tcW w:w="374" w:type="pct"/>
                  <w:tcBorders>
                    <w:tl2br w:val="nil"/>
                    <w:tr2bl w:val="nil"/>
                  </w:tcBorders>
                  <w:noWrap w:val="0"/>
                  <w:vAlign w:val="center"/>
                </w:tcPr>
                <w:p w14:paraId="482B145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上料、筛分</w:t>
                  </w:r>
                </w:p>
              </w:tc>
              <w:tc>
                <w:tcPr>
                  <w:tcW w:w="1725" w:type="pct"/>
                  <w:tcBorders>
                    <w:tl2br w:val="nil"/>
                    <w:tr2bl w:val="nil"/>
                  </w:tcBorders>
                  <w:noWrap w:val="0"/>
                  <w:vAlign w:val="center"/>
                </w:tcPr>
                <w:p w14:paraId="3BCD5D3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本次配套建设全密闭筛分间，物料上料转运、筛分分级等产污工序均置于密闭空间内实施，在筛分间顶部开设集气引风口</w:t>
                  </w:r>
                </w:p>
              </w:tc>
              <w:tc>
                <w:tcPr>
                  <w:tcW w:w="602" w:type="pct"/>
                  <w:tcBorders>
                    <w:tl2br w:val="nil"/>
                    <w:tr2bl w:val="nil"/>
                  </w:tcBorders>
                  <w:noWrap w:val="0"/>
                  <w:vAlign w:val="center"/>
                </w:tcPr>
                <w:p w14:paraId="273F804B">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eastAsia" w:ascii="宋体" w:hAnsi="宋体" w:eastAsia="宋体" w:cs="宋体"/>
                      <w:i w:val="0"/>
                      <w:iCs w:val="0"/>
                      <w:color w:val="auto"/>
                      <w:kern w:val="0"/>
                      <w:sz w:val="21"/>
                      <w:szCs w:val="21"/>
                      <w:u w:val="none"/>
                      <w:lang w:val="en-US" w:eastAsia="zh-CN" w:bidi="ar"/>
                    </w:rPr>
                    <w:t>筛分间规格为</w:t>
                  </w:r>
                  <w:r>
                    <w:rPr>
                      <w:rFonts w:hint="default" w:ascii="Times New Roman" w:hAnsi="Times New Roman" w:eastAsia="宋体" w:cs="Times New Roman"/>
                      <w:i w:val="0"/>
                      <w:iCs w:val="0"/>
                      <w:color w:val="auto"/>
                      <w:kern w:val="0"/>
                      <w:sz w:val="21"/>
                      <w:szCs w:val="21"/>
                      <w:u w:val="none"/>
                      <w:lang w:val="en-US" w:eastAsia="zh-CN" w:bidi="ar"/>
                    </w:rPr>
                    <w:t>8m</w:t>
                  </w:r>
                  <w:r>
                    <w:rPr>
                      <w:rFonts w:hint="eastAsia" w:ascii="宋体" w:hAnsi="宋体" w:eastAsia="宋体" w:cs="宋体"/>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4m</w:t>
                  </w:r>
                  <w:r>
                    <w:rPr>
                      <w:rFonts w:hint="eastAsia" w:ascii="宋体" w:hAnsi="宋体" w:eastAsia="宋体" w:cs="宋体"/>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5m</w:t>
                  </w:r>
                </w:p>
              </w:tc>
              <w:tc>
                <w:tcPr>
                  <w:tcW w:w="898" w:type="pct"/>
                  <w:tcBorders>
                    <w:tl2br w:val="nil"/>
                    <w:tr2bl w:val="nil"/>
                  </w:tcBorders>
                  <w:noWrap w:val="0"/>
                  <w:vAlign w:val="center"/>
                </w:tcPr>
                <w:p w14:paraId="4642F4ED">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Q=V</w:t>
                  </w:r>
                  <w:r>
                    <w:rPr>
                      <w:rFonts w:hint="eastAsia" w:ascii="宋体" w:hAnsi="宋体" w:eastAsia="宋体" w:cs="宋体"/>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n</w:t>
                  </w:r>
                  <w:r>
                    <w:rPr>
                      <w:rFonts w:hint="eastAsia" w:ascii="宋体" w:hAnsi="宋体" w:eastAsia="宋体" w:cs="宋体"/>
                      <w:i w:val="0"/>
                      <w:iCs w:val="0"/>
                      <w:color w:val="auto"/>
                      <w:kern w:val="0"/>
                      <w:sz w:val="21"/>
                      <w:szCs w:val="21"/>
                      <w:u w:val="none"/>
                      <w:lang w:val="en-US" w:eastAsia="zh-CN" w:bidi="ar"/>
                    </w:rPr>
                    <w:t>，换气次数为</w:t>
                  </w:r>
                  <w:r>
                    <w:rPr>
                      <w:rFonts w:hint="default" w:ascii="Times New Roman" w:hAnsi="Times New Roman" w:eastAsia="宋体" w:cs="Times New Roman"/>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次</w:t>
                  </w:r>
                  <w:r>
                    <w:rPr>
                      <w:rFonts w:hint="default" w:ascii="Times New Roman" w:hAnsi="Times New Roman" w:eastAsia="宋体" w:cs="Times New Roman"/>
                      <w:i w:val="0"/>
                      <w:iCs w:val="0"/>
                      <w:color w:val="auto"/>
                      <w:kern w:val="0"/>
                      <w:sz w:val="21"/>
                      <w:szCs w:val="21"/>
                      <w:u w:val="none"/>
                      <w:lang w:val="en-US" w:eastAsia="zh-CN" w:bidi="ar"/>
                    </w:rPr>
                    <w:t>/h</w:t>
                  </w:r>
                </w:p>
              </w:tc>
              <w:tc>
                <w:tcPr>
                  <w:tcW w:w="427" w:type="pct"/>
                  <w:tcBorders>
                    <w:tl2br w:val="nil"/>
                    <w:tr2bl w:val="nil"/>
                  </w:tcBorders>
                  <w:noWrap w:val="0"/>
                  <w:vAlign w:val="center"/>
                </w:tcPr>
                <w:p w14:paraId="55B816D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cs="Times New Roman"/>
                      <w:b w:val="0"/>
                      <w:bCs w:val="0"/>
                      <w:snapToGrid w:val="0"/>
                      <w:color w:val="auto"/>
                      <w:kern w:val="0"/>
                      <w:sz w:val="21"/>
                      <w:szCs w:val="21"/>
                      <w:highlight w:val="none"/>
                      <w:vertAlign w:val="baseline"/>
                      <w:lang w:val="en-US" w:eastAsia="zh-CN" w:bidi="ar-SA"/>
                    </w:rPr>
                  </w:pPr>
                  <w:r>
                    <w:rPr>
                      <w:rFonts w:hint="eastAsia" w:ascii="宋体" w:hAnsi="宋体" w:eastAsia="宋体" w:cs="宋体"/>
                      <w:i w:val="0"/>
                      <w:iCs w:val="0"/>
                      <w:color w:val="auto"/>
                      <w:kern w:val="0"/>
                      <w:sz w:val="21"/>
                      <w:szCs w:val="21"/>
                      <w:u w:val="none"/>
                      <w:lang w:val="en-US" w:eastAsia="zh-CN" w:bidi="ar"/>
                    </w:rPr>
                    <w:t>1</w:t>
                  </w:r>
                </w:p>
              </w:tc>
              <w:tc>
                <w:tcPr>
                  <w:tcW w:w="462" w:type="pct"/>
                  <w:tcBorders>
                    <w:tl2br w:val="nil"/>
                    <w:tr2bl w:val="nil"/>
                  </w:tcBorders>
                  <w:noWrap w:val="0"/>
                  <w:vAlign w:val="center"/>
                </w:tcPr>
                <w:p w14:paraId="54258362">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4800</w:t>
                  </w:r>
                  <w:r>
                    <w:rPr>
                      <w:rFonts w:hint="eastAsia" w:cs="Times New Roman"/>
                      <w:i w:val="0"/>
                      <w:iCs w:val="0"/>
                      <w:color w:val="auto"/>
                      <w:kern w:val="0"/>
                      <w:sz w:val="21"/>
                      <w:szCs w:val="21"/>
                      <w:u w:val="none"/>
                      <w:lang w:val="en-US" w:eastAsia="zh-CN" w:bidi="ar"/>
                    </w:rPr>
                    <w:t>.00</w:t>
                  </w:r>
                </w:p>
              </w:tc>
            </w:tr>
            <w:tr w14:paraId="2B0A854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11" w:hRule="atLeast"/>
                <w:jc w:val="center"/>
              </w:trPr>
              <w:tc>
                <w:tcPr>
                  <w:tcW w:w="509" w:type="pct"/>
                  <w:vMerge w:val="continue"/>
                  <w:tcBorders>
                    <w:tl2br w:val="nil"/>
                    <w:tr2bl w:val="nil"/>
                  </w:tcBorders>
                  <w:noWrap w:val="0"/>
                  <w:vAlign w:val="center"/>
                </w:tcPr>
                <w:p w14:paraId="061BAD0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p>
              </w:tc>
              <w:tc>
                <w:tcPr>
                  <w:tcW w:w="374" w:type="pct"/>
                  <w:tcBorders>
                    <w:tl2br w:val="nil"/>
                    <w:tr2bl w:val="nil"/>
                  </w:tcBorders>
                  <w:noWrap w:val="0"/>
                  <w:vAlign w:val="center"/>
                </w:tcPr>
                <w:p w14:paraId="1C83605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落料</w:t>
                  </w:r>
                </w:p>
              </w:tc>
              <w:tc>
                <w:tcPr>
                  <w:tcW w:w="1725" w:type="pct"/>
                  <w:tcBorders>
                    <w:tl2br w:val="nil"/>
                    <w:tr2bl w:val="nil"/>
                  </w:tcBorders>
                  <w:noWrap w:val="0"/>
                  <w:vAlign w:val="center"/>
                </w:tcPr>
                <w:p w14:paraId="2EC5B22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在落料</w:t>
                  </w:r>
                  <w:r>
                    <w:rPr>
                      <w:rFonts w:hint="eastAsia" w:cs="Times New Roman"/>
                      <w:b w:val="0"/>
                      <w:bCs w:val="0"/>
                      <w:snapToGrid w:val="0"/>
                      <w:color w:val="auto"/>
                      <w:kern w:val="0"/>
                      <w:sz w:val="21"/>
                      <w:szCs w:val="21"/>
                      <w:highlight w:val="none"/>
                      <w:vertAlign w:val="baseline"/>
                      <w:lang w:val="en-US" w:eastAsia="zh-CN" w:bidi="ar-SA"/>
                    </w:rPr>
                    <w:t>点（2处）上方设置集气罩，并设置伞状喷雾抑尘装置（设置电伴热装置），喷雾抑尘装置范围应覆盖整个落料点</w:t>
                  </w:r>
                </w:p>
              </w:tc>
              <w:tc>
                <w:tcPr>
                  <w:tcW w:w="602" w:type="pct"/>
                  <w:tcBorders>
                    <w:tl2br w:val="nil"/>
                    <w:tr2bl w:val="nil"/>
                  </w:tcBorders>
                  <w:noWrap w:val="0"/>
                  <w:vAlign w:val="center"/>
                </w:tcPr>
                <w:p w14:paraId="1197FB78">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auto"/>
                      <w:kern w:val="0"/>
                      <w:sz w:val="21"/>
                      <w:szCs w:val="21"/>
                      <w:highlight w:val="none"/>
                      <w:vertAlign w:val="baseline"/>
                      <w:lang w:val="en-US" w:eastAsia="zh-CN" w:bidi="ar-SA"/>
                    </w:rPr>
                  </w:pPr>
                  <w:r>
                    <w:rPr>
                      <w:rFonts w:hint="eastAsia" w:ascii="宋体" w:hAnsi="宋体" w:eastAsia="宋体" w:cs="宋体"/>
                      <w:i w:val="0"/>
                      <w:iCs w:val="0"/>
                      <w:color w:val="auto"/>
                      <w:kern w:val="0"/>
                      <w:sz w:val="21"/>
                      <w:szCs w:val="21"/>
                      <w:u w:val="none"/>
                      <w:lang w:val="en-US" w:eastAsia="zh-CN" w:bidi="ar"/>
                    </w:rPr>
                    <w:t>集气罩</w:t>
                  </w:r>
                  <w:r>
                    <w:rPr>
                      <w:rFonts w:hint="default"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m×1.</w:t>
                  </w:r>
                  <w:r>
                    <w:rPr>
                      <w:rFonts w:hint="eastAsia"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m</w:t>
                  </w:r>
                </w:p>
              </w:tc>
              <w:tc>
                <w:tcPr>
                  <w:tcW w:w="898" w:type="pct"/>
                  <w:tcBorders>
                    <w:tl2br w:val="nil"/>
                    <w:tr2bl w:val="nil"/>
                  </w:tcBorders>
                  <w:shd w:val="clear" w:color="auto" w:fill="auto"/>
                  <w:noWrap w:val="0"/>
                  <w:vAlign w:val="center"/>
                </w:tcPr>
                <w:p w14:paraId="2F196C55">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Q =3600AV</w:t>
                  </w:r>
                  <w:r>
                    <w:rPr>
                      <w:rFonts w:hint="default" w:ascii="Times New Roman" w:hAnsi="Times New Roman" w:eastAsia="宋体" w:cs="Times New Roman"/>
                      <w:i w:val="0"/>
                      <w:iCs w:val="0"/>
                      <w:color w:val="auto"/>
                      <w:kern w:val="0"/>
                      <w:sz w:val="21"/>
                      <w:szCs w:val="21"/>
                      <w:u w:val="none"/>
                      <w:vertAlign w:val="subscript"/>
                      <w:lang w:val="en-US" w:eastAsia="zh-CN" w:bidi="ar"/>
                    </w:rPr>
                    <w:t>P</w:t>
                  </w:r>
                </w:p>
              </w:tc>
              <w:tc>
                <w:tcPr>
                  <w:tcW w:w="427" w:type="pct"/>
                  <w:tcBorders>
                    <w:tl2br w:val="nil"/>
                    <w:tr2bl w:val="nil"/>
                  </w:tcBorders>
                  <w:shd w:val="clear" w:color="auto" w:fill="auto"/>
                  <w:noWrap w:val="0"/>
                  <w:vAlign w:val="center"/>
                </w:tcPr>
                <w:p w14:paraId="6C11AD8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1146" w:type="dxa"/>
                  <w:tcBorders>
                    <w:tl2br w:val="nil"/>
                    <w:tr2bl w:val="nil"/>
                  </w:tcBorders>
                  <w:shd w:val="clear" w:color="auto" w:fill="auto"/>
                  <w:noWrap w:val="0"/>
                  <w:vAlign w:val="center"/>
                </w:tcPr>
                <w:p w14:paraId="67A8101B">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7200</w:t>
                  </w:r>
                  <w:r>
                    <w:rPr>
                      <w:rFonts w:hint="eastAsia" w:cs="Times New Roman"/>
                      <w:i w:val="0"/>
                      <w:iCs w:val="0"/>
                      <w:color w:val="auto"/>
                      <w:kern w:val="0"/>
                      <w:sz w:val="21"/>
                      <w:szCs w:val="21"/>
                      <w:u w:val="none"/>
                      <w:lang w:val="en-US" w:eastAsia="zh-CN" w:bidi="ar"/>
                    </w:rPr>
                    <w:t>.00</w:t>
                  </w:r>
                </w:p>
              </w:tc>
            </w:tr>
            <w:tr w14:paraId="6C82D3C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24" w:hRule="atLeast"/>
                <w:jc w:val="center"/>
              </w:trPr>
              <w:tc>
                <w:tcPr>
                  <w:tcW w:w="509" w:type="pct"/>
                  <w:tcBorders>
                    <w:tl2br w:val="nil"/>
                    <w:tr2bl w:val="nil"/>
                  </w:tcBorders>
                  <w:noWrap w:val="0"/>
                  <w:vAlign w:val="center"/>
                </w:tcPr>
                <w:p w14:paraId="3E55C63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w:t>
                  </w:r>
                </w:p>
              </w:tc>
              <w:tc>
                <w:tcPr>
                  <w:tcW w:w="374" w:type="pct"/>
                  <w:tcBorders>
                    <w:tl2br w:val="nil"/>
                    <w:tr2bl w:val="nil"/>
                  </w:tcBorders>
                  <w:noWrap w:val="0"/>
                  <w:vAlign w:val="center"/>
                </w:tcPr>
                <w:p w14:paraId="2DBA1DE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合计</w:t>
                  </w:r>
                </w:p>
              </w:tc>
              <w:tc>
                <w:tcPr>
                  <w:tcW w:w="1725" w:type="pct"/>
                  <w:tcBorders>
                    <w:tl2br w:val="nil"/>
                    <w:tr2bl w:val="nil"/>
                  </w:tcBorders>
                  <w:noWrap w:val="0"/>
                  <w:vAlign w:val="center"/>
                </w:tcPr>
                <w:p w14:paraId="6977C4C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auto"/>
                      <w:kern w:val="0"/>
                      <w:sz w:val="21"/>
                      <w:szCs w:val="21"/>
                      <w:highlight w:val="none"/>
                      <w:vertAlign w:val="baseline"/>
                      <w:lang w:val="en-US" w:eastAsia="zh-CN" w:bidi="ar-SA"/>
                    </w:rPr>
                  </w:pPr>
                  <w:r>
                    <w:rPr>
                      <w:rFonts w:hint="default" w:cs="Times New Roman"/>
                      <w:b w:val="0"/>
                      <w:bCs w:val="0"/>
                      <w:snapToGrid w:val="0"/>
                      <w:color w:val="auto"/>
                      <w:kern w:val="0"/>
                      <w:sz w:val="21"/>
                      <w:szCs w:val="21"/>
                      <w:highlight w:val="none"/>
                      <w:vertAlign w:val="baseline"/>
                      <w:lang w:val="en-US" w:eastAsia="zh-CN" w:bidi="ar-SA"/>
                    </w:rPr>
                    <w:t>/</w:t>
                  </w:r>
                </w:p>
              </w:tc>
              <w:tc>
                <w:tcPr>
                  <w:tcW w:w="602" w:type="pct"/>
                  <w:tcBorders>
                    <w:tl2br w:val="nil"/>
                    <w:tr2bl w:val="nil"/>
                  </w:tcBorders>
                  <w:noWrap w:val="0"/>
                  <w:vAlign w:val="center"/>
                </w:tcPr>
                <w:p w14:paraId="1E1EB635">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898" w:type="pct"/>
                  <w:tcBorders>
                    <w:tl2br w:val="nil"/>
                    <w:tr2bl w:val="nil"/>
                  </w:tcBorders>
                  <w:noWrap w:val="0"/>
                  <w:vAlign w:val="center"/>
                </w:tcPr>
                <w:p w14:paraId="272442F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auto"/>
                      <w:kern w:val="0"/>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427" w:type="pct"/>
                  <w:tcBorders>
                    <w:tl2br w:val="nil"/>
                    <w:tr2bl w:val="nil"/>
                  </w:tcBorders>
                  <w:noWrap w:val="0"/>
                  <w:vAlign w:val="center"/>
                </w:tcPr>
                <w:p w14:paraId="33D87DE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146" w:type="dxa"/>
                  <w:tcBorders>
                    <w:tl2br w:val="nil"/>
                    <w:tr2bl w:val="nil"/>
                  </w:tcBorders>
                  <w:noWrap w:val="0"/>
                  <w:vAlign w:val="center"/>
                </w:tcPr>
                <w:p w14:paraId="61FBB82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31741.14</w:t>
                  </w:r>
                </w:p>
              </w:tc>
            </w:tr>
          </w:tbl>
          <w:p w14:paraId="4609BAE3">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auto"/>
                <w:kern w:val="0"/>
                <w:sz w:val="24"/>
                <w:szCs w:val="24"/>
                <w:highlight w:val="none"/>
                <w:lang w:val="en-US" w:eastAsia="zh-CN"/>
              </w:rPr>
            </w:pPr>
            <w:r>
              <w:rPr>
                <w:rFonts w:hint="eastAsia" w:cs="Times New Roman"/>
                <w:b w:val="0"/>
                <w:bCs w:val="0"/>
                <w:snapToGrid w:val="0"/>
                <w:color w:val="auto"/>
                <w:kern w:val="0"/>
                <w:sz w:val="24"/>
                <w:szCs w:val="24"/>
                <w:highlight w:val="none"/>
                <w:lang w:val="en-US" w:eastAsia="zh-CN"/>
              </w:rPr>
              <w:t>经上表分析，除尘器风机风量核算为31741.14</w:t>
            </w:r>
            <w:r>
              <w:rPr>
                <w:rFonts w:hint="default" w:cs="Times New Roman"/>
                <w:b w:val="0"/>
                <w:bCs w:val="0"/>
                <w:snapToGrid w:val="0"/>
                <w:color w:val="auto"/>
                <w:kern w:val="0"/>
                <w:sz w:val="24"/>
                <w:szCs w:val="24"/>
                <w:highlight w:val="none"/>
                <w:lang w:val="en-US" w:eastAsia="zh-CN"/>
              </w:rPr>
              <w:t>m</w:t>
            </w:r>
            <w:r>
              <w:rPr>
                <w:rFonts w:hint="default" w:cs="Times New Roman"/>
                <w:b w:val="0"/>
                <w:bCs w:val="0"/>
                <w:snapToGrid w:val="0"/>
                <w:color w:val="auto"/>
                <w:kern w:val="0"/>
                <w:sz w:val="24"/>
                <w:szCs w:val="24"/>
                <w:highlight w:val="none"/>
                <w:vertAlign w:val="superscript"/>
                <w:lang w:val="en-US" w:eastAsia="zh-CN"/>
              </w:rPr>
              <w:t>3</w:t>
            </w:r>
            <w:r>
              <w:rPr>
                <w:rFonts w:hint="default" w:cs="Times New Roman"/>
                <w:b w:val="0"/>
                <w:bCs w:val="0"/>
                <w:snapToGrid w:val="0"/>
                <w:color w:val="auto"/>
                <w:kern w:val="0"/>
                <w:sz w:val="24"/>
                <w:szCs w:val="24"/>
                <w:highlight w:val="none"/>
                <w:lang w:val="en-US" w:eastAsia="zh-CN"/>
              </w:rPr>
              <w:t>/h</w:t>
            </w:r>
            <w:r>
              <w:rPr>
                <w:rFonts w:hint="eastAsia" w:cs="Times New Roman"/>
                <w:b w:val="0"/>
                <w:bCs w:val="0"/>
                <w:snapToGrid w:val="0"/>
                <w:color w:val="auto"/>
                <w:kern w:val="0"/>
                <w:sz w:val="24"/>
                <w:szCs w:val="24"/>
                <w:highlight w:val="none"/>
                <w:lang w:val="en-US" w:eastAsia="zh-CN"/>
              </w:rPr>
              <w:t>，同时考虑引风损耗，损耗系数约10%~20%，则风量设计为38000</w:t>
            </w:r>
            <w:r>
              <w:rPr>
                <w:rFonts w:hint="default" w:cs="Times New Roman"/>
                <w:b w:val="0"/>
                <w:bCs w:val="0"/>
                <w:snapToGrid w:val="0"/>
                <w:color w:val="auto"/>
                <w:kern w:val="0"/>
                <w:sz w:val="24"/>
                <w:szCs w:val="24"/>
                <w:highlight w:val="none"/>
                <w:lang w:val="en-US" w:eastAsia="zh-CN"/>
              </w:rPr>
              <w:t>m</w:t>
            </w:r>
            <w:r>
              <w:rPr>
                <w:rFonts w:hint="default" w:cs="Times New Roman"/>
                <w:b w:val="0"/>
                <w:bCs w:val="0"/>
                <w:snapToGrid w:val="0"/>
                <w:color w:val="auto"/>
                <w:kern w:val="0"/>
                <w:sz w:val="24"/>
                <w:szCs w:val="24"/>
                <w:highlight w:val="none"/>
                <w:vertAlign w:val="superscript"/>
                <w:lang w:val="en-US" w:eastAsia="zh-CN"/>
              </w:rPr>
              <w:t>3</w:t>
            </w:r>
            <w:r>
              <w:rPr>
                <w:rFonts w:hint="default" w:cs="Times New Roman"/>
                <w:b w:val="0"/>
                <w:bCs w:val="0"/>
                <w:snapToGrid w:val="0"/>
                <w:color w:val="auto"/>
                <w:kern w:val="0"/>
                <w:sz w:val="24"/>
                <w:szCs w:val="24"/>
                <w:highlight w:val="none"/>
                <w:lang w:val="en-US" w:eastAsia="zh-CN"/>
              </w:rPr>
              <w:t>/h</w:t>
            </w:r>
            <w:r>
              <w:rPr>
                <w:rFonts w:hint="eastAsia" w:cs="Times New Roman"/>
                <w:b w:val="0"/>
                <w:bCs w:val="0"/>
                <w:snapToGrid w:val="0"/>
                <w:color w:val="auto"/>
                <w:kern w:val="0"/>
                <w:sz w:val="24"/>
                <w:szCs w:val="24"/>
                <w:highlight w:val="none"/>
                <w:lang w:val="en-US" w:eastAsia="zh-CN"/>
              </w:rPr>
              <w:t>，能够满足所需风量需求。</w:t>
            </w:r>
          </w:p>
          <w:p w14:paraId="4C73874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jc w:val="both"/>
              <w:textAlignment w:val="auto"/>
              <w:rPr>
                <w:rFonts w:hint="default" w:cs="Times New Roman"/>
                <w:b w:val="0"/>
                <w:bCs w:val="0"/>
                <w:snapToGrid w:val="0"/>
                <w:color w:val="auto"/>
                <w:kern w:val="0"/>
                <w:sz w:val="24"/>
                <w:szCs w:val="24"/>
                <w:highlight w:val="none"/>
                <w:lang w:val="en-US" w:eastAsia="zh-CN"/>
              </w:rPr>
            </w:pPr>
          </w:p>
        </w:tc>
      </w:tr>
    </w:tbl>
    <w:p w14:paraId="0386B16A">
      <w:pPr>
        <w:shd w:val="clear"/>
        <w:ind w:left="0" w:leftChars="0" w:firstLine="0" w:firstLineChars="0"/>
        <w:rPr>
          <w:color w:val="auto"/>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34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746"/>
        <w:gridCol w:w="8601"/>
      </w:tblGrid>
      <w:tr w14:paraId="13A17DE3">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13585" w:hRule="atLeast"/>
          <w:jc w:val="center"/>
        </w:trPr>
        <w:tc>
          <w:tcPr>
            <w:tcW w:w="746" w:type="dxa"/>
            <w:tcBorders>
              <w:tl2br w:val="nil"/>
              <w:tr2bl w:val="nil"/>
            </w:tcBorders>
            <w:shd w:val="clear" w:color="auto" w:fill="FFFFFF"/>
            <w:noWrap w:val="0"/>
            <w:tcMar>
              <w:left w:w="28" w:type="dxa"/>
              <w:right w:w="28" w:type="dxa"/>
            </w:tcMar>
            <w:vAlign w:val="center"/>
          </w:tcPr>
          <w:p w14:paraId="5033E0C9">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highlight w:val="none"/>
              </w:rPr>
            </w:pPr>
          </w:p>
        </w:tc>
        <w:tc>
          <w:tcPr>
            <w:tcW w:w="8601" w:type="dxa"/>
            <w:tcBorders>
              <w:tl2br w:val="nil"/>
              <w:tr2bl w:val="nil"/>
            </w:tcBorders>
            <w:shd w:val="clear" w:color="auto" w:fill="FFFFFF"/>
            <w:noWrap w:val="0"/>
            <w:vAlign w:val="top"/>
          </w:tcPr>
          <w:p w14:paraId="274358B3">
            <w:pPr>
              <w:keepNext w:val="0"/>
              <w:keepLines w:val="0"/>
              <w:pageBreakBefore w:val="0"/>
              <w:widowControl/>
              <w:suppressLineNumbers w:val="0"/>
              <w:shd w:val="clear"/>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宋体" w:cs="Times New Roman"/>
                <w:b/>
                <w:bCs/>
                <w:smallCaps w:val="0"/>
                <w:color w:val="auto"/>
                <w:spacing w:val="0"/>
                <w:kern w:val="0"/>
                <w:position w:val="0"/>
                <w:sz w:val="24"/>
                <w:szCs w:val="24"/>
                <w:highlight w:val="none"/>
                <w:lang w:val="en-US" w:eastAsia="zh-CN" w:bidi="ar"/>
              </w:rPr>
            </w:pPr>
            <w:r>
              <w:rPr>
                <w:rFonts w:hint="default" w:ascii="Times New Roman" w:hAnsi="Times New Roman" w:eastAsia="宋体" w:cs="Times New Roman"/>
                <w:b/>
                <w:bCs/>
                <w:smallCaps w:val="0"/>
                <w:color w:val="auto"/>
                <w:spacing w:val="0"/>
                <w:kern w:val="0"/>
                <w:position w:val="0"/>
                <w:sz w:val="24"/>
                <w:szCs w:val="24"/>
                <w:highlight w:val="none"/>
                <w:lang w:val="en-US" w:eastAsia="zh-CN" w:bidi="ar"/>
              </w:rPr>
              <w:t>1.</w:t>
            </w:r>
            <w:r>
              <w:rPr>
                <w:rFonts w:hint="eastAsia" w:cs="Times New Roman"/>
                <w:b/>
                <w:bCs/>
                <w:smallCaps w:val="0"/>
                <w:color w:val="auto"/>
                <w:spacing w:val="0"/>
                <w:kern w:val="0"/>
                <w:position w:val="0"/>
                <w:sz w:val="24"/>
                <w:szCs w:val="24"/>
                <w:highlight w:val="none"/>
                <w:lang w:val="en-US" w:eastAsia="zh-CN" w:bidi="ar"/>
              </w:rPr>
              <w:t>5</w:t>
            </w:r>
            <w:r>
              <w:rPr>
                <w:rFonts w:hint="default" w:ascii="Times New Roman" w:hAnsi="Times New Roman" w:eastAsia="宋体" w:cs="Times New Roman"/>
                <w:b/>
                <w:bCs/>
                <w:smallCaps w:val="0"/>
                <w:color w:val="auto"/>
                <w:spacing w:val="0"/>
                <w:kern w:val="0"/>
                <w:position w:val="0"/>
                <w:sz w:val="24"/>
                <w:szCs w:val="24"/>
                <w:highlight w:val="none"/>
                <w:lang w:val="en-US" w:eastAsia="zh-CN" w:bidi="ar"/>
              </w:rPr>
              <w:t>排放量核算</w:t>
            </w:r>
          </w:p>
          <w:p w14:paraId="76E90AD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w:t>
            </w:r>
            <w:r>
              <w:rPr>
                <w:rFonts w:hint="default" w:ascii="Times New Roman" w:hAnsi="Times New Roman" w:eastAsia="宋体" w:cs="Times New Roman"/>
                <w:b/>
                <w:bCs/>
                <w:color w:val="auto"/>
                <w:spacing w:val="0"/>
                <w:sz w:val="21"/>
                <w:szCs w:val="21"/>
                <w:highlight w:val="none"/>
                <w:lang w:val="en-US" w:eastAsia="zh-CN"/>
              </w:rPr>
              <w:t>大气污染物年排放量核算表</w:t>
            </w:r>
          </w:p>
          <w:tbl>
            <w:tblPr>
              <w:tblStyle w:val="32"/>
              <w:tblW w:w="7838"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822"/>
              <w:gridCol w:w="1417"/>
              <w:gridCol w:w="1977"/>
              <w:gridCol w:w="1977"/>
              <w:gridCol w:w="1645"/>
            </w:tblGrid>
            <w:tr w14:paraId="312FC3AA">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503" w:hRule="atLeast"/>
                <w:jc w:val="center"/>
              </w:trPr>
              <w:tc>
                <w:tcPr>
                  <w:tcW w:w="822" w:type="dxa"/>
                  <w:tcBorders>
                    <w:tl2br w:val="nil"/>
                    <w:tr2bl w:val="nil"/>
                  </w:tcBorders>
                  <w:shd w:val="clear" w:color="auto" w:fill="auto"/>
                  <w:noWrap/>
                  <w:vAlign w:val="center"/>
                </w:tcPr>
                <w:p w14:paraId="72A64CD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序号</w:t>
                  </w:r>
                </w:p>
              </w:tc>
              <w:tc>
                <w:tcPr>
                  <w:tcW w:w="1417" w:type="dxa"/>
                  <w:tcBorders>
                    <w:tl2br w:val="nil"/>
                    <w:tr2bl w:val="nil"/>
                  </w:tcBorders>
                  <w:shd w:val="clear" w:color="auto" w:fill="auto"/>
                  <w:noWrap/>
                  <w:vAlign w:val="center"/>
                </w:tcPr>
                <w:p w14:paraId="3831BA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污染物</w:t>
                  </w:r>
                </w:p>
              </w:tc>
              <w:tc>
                <w:tcPr>
                  <w:tcW w:w="1977" w:type="dxa"/>
                  <w:tcBorders>
                    <w:tl2br w:val="nil"/>
                    <w:tr2bl w:val="nil"/>
                  </w:tcBorders>
                  <w:shd w:val="clear" w:color="auto" w:fill="auto"/>
                  <w:noWrap/>
                  <w:vAlign w:val="center"/>
                </w:tcPr>
                <w:p w14:paraId="312390D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有</w:t>
                  </w:r>
                  <w:r>
                    <w:rPr>
                      <w:rFonts w:hint="default" w:ascii="Times New Roman" w:hAnsi="Times New Roman" w:eastAsia="宋体" w:cs="Times New Roman"/>
                      <w:i w:val="0"/>
                      <w:iCs w:val="0"/>
                      <w:color w:val="auto"/>
                      <w:kern w:val="0"/>
                      <w:sz w:val="21"/>
                      <w:szCs w:val="21"/>
                      <w:highlight w:val="none"/>
                      <w:u w:val="none"/>
                      <w:lang w:val="en-US" w:eastAsia="zh-CN" w:bidi="ar"/>
                    </w:rPr>
                    <w:t>组织排放量（t/a）</w:t>
                  </w:r>
                </w:p>
              </w:tc>
              <w:tc>
                <w:tcPr>
                  <w:tcW w:w="1977" w:type="dxa"/>
                  <w:tcBorders>
                    <w:tl2br w:val="nil"/>
                    <w:tr2bl w:val="nil"/>
                  </w:tcBorders>
                  <w:shd w:val="clear" w:color="auto" w:fill="auto"/>
                  <w:noWrap/>
                  <w:vAlign w:val="center"/>
                </w:tcPr>
                <w:p w14:paraId="3B7B0A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无</w:t>
                  </w:r>
                  <w:r>
                    <w:rPr>
                      <w:rFonts w:hint="default" w:ascii="Times New Roman" w:hAnsi="Times New Roman" w:eastAsia="宋体" w:cs="Times New Roman"/>
                      <w:i w:val="0"/>
                      <w:iCs w:val="0"/>
                      <w:color w:val="auto"/>
                      <w:kern w:val="0"/>
                      <w:sz w:val="21"/>
                      <w:szCs w:val="21"/>
                      <w:highlight w:val="none"/>
                      <w:u w:val="none"/>
                      <w:lang w:val="en-US" w:eastAsia="zh-CN" w:bidi="ar"/>
                    </w:rPr>
                    <w:t>组织排放量（t/a）</w:t>
                  </w:r>
                </w:p>
              </w:tc>
              <w:tc>
                <w:tcPr>
                  <w:tcW w:w="1645" w:type="dxa"/>
                  <w:tcBorders>
                    <w:tl2br w:val="nil"/>
                    <w:tr2bl w:val="nil"/>
                  </w:tcBorders>
                  <w:shd w:val="clear" w:color="auto" w:fill="auto"/>
                  <w:noWrap/>
                  <w:vAlign w:val="center"/>
                </w:tcPr>
                <w:p w14:paraId="5A9AC5F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年排放量（t/a）</w:t>
                  </w:r>
                </w:p>
              </w:tc>
            </w:tr>
            <w:tr w14:paraId="11B27BC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512" w:hRule="atLeast"/>
                <w:jc w:val="center"/>
              </w:trPr>
              <w:tc>
                <w:tcPr>
                  <w:tcW w:w="822" w:type="dxa"/>
                  <w:tcBorders>
                    <w:tl2br w:val="nil"/>
                    <w:tr2bl w:val="nil"/>
                  </w:tcBorders>
                  <w:shd w:val="clear" w:color="auto" w:fill="auto"/>
                  <w:noWrap/>
                  <w:vAlign w:val="center"/>
                </w:tcPr>
                <w:p w14:paraId="1F1426B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17" w:type="dxa"/>
                  <w:tcBorders>
                    <w:tl2br w:val="nil"/>
                    <w:tr2bl w:val="nil"/>
                  </w:tcBorders>
                  <w:shd w:val="clear" w:color="auto" w:fill="auto"/>
                  <w:noWrap/>
                  <w:vAlign w:val="center"/>
                </w:tcPr>
                <w:p w14:paraId="068225D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1977" w:type="dxa"/>
                  <w:tcBorders>
                    <w:tl2br w:val="nil"/>
                    <w:tr2bl w:val="nil"/>
                  </w:tcBorders>
                  <w:shd w:val="clear" w:color="auto" w:fill="auto"/>
                  <w:noWrap/>
                  <w:vAlign w:val="center"/>
                </w:tcPr>
                <w:p w14:paraId="0DA17B5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0.539</w:t>
                  </w:r>
                </w:p>
              </w:tc>
              <w:tc>
                <w:tcPr>
                  <w:tcW w:w="1977" w:type="dxa"/>
                  <w:tcBorders>
                    <w:tl2br w:val="nil"/>
                    <w:tr2bl w:val="nil"/>
                  </w:tcBorders>
                  <w:shd w:val="clear" w:color="auto" w:fill="auto"/>
                  <w:noWrap/>
                  <w:vAlign w:val="center"/>
                </w:tcPr>
                <w:p w14:paraId="03EE2B0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0.629</w:t>
                  </w:r>
                </w:p>
              </w:tc>
              <w:tc>
                <w:tcPr>
                  <w:tcW w:w="1645" w:type="dxa"/>
                  <w:tcBorders>
                    <w:tl2br w:val="nil"/>
                    <w:tr2bl w:val="nil"/>
                  </w:tcBorders>
                  <w:shd w:val="clear" w:color="auto" w:fill="auto"/>
                  <w:noWrap/>
                  <w:vAlign w:val="center"/>
                </w:tcPr>
                <w:p w14:paraId="4F8C02C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1.168</w:t>
                  </w:r>
                </w:p>
              </w:tc>
            </w:tr>
          </w:tbl>
          <w:p w14:paraId="323FC0AF">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本项目建成后全厂大气污染物变化量（单位：t/a）</w:t>
            </w:r>
          </w:p>
          <w:tbl>
            <w:tblPr>
              <w:tblStyle w:val="32"/>
              <w:tblW w:w="7795"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658"/>
              <w:gridCol w:w="1038"/>
              <w:gridCol w:w="993"/>
              <w:gridCol w:w="918"/>
              <w:gridCol w:w="1292"/>
              <w:gridCol w:w="1292"/>
              <w:gridCol w:w="1604"/>
            </w:tblGrid>
            <w:tr w14:paraId="5F9E8A99">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559" w:hRule="atLeast"/>
                <w:jc w:val="center"/>
              </w:trPr>
              <w:tc>
                <w:tcPr>
                  <w:tcW w:w="658" w:type="dxa"/>
                  <w:tcBorders>
                    <w:tl2br w:val="nil"/>
                    <w:tr2bl w:val="nil"/>
                  </w:tcBorders>
                  <w:noWrap/>
                  <w:vAlign w:val="center"/>
                </w:tcPr>
                <w:p w14:paraId="43D241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序号</w:t>
                  </w:r>
                </w:p>
              </w:tc>
              <w:tc>
                <w:tcPr>
                  <w:tcW w:w="1038" w:type="dxa"/>
                  <w:tcBorders>
                    <w:tl2br w:val="nil"/>
                    <w:tr2bl w:val="nil"/>
                  </w:tcBorders>
                  <w:noWrap/>
                  <w:vAlign w:val="center"/>
                </w:tcPr>
                <w:p w14:paraId="212A88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污染物</w:t>
                  </w:r>
                </w:p>
              </w:tc>
              <w:tc>
                <w:tcPr>
                  <w:tcW w:w="993" w:type="dxa"/>
                  <w:tcBorders>
                    <w:tl2br w:val="nil"/>
                    <w:tr2bl w:val="nil"/>
                  </w:tcBorders>
                  <w:noWrap w:val="0"/>
                  <w:vAlign w:val="center"/>
                </w:tcPr>
                <w:p w14:paraId="0F311B3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现有工程</w:t>
                  </w: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918" w:type="dxa"/>
                  <w:tcBorders>
                    <w:tl2br w:val="nil"/>
                    <w:tr2bl w:val="nil"/>
                  </w:tcBorders>
                  <w:noWrap w:val="0"/>
                  <w:vAlign w:val="center"/>
                </w:tcPr>
                <w:p w14:paraId="7A405A1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本项目</w:t>
                  </w: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292" w:type="dxa"/>
                  <w:tcBorders>
                    <w:tl2br w:val="nil"/>
                    <w:tr2bl w:val="nil"/>
                  </w:tcBorders>
                  <w:noWrap w:val="0"/>
                  <w:vAlign w:val="center"/>
                </w:tcPr>
                <w:p w14:paraId="596FCB9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以新带老削减量</w:t>
                  </w: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292" w:type="dxa"/>
                  <w:tcBorders>
                    <w:tl2br w:val="nil"/>
                    <w:tr2bl w:val="nil"/>
                  </w:tcBorders>
                  <w:noWrap w:val="0"/>
                  <w:vAlign w:val="center"/>
                </w:tcPr>
                <w:p w14:paraId="2A2560A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技改后全厂</w:t>
                  </w: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604" w:type="dxa"/>
                  <w:tcBorders>
                    <w:tl2br w:val="nil"/>
                    <w:tr2bl w:val="nil"/>
                  </w:tcBorders>
                  <w:noWrap w:val="0"/>
                  <w:vAlign w:val="center"/>
                </w:tcPr>
                <w:p w14:paraId="38838F5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技改前后增减量</w:t>
                  </w:r>
                  <w:r>
                    <w:rPr>
                      <w:rFonts w:hint="default" w:ascii="Times New Roman" w:hAnsi="Times New Roman" w:eastAsia="宋体" w:cs="Times New Roman"/>
                      <w:i w:val="0"/>
                      <w:iCs w:val="0"/>
                      <w:color w:val="auto"/>
                      <w:kern w:val="0"/>
                      <w:sz w:val="21"/>
                      <w:szCs w:val="21"/>
                      <w:highlight w:val="none"/>
                      <w:u w:val="none"/>
                      <w:lang w:val="en-US" w:eastAsia="zh-CN" w:bidi="ar"/>
                    </w:rPr>
                    <w:t>（t/a）</w:t>
                  </w:r>
                </w:p>
              </w:tc>
            </w:tr>
            <w:tr w14:paraId="4DF7C76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95" w:hRule="atLeast"/>
                <w:jc w:val="center"/>
              </w:trPr>
              <w:tc>
                <w:tcPr>
                  <w:tcW w:w="658" w:type="dxa"/>
                  <w:tcBorders>
                    <w:tl2br w:val="nil"/>
                    <w:tr2bl w:val="nil"/>
                  </w:tcBorders>
                  <w:noWrap/>
                  <w:vAlign w:val="center"/>
                </w:tcPr>
                <w:p w14:paraId="0F50FE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1038" w:type="dxa"/>
                  <w:tcBorders>
                    <w:tl2br w:val="nil"/>
                    <w:tr2bl w:val="nil"/>
                  </w:tcBorders>
                  <w:noWrap/>
                  <w:vAlign w:val="center"/>
                </w:tcPr>
                <w:p w14:paraId="5EE2D3D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993" w:type="dxa"/>
                  <w:tcBorders>
                    <w:tl2br w:val="nil"/>
                    <w:tr2bl w:val="nil"/>
                  </w:tcBorders>
                  <w:noWrap/>
                  <w:vAlign w:val="center"/>
                </w:tcPr>
                <w:p w14:paraId="4F2B05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0.560</w:t>
                  </w:r>
                </w:p>
              </w:tc>
              <w:tc>
                <w:tcPr>
                  <w:tcW w:w="918" w:type="dxa"/>
                  <w:tcBorders>
                    <w:tl2br w:val="nil"/>
                    <w:tr2bl w:val="nil"/>
                  </w:tcBorders>
                  <w:noWrap/>
                  <w:vAlign w:val="center"/>
                </w:tcPr>
                <w:p w14:paraId="61943BD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1.168</w:t>
                  </w:r>
                </w:p>
              </w:tc>
              <w:tc>
                <w:tcPr>
                  <w:tcW w:w="1292" w:type="dxa"/>
                  <w:tcBorders>
                    <w:tl2br w:val="nil"/>
                    <w:tr2bl w:val="nil"/>
                  </w:tcBorders>
                  <w:noWrap/>
                  <w:vAlign w:val="center"/>
                </w:tcPr>
                <w:p w14:paraId="0A005DF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w:t>
                  </w:r>
                </w:p>
              </w:tc>
              <w:tc>
                <w:tcPr>
                  <w:tcW w:w="1292" w:type="dxa"/>
                  <w:tcBorders>
                    <w:tl2br w:val="nil"/>
                    <w:tr2bl w:val="nil"/>
                  </w:tcBorders>
                  <w:noWrap/>
                  <w:vAlign w:val="center"/>
                </w:tcPr>
                <w:p w14:paraId="62B1A15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1.728</w:t>
                  </w:r>
                </w:p>
              </w:tc>
              <w:tc>
                <w:tcPr>
                  <w:tcW w:w="1604" w:type="dxa"/>
                  <w:tcBorders>
                    <w:tl2br w:val="nil"/>
                    <w:tr2bl w:val="nil"/>
                  </w:tcBorders>
                  <w:noWrap/>
                  <w:vAlign w:val="center"/>
                </w:tcPr>
                <w:p w14:paraId="6B886A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+1.168</w:t>
                  </w:r>
                </w:p>
              </w:tc>
            </w:tr>
          </w:tbl>
          <w:p w14:paraId="064DE032">
            <w:pPr>
              <w:keepNext w:val="0"/>
              <w:keepLines w:val="0"/>
              <w:pageBreakBefore w:val="0"/>
              <w:widowControl/>
              <w:suppressLineNumbers w:val="0"/>
              <w:shd w:val="clear"/>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val="0"/>
                <w:i w:val="0"/>
                <w:snapToGrid w:val="0"/>
                <w:color w:val="auto"/>
                <w:kern w:val="0"/>
                <w:sz w:val="24"/>
                <w:szCs w:val="24"/>
                <w:highlight w:val="none"/>
                <w:lang w:val="en-US" w:eastAsia="zh-CN" w:bidi="ar"/>
              </w:rPr>
            </w:pPr>
            <w:r>
              <w:rPr>
                <w:rFonts w:hint="eastAsia" w:cs="Times New Roman"/>
                <w:b/>
                <w:bCs w:val="0"/>
                <w:i w:val="0"/>
                <w:snapToGrid w:val="0"/>
                <w:color w:val="auto"/>
                <w:kern w:val="0"/>
                <w:sz w:val="24"/>
                <w:szCs w:val="24"/>
                <w:highlight w:val="none"/>
                <w:lang w:val="en-US" w:eastAsia="zh-CN" w:bidi="ar"/>
              </w:rPr>
              <w:t>1.6监测计划</w:t>
            </w:r>
          </w:p>
          <w:p w14:paraId="39801C8D">
            <w:pPr>
              <w:keepNext w:val="0"/>
              <w:keepLines w:val="0"/>
              <w:pageBreakBefore w:val="0"/>
              <w:widowControl/>
              <w:suppressLineNumbers w:val="0"/>
              <w:shd w:val="clea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i w:val="0"/>
                <w:snapToGrid w:val="0"/>
                <w:color w:val="auto"/>
                <w:kern w:val="0"/>
                <w:sz w:val="24"/>
                <w:szCs w:val="24"/>
                <w:highlight w:val="none"/>
                <w:lang w:val="en-US" w:eastAsia="zh-CN" w:bidi="ar"/>
              </w:rPr>
            </w:pPr>
            <w:r>
              <w:rPr>
                <w:rFonts w:hint="eastAsia" w:ascii="Times New Roman" w:hAnsi="Times New Roman" w:eastAsia="宋体" w:cs="Times New Roman"/>
                <w:b w:val="0"/>
                <w:bCs/>
                <w:i w:val="0"/>
                <w:snapToGrid w:val="0"/>
                <w:color w:val="auto"/>
                <w:kern w:val="0"/>
                <w:sz w:val="24"/>
                <w:szCs w:val="24"/>
                <w:highlight w:val="none"/>
                <w:lang w:val="en-US" w:eastAsia="zh-CN" w:bidi="ar"/>
              </w:rPr>
              <w:t>《排污许可证申请与核发技术规范</w:t>
            </w:r>
            <w:r>
              <w:rPr>
                <w:rFonts w:hint="eastAsia" w:cs="Times New Roman"/>
                <w:b w:val="0"/>
                <w:bCs/>
                <w:i w:val="0"/>
                <w:snapToGrid w:val="0"/>
                <w:color w:val="auto"/>
                <w:kern w:val="0"/>
                <w:sz w:val="24"/>
                <w:szCs w:val="24"/>
                <w:highlight w:val="none"/>
                <w:lang w:val="en-US" w:eastAsia="zh-CN" w:bidi="ar"/>
              </w:rPr>
              <w:t xml:space="preserve"> </w:t>
            </w:r>
            <w:r>
              <w:rPr>
                <w:rFonts w:hint="eastAsia" w:ascii="Times New Roman" w:hAnsi="Times New Roman" w:eastAsia="宋体" w:cs="Times New Roman"/>
                <w:b w:val="0"/>
                <w:bCs/>
                <w:i w:val="0"/>
                <w:snapToGrid w:val="0"/>
                <w:color w:val="auto"/>
                <w:kern w:val="0"/>
                <w:sz w:val="24"/>
                <w:szCs w:val="24"/>
                <w:highlight w:val="none"/>
                <w:lang w:val="en-US" w:eastAsia="zh-CN" w:bidi="ar"/>
              </w:rPr>
              <w:t>石墨及其他非金属矿物制品制造》（HJ1119-2020）中未规定</w:t>
            </w:r>
            <w:r>
              <w:rPr>
                <w:rFonts w:hint="default" w:ascii="Times New Roman" w:hAnsi="Times New Roman" w:cs="Times New Roman"/>
                <w:color w:val="auto"/>
                <w:sz w:val="24"/>
                <w:szCs w:val="24"/>
                <w:highlight w:val="none"/>
                <w:lang w:val="en-US" w:eastAsia="zh-CN"/>
              </w:rPr>
              <w:t>其他非金属矿物制品制造</w:t>
            </w:r>
            <w:r>
              <w:rPr>
                <w:rFonts w:hint="eastAsia" w:ascii="Times New Roman" w:hAnsi="Times New Roman" w:cs="Times New Roman"/>
                <w:color w:val="auto"/>
                <w:sz w:val="24"/>
                <w:szCs w:val="24"/>
                <w:highlight w:val="none"/>
                <w:lang w:val="en-US" w:eastAsia="zh-CN"/>
              </w:rPr>
              <w:t>行业监测要求，因此，本项目</w:t>
            </w:r>
            <w:r>
              <w:rPr>
                <w:rFonts w:hint="eastAsia" w:ascii="Times New Roman" w:hAnsi="Times New Roman" w:eastAsia="宋体" w:cs="Times New Roman"/>
                <w:b w:val="0"/>
                <w:bCs/>
                <w:i w:val="0"/>
                <w:snapToGrid w:val="0"/>
                <w:color w:val="auto"/>
                <w:kern w:val="0"/>
                <w:sz w:val="24"/>
                <w:szCs w:val="24"/>
                <w:highlight w:val="none"/>
                <w:lang w:val="en-US" w:eastAsia="zh-CN" w:bidi="ar"/>
              </w:rPr>
              <w:t>按照</w:t>
            </w:r>
            <w:r>
              <w:rPr>
                <w:rFonts w:hint="default" w:ascii="Times New Roman" w:hAnsi="Times New Roman" w:eastAsia="宋体" w:cs="Times New Roman"/>
                <w:b w:val="0"/>
                <w:bCs/>
                <w:i w:val="0"/>
                <w:snapToGrid w:val="0"/>
                <w:color w:val="auto"/>
                <w:kern w:val="0"/>
                <w:sz w:val="24"/>
                <w:szCs w:val="24"/>
                <w:highlight w:val="none"/>
                <w:lang w:val="en-US" w:eastAsia="zh-CN" w:bidi="ar"/>
              </w:rPr>
              <w:t>《</w: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begin"/>
            </w:r>
            <w:r>
              <w:rPr>
                <w:rFonts w:hint="default" w:ascii="Times New Roman" w:hAnsi="Times New Roman" w:eastAsia="宋体" w:cs="Times New Roman"/>
                <w:b w:val="0"/>
                <w:bCs/>
                <w:i w:val="0"/>
                <w:snapToGrid w:val="0"/>
                <w:color w:val="auto"/>
                <w:kern w:val="0"/>
                <w:sz w:val="24"/>
                <w:szCs w:val="24"/>
                <w:highlight w:val="none"/>
                <w:lang w:val="en-US" w:eastAsia="zh-CN" w:bidi="ar"/>
              </w:rPr>
              <w:instrText xml:space="preserve"> HYPERLINK "http://www.mee.gov.cn/ywgz/fgbz/bz/bzwb/shjbh/xgbzh/201705/W020170511332490849000.pdf" </w:instrTex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separate"/>
            </w:r>
            <w:bookmarkStart w:id="6" w:name="OLE_LINK46"/>
            <w:r>
              <w:rPr>
                <w:rFonts w:hint="default" w:ascii="Times New Roman" w:hAnsi="Times New Roman" w:eastAsia="宋体" w:cs="Times New Roman"/>
                <w:b w:val="0"/>
                <w:bCs/>
                <w:i w:val="0"/>
                <w:snapToGrid w:val="0"/>
                <w:color w:val="auto"/>
                <w:kern w:val="0"/>
                <w:sz w:val="24"/>
                <w:szCs w:val="24"/>
                <w:highlight w:val="none"/>
                <w:lang w:val="en-US" w:eastAsia="zh-CN" w:bidi="ar"/>
              </w:rPr>
              <w:t>排污单位自行监测技术指南</w:t>
            </w:r>
            <w:bookmarkEnd w:id="6"/>
            <w:r>
              <w:rPr>
                <w:rFonts w:hint="eastAsia" w:ascii="Times New Roman" w:hAnsi="Times New Roman" w:eastAsia="宋体" w:cs="Times New Roman"/>
                <w:b w:val="0"/>
                <w:bCs/>
                <w:i w:val="0"/>
                <w:snapToGrid w:val="0"/>
                <w:color w:val="auto"/>
                <w:kern w:val="0"/>
                <w:sz w:val="24"/>
                <w:szCs w:val="24"/>
                <w:highlight w:val="none"/>
                <w:lang w:val="en-US" w:eastAsia="zh-CN" w:bidi="ar"/>
              </w:rPr>
              <w:t xml:space="preserve"> </w:t>
            </w:r>
            <w:r>
              <w:rPr>
                <w:rFonts w:hint="default" w:ascii="Times New Roman" w:hAnsi="Times New Roman" w:eastAsia="宋体" w:cs="Times New Roman"/>
                <w:b w:val="0"/>
                <w:bCs/>
                <w:i w:val="0"/>
                <w:snapToGrid w:val="0"/>
                <w:color w:val="auto"/>
                <w:kern w:val="0"/>
                <w:sz w:val="24"/>
                <w:szCs w:val="24"/>
                <w:highlight w:val="none"/>
                <w:lang w:val="en-US" w:eastAsia="zh-CN" w:bidi="ar"/>
              </w:rPr>
              <w:t>总则</w: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end"/>
            </w:r>
            <w:r>
              <w:rPr>
                <w:rFonts w:hint="default" w:ascii="Times New Roman" w:hAnsi="Times New Roman" w:eastAsia="宋体" w:cs="Times New Roman"/>
                <w:b w:val="0"/>
                <w:bCs/>
                <w:i w:val="0"/>
                <w:snapToGrid w:val="0"/>
                <w:color w:val="auto"/>
                <w:kern w:val="0"/>
                <w:sz w:val="24"/>
                <w:szCs w:val="24"/>
                <w:highlight w:val="none"/>
                <w:lang w:val="en-US" w:eastAsia="zh-CN" w:bidi="ar"/>
              </w:rPr>
              <w:t>》</w:t>
            </w:r>
            <w:r>
              <w:rPr>
                <w:rFonts w:hint="eastAsia" w:cs="Times New Roman"/>
                <w:b w:val="0"/>
                <w:bCs/>
                <w:i w:val="0"/>
                <w:snapToGrid w:val="0"/>
                <w:color w:val="auto"/>
                <w:kern w:val="0"/>
                <w:sz w:val="24"/>
                <w:szCs w:val="24"/>
                <w:highlight w:val="none"/>
                <w:lang w:val="en-US" w:eastAsia="zh-CN" w:bidi="ar"/>
              </w:rPr>
              <w:t>要求</w:t>
            </w:r>
            <w:r>
              <w:rPr>
                <w:rFonts w:hint="default" w:ascii="Times New Roman" w:hAnsi="Times New Roman" w:eastAsia="宋体" w:cs="Times New Roman"/>
                <w:b w:val="0"/>
                <w:bCs/>
                <w:i w:val="0"/>
                <w:snapToGrid w:val="0"/>
                <w:color w:val="auto"/>
                <w:kern w:val="0"/>
                <w:sz w:val="24"/>
                <w:szCs w:val="24"/>
                <w:highlight w:val="none"/>
                <w:lang w:val="en-US" w:eastAsia="zh-CN" w:bidi="ar"/>
              </w:rPr>
              <w:t>制定本项目的监测计划和工作方案，监测工作可委托有资质的环境监测</w:t>
            </w:r>
            <w:r>
              <w:rPr>
                <w:rFonts w:hint="eastAsia" w:cs="Times New Roman"/>
                <w:b w:val="0"/>
                <w:bCs/>
                <w:i w:val="0"/>
                <w:snapToGrid w:val="0"/>
                <w:color w:val="auto"/>
                <w:kern w:val="0"/>
                <w:sz w:val="24"/>
                <w:szCs w:val="24"/>
                <w:highlight w:val="none"/>
                <w:lang w:val="en-US" w:eastAsia="zh-CN" w:bidi="ar"/>
              </w:rPr>
              <w:t>机构</w:t>
            </w:r>
            <w:r>
              <w:rPr>
                <w:rFonts w:hint="default" w:ascii="Times New Roman" w:hAnsi="Times New Roman" w:eastAsia="宋体" w:cs="Times New Roman"/>
                <w:b w:val="0"/>
                <w:bCs/>
                <w:i w:val="0"/>
                <w:snapToGrid w:val="0"/>
                <w:color w:val="auto"/>
                <w:kern w:val="0"/>
                <w:sz w:val="24"/>
                <w:szCs w:val="24"/>
                <w:highlight w:val="none"/>
                <w:lang w:val="en-US" w:eastAsia="zh-CN" w:bidi="ar"/>
              </w:rPr>
              <w:t>承担。</w:t>
            </w:r>
          </w:p>
          <w:p w14:paraId="3DF2FA4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污染源自行监测计划一览表</w:t>
            </w:r>
          </w:p>
          <w:tbl>
            <w:tblPr>
              <w:tblStyle w:val="32"/>
              <w:tblW w:w="783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73"/>
              <w:gridCol w:w="905"/>
              <w:gridCol w:w="1260"/>
              <w:gridCol w:w="1120"/>
              <w:gridCol w:w="860"/>
              <w:gridCol w:w="3220"/>
            </w:tblGrid>
            <w:tr w14:paraId="2CBA76F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30" w:hRule="atLeast"/>
                <w:jc w:val="center"/>
              </w:trPr>
              <w:tc>
                <w:tcPr>
                  <w:tcW w:w="1378" w:type="dxa"/>
                  <w:gridSpan w:val="2"/>
                  <w:tcBorders>
                    <w:tl2br w:val="nil"/>
                    <w:tr2bl w:val="nil"/>
                  </w:tcBorders>
                  <w:noWrap w:val="0"/>
                  <w:vAlign w:val="center"/>
                </w:tcPr>
                <w:p w14:paraId="34A8A3E8">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环境要素</w:t>
                  </w:r>
                </w:p>
              </w:tc>
              <w:tc>
                <w:tcPr>
                  <w:tcW w:w="1260" w:type="dxa"/>
                  <w:tcBorders>
                    <w:tl2br w:val="nil"/>
                    <w:tr2bl w:val="nil"/>
                  </w:tcBorders>
                  <w:noWrap w:val="0"/>
                  <w:vAlign w:val="center"/>
                </w:tcPr>
                <w:p w14:paraId="4DA055AD">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监测点位</w:t>
                  </w:r>
                </w:p>
              </w:tc>
              <w:tc>
                <w:tcPr>
                  <w:tcW w:w="1120" w:type="dxa"/>
                  <w:tcBorders>
                    <w:tl2br w:val="nil"/>
                    <w:tr2bl w:val="nil"/>
                  </w:tcBorders>
                  <w:noWrap w:val="0"/>
                  <w:vAlign w:val="center"/>
                </w:tcPr>
                <w:p w14:paraId="04595C14">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监测因子</w:t>
                  </w:r>
                </w:p>
              </w:tc>
              <w:tc>
                <w:tcPr>
                  <w:tcW w:w="860" w:type="dxa"/>
                  <w:tcBorders>
                    <w:tl2br w:val="nil"/>
                    <w:tr2bl w:val="nil"/>
                  </w:tcBorders>
                  <w:noWrap w:val="0"/>
                  <w:vAlign w:val="center"/>
                </w:tcPr>
                <w:p w14:paraId="0DB204C8">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监测频次</w:t>
                  </w:r>
                </w:p>
              </w:tc>
              <w:tc>
                <w:tcPr>
                  <w:tcW w:w="3220" w:type="dxa"/>
                  <w:tcBorders>
                    <w:tl2br w:val="nil"/>
                    <w:tr2bl w:val="nil"/>
                  </w:tcBorders>
                  <w:noWrap w:val="0"/>
                  <w:vAlign w:val="center"/>
                </w:tcPr>
                <w:p w14:paraId="18BF9CC5">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执行排放标准</w:t>
                  </w:r>
                </w:p>
              </w:tc>
            </w:tr>
            <w:tr w14:paraId="36B968D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11" w:hRule="atLeast"/>
                <w:jc w:val="center"/>
              </w:trPr>
              <w:tc>
                <w:tcPr>
                  <w:tcW w:w="473" w:type="dxa"/>
                  <w:vMerge w:val="restart"/>
                  <w:tcBorders>
                    <w:tl2br w:val="nil"/>
                    <w:tr2bl w:val="nil"/>
                  </w:tcBorders>
                  <w:noWrap w:val="0"/>
                  <w:vAlign w:val="center"/>
                </w:tcPr>
                <w:p w14:paraId="74E8B9D3">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废气</w:t>
                  </w:r>
                </w:p>
              </w:tc>
              <w:tc>
                <w:tcPr>
                  <w:tcW w:w="905" w:type="dxa"/>
                  <w:tcBorders>
                    <w:tl2br w:val="nil"/>
                    <w:tr2bl w:val="nil"/>
                  </w:tcBorders>
                  <w:noWrap w:val="0"/>
                  <w:vAlign w:val="center"/>
                </w:tcPr>
                <w:p w14:paraId="0B77C69E">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有组织</w:t>
                  </w:r>
                </w:p>
              </w:tc>
              <w:tc>
                <w:tcPr>
                  <w:tcW w:w="1260" w:type="dxa"/>
                  <w:tcBorders>
                    <w:tl2br w:val="nil"/>
                    <w:tr2bl w:val="nil"/>
                  </w:tcBorders>
                  <w:noWrap w:val="0"/>
                  <w:vAlign w:val="center"/>
                </w:tcPr>
                <w:p w14:paraId="7FCE0AE7">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eastAsia="zh-CN"/>
                    </w:rPr>
                    <w:t>排气筒</w:t>
                  </w:r>
                  <w:r>
                    <w:rPr>
                      <w:rFonts w:hint="default" w:ascii="Times New Roman" w:hAnsi="Times New Roman" w:eastAsia="宋体" w:cs="Times New Roman"/>
                      <w:b w:val="0"/>
                      <w:bCs w:val="0"/>
                      <w:color w:val="auto"/>
                      <w:sz w:val="21"/>
                      <w:szCs w:val="21"/>
                      <w:highlight w:val="none"/>
                      <w:lang w:val="en-US" w:eastAsia="zh-CN"/>
                    </w:rPr>
                    <w:t>DA00</w:t>
                  </w:r>
                  <w:r>
                    <w:rPr>
                      <w:rFonts w:hint="eastAsia" w:cs="Times New Roman"/>
                      <w:b w:val="0"/>
                      <w:bCs w:val="0"/>
                      <w:color w:val="auto"/>
                      <w:sz w:val="21"/>
                      <w:szCs w:val="21"/>
                      <w:highlight w:val="none"/>
                      <w:lang w:val="en-US" w:eastAsia="zh-CN"/>
                    </w:rPr>
                    <w:t>2</w:t>
                  </w:r>
                </w:p>
              </w:tc>
              <w:tc>
                <w:tcPr>
                  <w:tcW w:w="1120" w:type="dxa"/>
                  <w:tcBorders>
                    <w:tl2br w:val="nil"/>
                    <w:tr2bl w:val="nil"/>
                  </w:tcBorders>
                  <w:noWrap w:val="0"/>
                  <w:vAlign w:val="center"/>
                </w:tcPr>
                <w:p w14:paraId="631EEC2D">
                  <w:pPr>
                    <w:keepNext w:val="0"/>
                    <w:keepLines w:val="0"/>
                    <w:pageBreakBefore w:val="0"/>
                    <w:widowControl w:val="0"/>
                    <w:shd w:val="clear"/>
                    <w:kinsoku w:val="0"/>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颗粒物</w:t>
                  </w:r>
                </w:p>
              </w:tc>
              <w:tc>
                <w:tcPr>
                  <w:tcW w:w="860" w:type="dxa"/>
                  <w:tcBorders>
                    <w:tl2br w:val="nil"/>
                    <w:tr2bl w:val="nil"/>
                  </w:tcBorders>
                  <w:noWrap w:val="0"/>
                  <w:vAlign w:val="center"/>
                </w:tcPr>
                <w:p w14:paraId="4E41C5F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bidi="ar"/>
                    </w:rPr>
                    <w:t>1次/年</w:t>
                  </w:r>
                </w:p>
              </w:tc>
              <w:tc>
                <w:tcPr>
                  <w:tcW w:w="3220" w:type="dxa"/>
                  <w:tcBorders>
                    <w:tl2br w:val="nil"/>
                    <w:tr2bl w:val="nil"/>
                  </w:tcBorders>
                  <w:noWrap w:val="0"/>
                  <w:vAlign w:val="center"/>
                </w:tcPr>
                <w:p w14:paraId="0E18773A">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《石灰行业大气污染物排放标准》（DB13/1641-2025）及《2019年“十项重点工作”工作方案》（唐办发﹝2019﹞3号）颗粒物有组织排放限值要求：10mg/m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w:t>
                  </w:r>
                </w:p>
              </w:tc>
            </w:tr>
            <w:tr w14:paraId="789E74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309" w:hRule="atLeast"/>
                <w:jc w:val="center"/>
              </w:trPr>
              <w:tc>
                <w:tcPr>
                  <w:tcW w:w="473" w:type="dxa"/>
                  <w:vMerge w:val="continue"/>
                  <w:tcBorders>
                    <w:tl2br w:val="nil"/>
                    <w:tr2bl w:val="nil"/>
                  </w:tcBorders>
                  <w:noWrap w:val="0"/>
                  <w:vAlign w:val="center"/>
                </w:tcPr>
                <w:p w14:paraId="40E99A9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905" w:type="dxa"/>
                  <w:vMerge w:val="restart"/>
                  <w:tcBorders>
                    <w:tl2br w:val="nil"/>
                    <w:tr2bl w:val="nil"/>
                  </w:tcBorders>
                  <w:noWrap w:val="0"/>
                  <w:vAlign w:val="center"/>
                </w:tcPr>
                <w:p w14:paraId="1B9301A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无组织</w:t>
                  </w:r>
                </w:p>
              </w:tc>
              <w:tc>
                <w:tcPr>
                  <w:tcW w:w="1260" w:type="dxa"/>
                  <w:tcBorders>
                    <w:tl2br w:val="nil"/>
                    <w:tr2bl w:val="nil"/>
                  </w:tcBorders>
                  <w:noWrap w:val="0"/>
                  <w:vAlign w:val="center"/>
                </w:tcPr>
                <w:p w14:paraId="13582A04">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厂界</w:t>
                  </w:r>
                </w:p>
              </w:tc>
              <w:tc>
                <w:tcPr>
                  <w:tcW w:w="1120" w:type="dxa"/>
                  <w:tcBorders>
                    <w:tl2br w:val="nil"/>
                    <w:tr2bl w:val="nil"/>
                  </w:tcBorders>
                  <w:noWrap w:val="0"/>
                  <w:vAlign w:val="center"/>
                </w:tcPr>
                <w:p w14:paraId="67822284">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颗粒物</w:t>
                  </w:r>
                </w:p>
              </w:tc>
              <w:tc>
                <w:tcPr>
                  <w:tcW w:w="860" w:type="dxa"/>
                  <w:tcBorders>
                    <w:tl2br w:val="nil"/>
                    <w:tr2bl w:val="nil"/>
                  </w:tcBorders>
                  <w:noWrap w:val="0"/>
                  <w:vAlign w:val="center"/>
                </w:tcPr>
                <w:p w14:paraId="35446717">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bidi="ar"/>
                    </w:rPr>
                    <w:t>1次/年</w:t>
                  </w:r>
                </w:p>
              </w:tc>
              <w:tc>
                <w:tcPr>
                  <w:tcW w:w="3220" w:type="dxa"/>
                  <w:vMerge w:val="restart"/>
                  <w:tcBorders>
                    <w:tl2br w:val="nil"/>
                    <w:tr2bl w:val="nil"/>
                  </w:tcBorders>
                  <w:noWrap w:val="0"/>
                  <w:vAlign w:val="center"/>
                </w:tcPr>
                <w:p w14:paraId="0CF82CD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leftChars="0" w:right="0" w:firstLine="0" w:firstLineChars="0"/>
                    <w:textAlignment w:val="auto"/>
                    <w:rPr>
                      <w:rFonts w:hint="default"/>
                      <w:b w:val="0"/>
                      <w:bCs w:val="0"/>
                      <w:snapToGrid w:val="0"/>
                      <w:color w:val="auto"/>
                      <w:kern w:val="0"/>
                      <w:sz w:val="21"/>
                      <w:szCs w:val="21"/>
                      <w:highlight w:val="none"/>
                      <w:lang w:val="en-US" w:eastAsia="zh-CN" w:bidi="ar-SA"/>
                    </w:rPr>
                  </w:pPr>
                  <w:r>
                    <w:rPr>
                      <w:rFonts w:hint="eastAsia"/>
                      <w:color w:val="auto"/>
                      <w:sz w:val="21"/>
                      <w:szCs w:val="21"/>
                      <w:highlight w:val="none"/>
                    </w:rPr>
                    <w:t>《2019年“十项重点工作”工作方案》</w:t>
                  </w:r>
                  <w:r>
                    <w:rPr>
                      <w:rFonts w:hint="eastAsia"/>
                      <w:color w:val="auto"/>
                      <w:sz w:val="21"/>
                      <w:szCs w:val="21"/>
                      <w:highlight w:val="none"/>
                      <w:lang w:eastAsia="zh-CN"/>
                    </w:rPr>
                    <w:t>（</w:t>
                  </w:r>
                  <w:r>
                    <w:rPr>
                      <w:rFonts w:hint="eastAsia"/>
                      <w:color w:val="auto"/>
                      <w:sz w:val="21"/>
                      <w:szCs w:val="21"/>
                      <w:highlight w:val="none"/>
                    </w:rPr>
                    <w:t>唐办发</w:t>
                  </w:r>
                  <w:r>
                    <w:rPr>
                      <w:rFonts w:hint="eastAsia"/>
                      <w:color w:val="auto"/>
                      <w:sz w:val="21"/>
                      <w:szCs w:val="21"/>
                      <w:highlight w:val="none"/>
                      <w:lang w:eastAsia="zh-CN"/>
                    </w:rPr>
                    <w:t>﹝2019﹞</w:t>
                  </w:r>
                  <w:r>
                    <w:rPr>
                      <w:rFonts w:hint="eastAsia"/>
                      <w:color w:val="auto"/>
                      <w:sz w:val="21"/>
                      <w:szCs w:val="21"/>
                      <w:highlight w:val="none"/>
                    </w:rPr>
                    <w:t>3号</w:t>
                  </w:r>
                  <w:r>
                    <w:rPr>
                      <w:rFonts w:hint="eastAsia"/>
                      <w:color w:val="auto"/>
                      <w:sz w:val="21"/>
                      <w:szCs w:val="21"/>
                      <w:highlight w:val="none"/>
                      <w:lang w:eastAsia="zh-CN"/>
                    </w:rPr>
                    <w:t>）</w:t>
                  </w:r>
                  <w:r>
                    <w:rPr>
                      <w:rFonts w:hint="eastAsia"/>
                      <w:color w:val="auto"/>
                      <w:sz w:val="21"/>
                      <w:szCs w:val="21"/>
                      <w:highlight w:val="none"/>
                    </w:rPr>
                    <w:t>排放限值要求</w:t>
                  </w:r>
                  <w:r>
                    <w:rPr>
                      <w:rFonts w:hint="eastAsia"/>
                      <w:color w:val="auto"/>
                      <w:sz w:val="21"/>
                      <w:szCs w:val="21"/>
                      <w:highlight w:val="none"/>
                      <w:lang w:eastAsia="zh-CN"/>
                    </w:rPr>
                    <w:t>：厂界无组织颗粒物浓度不超过0.5mg/m</w:t>
                  </w:r>
                  <w:r>
                    <w:rPr>
                      <w:rFonts w:hint="eastAsia"/>
                      <w:color w:val="auto"/>
                      <w:sz w:val="21"/>
                      <w:szCs w:val="21"/>
                      <w:highlight w:val="none"/>
                      <w:vertAlign w:val="superscript"/>
                      <w:lang w:val="en-US" w:eastAsia="zh-CN"/>
                    </w:rPr>
                    <w:t>3</w:t>
                  </w:r>
                  <w:r>
                    <w:rPr>
                      <w:rFonts w:hint="default" w:ascii="Times New Roman" w:hAnsi="Times New Roman" w:eastAsia="宋体" w:cs="Times New Roman"/>
                      <w:color w:val="auto"/>
                      <w:kern w:val="0"/>
                      <w:sz w:val="21"/>
                      <w:szCs w:val="21"/>
                      <w:highlight w:val="none"/>
                      <w:lang w:val="en-US" w:eastAsia="zh-CN"/>
                    </w:rPr>
                    <w:t>。</w:t>
                  </w:r>
                  <w:r>
                    <w:rPr>
                      <w:rFonts w:hint="eastAsia" w:ascii="Times New Roman" w:hAnsi="Times New Roman" w:eastAsia="宋体" w:cs="Times New Roman"/>
                      <w:color w:val="auto"/>
                      <w:kern w:val="0"/>
                      <w:sz w:val="21"/>
                      <w:szCs w:val="21"/>
                      <w:highlight w:val="none"/>
                      <w:lang w:val="en-US" w:eastAsia="zh-CN"/>
                    </w:rPr>
                    <w:t>生产车间外无组织颗粒物</w:t>
                  </w:r>
                  <w:r>
                    <w:rPr>
                      <w:rFonts w:hint="default" w:ascii="Times New Roman" w:hAnsi="Times New Roman" w:eastAsia="宋体" w:cs="Times New Roman"/>
                      <w:color w:val="auto"/>
                      <w:kern w:val="0"/>
                      <w:sz w:val="21"/>
                      <w:szCs w:val="21"/>
                      <w:highlight w:val="none"/>
                      <w:lang w:val="en-US" w:eastAsia="zh-CN"/>
                    </w:rPr>
                    <w:t>满足</w:t>
                  </w:r>
                  <w:r>
                    <w:rPr>
                      <w:rFonts w:hint="eastAsia"/>
                      <w:color w:val="auto"/>
                      <w:sz w:val="21"/>
                      <w:szCs w:val="21"/>
                      <w:highlight w:val="none"/>
                    </w:rPr>
                    <w:t>《石灰行业大气污染物排放标准》</w:t>
                  </w:r>
                  <w:r>
                    <w:rPr>
                      <w:rFonts w:hint="eastAsia"/>
                      <w:color w:val="auto"/>
                      <w:sz w:val="21"/>
                      <w:szCs w:val="21"/>
                      <w:highlight w:val="none"/>
                      <w:lang w:eastAsia="zh-CN"/>
                    </w:rPr>
                    <w:t>（</w:t>
                  </w:r>
                  <w:r>
                    <w:rPr>
                      <w:rFonts w:hint="eastAsia"/>
                      <w:color w:val="auto"/>
                      <w:sz w:val="21"/>
                      <w:szCs w:val="21"/>
                      <w:highlight w:val="none"/>
                    </w:rPr>
                    <w:t>DB13/1641</w:t>
                  </w:r>
                  <w:r>
                    <w:rPr>
                      <w:rFonts w:hint="eastAsia"/>
                      <w:color w:val="auto"/>
                      <w:sz w:val="21"/>
                      <w:szCs w:val="21"/>
                      <w:highlight w:val="none"/>
                      <w:lang w:eastAsia="zh-CN"/>
                    </w:rPr>
                    <w:t>-2025）</w:t>
                  </w:r>
                  <w:r>
                    <w:rPr>
                      <w:rFonts w:hint="default" w:ascii="Times New Roman" w:hAnsi="Times New Roman" w:eastAsia="宋体" w:cs="Times New Roman"/>
                      <w:color w:val="auto"/>
                      <w:kern w:val="0"/>
                      <w:sz w:val="21"/>
                      <w:szCs w:val="21"/>
                      <w:highlight w:val="none"/>
                      <w:lang w:val="en-US" w:eastAsia="zh-CN"/>
                    </w:rPr>
                    <w:t>表3企业厂区内大气污染物无组织排放限值5.0mg/m</w:t>
                  </w:r>
                  <w:r>
                    <w:rPr>
                      <w:rFonts w:hint="default" w:ascii="Times New Roman" w:hAnsi="Times New Roman" w:eastAsia="宋体" w:cs="Times New Roman"/>
                      <w:color w:val="auto"/>
                      <w:kern w:val="0"/>
                      <w:sz w:val="21"/>
                      <w:szCs w:val="21"/>
                      <w:highlight w:val="none"/>
                      <w:vertAlign w:val="superscript"/>
                      <w:lang w:val="en-US" w:eastAsia="zh-CN"/>
                    </w:rPr>
                    <w:t>3</w:t>
                  </w:r>
                  <w:r>
                    <w:rPr>
                      <w:rFonts w:hint="default" w:ascii="Times New Roman" w:hAnsi="Times New Roman" w:eastAsia="宋体" w:cs="Times New Roman"/>
                      <w:color w:val="auto"/>
                      <w:kern w:val="0"/>
                      <w:sz w:val="21"/>
                      <w:szCs w:val="21"/>
                      <w:highlight w:val="none"/>
                      <w:lang w:val="en-US" w:eastAsia="zh-CN"/>
                    </w:rPr>
                    <w:t>。</w:t>
                  </w:r>
                </w:p>
              </w:tc>
            </w:tr>
            <w:tr w14:paraId="074DB3F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54" w:hRule="atLeast"/>
                <w:jc w:val="center"/>
              </w:trPr>
              <w:tc>
                <w:tcPr>
                  <w:tcW w:w="473" w:type="dxa"/>
                  <w:vMerge w:val="continue"/>
                  <w:tcBorders>
                    <w:tl2br w:val="nil"/>
                    <w:tr2bl w:val="nil"/>
                  </w:tcBorders>
                  <w:noWrap w:val="0"/>
                  <w:vAlign w:val="center"/>
                </w:tcPr>
                <w:p w14:paraId="19CBD4E3">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905" w:type="dxa"/>
                  <w:vMerge w:val="continue"/>
                  <w:tcBorders>
                    <w:tl2br w:val="nil"/>
                    <w:tr2bl w:val="nil"/>
                  </w:tcBorders>
                  <w:noWrap w:val="0"/>
                  <w:vAlign w:val="center"/>
                </w:tcPr>
                <w:p w14:paraId="0A36EBF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1260" w:type="dxa"/>
                  <w:tcBorders>
                    <w:tl2br w:val="nil"/>
                    <w:tr2bl w:val="nil"/>
                  </w:tcBorders>
                  <w:noWrap w:val="0"/>
                  <w:vAlign w:val="center"/>
                </w:tcPr>
                <w:p w14:paraId="742B110D">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车间外</w:t>
                  </w:r>
                </w:p>
              </w:tc>
              <w:tc>
                <w:tcPr>
                  <w:tcW w:w="1120" w:type="dxa"/>
                  <w:tcBorders>
                    <w:tl2br w:val="nil"/>
                    <w:tr2bl w:val="nil"/>
                  </w:tcBorders>
                  <w:noWrap w:val="0"/>
                  <w:vAlign w:val="center"/>
                </w:tcPr>
                <w:p w14:paraId="7EE237EE">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颗粒物</w:t>
                  </w:r>
                </w:p>
              </w:tc>
              <w:tc>
                <w:tcPr>
                  <w:tcW w:w="860" w:type="dxa"/>
                  <w:tcBorders>
                    <w:tl2br w:val="nil"/>
                    <w:tr2bl w:val="nil"/>
                  </w:tcBorders>
                  <w:noWrap w:val="0"/>
                  <w:vAlign w:val="center"/>
                </w:tcPr>
                <w:p w14:paraId="47D8A62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bidi="ar"/>
                    </w:rPr>
                    <w:t>1次/年</w:t>
                  </w:r>
                </w:p>
              </w:tc>
              <w:tc>
                <w:tcPr>
                  <w:tcW w:w="3220" w:type="dxa"/>
                  <w:vMerge w:val="continue"/>
                  <w:tcBorders>
                    <w:tl2br w:val="nil"/>
                    <w:tr2bl w:val="nil"/>
                  </w:tcBorders>
                  <w:noWrap w:val="0"/>
                  <w:vAlign w:val="center"/>
                </w:tcPr>
                <w:p w14:paraId="5F9F7DA6">
                  <w:pPr>
                    <w:pStyle w:val="119"/>
                    <w:keepNext w:val="0"/>
                    <w:keepLines w:val="0"/>
                    <w:pageBreakBefore w:val="0"/>
                    <w:widowControl w:val="0"/>
                    <w:shd w:val="clear"/>
                    <w:wordWrap/>
                    <w:overflowPunct/>
                    <w:topLinePunct w:val="0"/>
                    <w:autoSpaceDE/>
                    <w:autoSpaceDN/>
                    <w:bidi w:val="0"/>
                    <w:adjustRightInd/>
                    <w:snapToGrid/>
                    <w:spacing w:line="0" w:lineRule="atLeast"/>
                    <w:ind w:firstLine="0" w:firstLineChars="0"/>
                    <w:textAlignment w:val="auto"/>
                    <w:rPr>
                      <w:b w:val="0"/>
                      <w:bCs w:val="0"/>
                      <w:color w:val="auto"/>
                      <w:sz w:val="21"/>
                      <w:szCs w:val="21"/>
                      <w:highlight w:val="none"/>
                    </w:rPr>
                  </w:pPr>
                </w:p>
              </w:tc>
            </w:tr>
          </w:tbl>
          <w:p w14:paraId="1CBD53CD">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Autospacing="0" w:line="500" w:lineRule="exact"/>
              <w:ind w:left="0" w:right="0" w:firstLine="482" w:firstLineChars="200"/>
              <w:jc w:val="both"/>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1.7</w:t>
            </w:r>
            <w:r>
              <w:rPr>
                <w:rFonts w:hint="default" w:ascii="Times New Roman" w:hAnsi="Times New Roman" w:eastAsia="宋体" w:cs="Times New Roman"/>
                <w:b/>
                <w:bCs/>
                <w:color w:val="auto"/>
                <w:kern w:val="2"/>
                <w:sz w:val="24"/>
                <w:szCs w:val="24"/>
                <w:highlight w:val="none"/>
                <w:lang w:val="en-US" w:eastAsia="zh-CN" w:bidi="ar-SA"/>
              </w:rPr>
              <w:t>大气环境评价结论</w:t>
            </w:r>
          </w:p>
          <w:p w14:paraId="6C4FF640">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Autospacing="0" w:line="500" w:lineRule="exact"/>
              <w:ind w:left="0" w:leftChars="0" w:right="0" w:rightChars="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项目所在区域环境空气质量属于不达标区。特征污染物TSP24小时平均浓度满足</w:t>
            </w:r>
            <w:r>
              <w:rPr>
                <w:rFonts w:hint="eastAsia"/>
                <w:color w:val="auto"/>
                <w:sz w:val="24"/>
                <w:szCs w:val="24"/>
                <w:highlight w:val="none"/>
                <w:lang w:eastAsia="zh-CN"/>
              </w:rPr>
              <w:t>《环境空气质量标准》（GB3095-2026）</w:t>
            </w:r>
            <w:r>
              <w:rPr>
                <w:rFonts w:hint="default" w:ascii="Times New Roman" w:hAnsi="Times New Roman" w:eastAsia="宋体" w:cs="Times New Roman"/>
                <w:color w:val="auto"/>
                <w:kern w:val="2"/>
                <w:sz w:val="24"/>
                <w:szCs w:val="24"/>
                <w:highlight w:val="none"/>
                <w:lang w:val="en-US" w:eastAsia="zh-CN" w:bidi="ar"/>
              </w:rPr>
              <w:t>。本项目</w:t>
            </w:r>
            <w:r>
              <w:rPr>
                <w:rFonts w:hint="eastAsia" w:ascii="Times New Roman" w:hAnsi="Times New Roman" w:eastAsia="宋体" w:cs="Times New Roman"/>
                <w:color w:val="auto"/>
                <w:kern w:val="2"/>
                <w:sz w:val="24"/>
                <w:szCs w:val="24"/>
                <w:highlight w:val="none"/>
                <w:lang w:val="en-US" w:eastAsia="zh-CN" w:bidi="ar"/>
              </w:rPr>
              <w:t>废气污染物</w:t>
            </w:r>
            <w:r>
              <w:rPr>
                <w:rFonts w:hint="default" w:ascii="Times New Roman" w:hAnsi="Times New Roman" w:eastAsia="宋体" w:cs="Times New Roman"/>
                <w:color w:val="auto"/>
                <w:kern w:val="2"/>
                <w:sz w:val="24"/>
                <w:szCs w:val="24"/>
                <w:highlight w:val="none"/>
                <w:lang w:val="en-US" w:eastAsia="zh-CN" w:bidi="ar"/>
              </w:rPr>
              <w:t>颗粒物采用</w:t>
            </w:r>
            <w:r>
              <w:rPr>
                <w:rFonts w:hint="eastAsia" w:cs="Times New Roman"/>
                <w:color w:val="auto"/>
                <w:kern w:val="2"/>
                <w:sz w:val="24"/>
                <w:szCs w:val="24"/>
                <w:highlight w:val="none"/>
                <w:lang w:val="en-US" w:eastAsia="zh-CN" w:bidi="ar"/>
              </w:rPr>
              <w:t>袋式</w:t>
            </w:r>
            <w:r>
              <w:rPr>
                <w:rFonts w:hint="default" w:ascii="Times New Roman" w:hAnsi="Times New Roman" w:eastAsia="宋体" w:cs="Times New Roman"/>
                <w:color w:val="auto"/>
                <w:kern w:val="2"/>
                <w:sz w:val="24"/>
                <w:szCs w:val="24"/>
                <w:highlight w:val="none"/>
                <w:lang w:val="en-US" w:eastAsia="zh-CN" w:bidi="ar"/>
              </w:rPr>
              <w:t>除尘器处理后，通过排气筒排放至大气</w:t>
            </w:r>
            <w:r>
              <w:rPr>
                <w:rFonts w:hint="eastAsia" w:ascii="Times New Roman" w:hAnsi="Times New Roman" w:eastAsia="宋体" w:cs="Times New Roman"/>
                <w:color w:val="auto"/>
                <w:kern w:val="2"/>
                <w:sz w:val="24"/>
                <w:szCs w:val="24"/>
                <w:highlight w:val="none"/>
                <w:lang w:val="en-US" w:eastAsia="zh-CN" w:bidi="ar"/>
              </w:rPr>
              <w:t>，同时采取车间封闭、</w:t>
            </w:r>
            <w:r>
              <w:rPr>
                <w:rFonts w:hint="eastAsia" w:cs="Times New Roman"/>
                <w:color w:val="auto"/>
                <w:kern w:val="2"/>
                <w:sz w:val="24"/>
                <w:szCs w:val="24"/>
                <w:highlight w:val="none"/>
                <w:lang w:val="en-US" w:eastAsia="zh-CN" w:bidi="ar"/>
              </w:rPr>
              <w:t>喷淋抑尘、</w:t>
            </w:r>
            <w:r>
              <w:rPr>
                <w:rFonts w:hint="eastAsia" w:ascii="Times New Roman" w:hAnsi="Times New Roman" w:eastAsia="宋体" w:cs="Times New Roman"/>
                <w:color w:val="auto"/>
                <w:kern w:val="2"/>
                <w:sz w:val="24"/>
                <w:szCs w:val="24"/>
                <w:highlight w:val="none"/>
                <w:lang w:val="en-US" w:eastAsia="zh-CN" w:bidi="ar"/>
              </w:rPr>
              <w:t>重力沉降等无组织排放控制措施</w:t>
            </w:r>
            <w:r>
              <w:rPr>
                <w:rFonts w:hint="default" w:ascii="Times New Roman" w:hAnsi="Times New Roman" w:eastAsia="宋体" w:cs="Times New Roman"/>
                <w:color w:val="auto"/>
                <w:kern w:val="2"/>
                <w:sz w:val="24"/>
                <w:szCs w:val="24"/>
                <w:highlight w:val="none"/>
                <w:lang w:val="en-US" w:eastAsia="zh-CN" w:bidi="ar"/>
              </w:rPr>
              <w:t>。项目完成后</w:t>
            </w:r>
            <w:r>
              <w:rPr>
                <w:rFonts w:hint="eastAsia" w:cs="Times New Roman"/>
                <w:color w:val="auto"/>
                <w:kern w:val="2"/>
                <w:sz w:val="24"/>
                <w:szCs w:val="24"/>
                <w:highlight w:val="none"/>
                <w:lang w:val="en-US" w:eastAsia="zh-CN" w:bidi="ar"/>
              </w:rPr>
              <w:t>，本项目</w:t>
            </w:r>
            <w:r>
              <w:rPr>
                <w:rFonts w:hint="default" w:ascii="Times New Roman" w:hAnsi="Times New Roman" w:eastAsia="宋体" w:cs="Times New Roman"/>
                <w:color w:val="auto"/>
                <w:kern w:val="2"/>
                <w:sz w:val="24"/>
                <w:szCs w:val="24"/>
                <w:highlight w:val="none"/>
                <w:lang w:val="en-US" w:eastAsia="zh-CN" w:bidi="ar"/>
              </w:rPr>
              <w:t>颗粒物有组织排放量</w:t>
            </w:r>
            <w:r>
              <w:rPr>
                <w:rFonts w:hint="eastAsia" w:ascii="Times New Roman" w:hAnsi="Times New Roman" w:eastAsia="宋体" w:cs="Times New Roman"/>
                <w:color w:val="auto"/>
                <w:kern w:val="2"/>
                <w:sz w:val="24"/>
                <w:szCs w:val="24"/>
                <w:highlight w:val="none"/>
                <w:lang w:val="en-US" w:eastAsia="zh-CN" w:bidi="ar"/>
              </w:rPr>
              <w:t>与无组织排放量合计</w:t>
            </w:r>
            <w:r>
              <w:rPr>
                <w:rFonts w:hint="default" w:ascii="Times New Roman" w:hAnsi="Times New Roman" w:eastAsia="宋体" w:cs="Times New Roman"/>
                <w:color w:val="auto"/>
                <w:kern w:val="2"/>
                <w:sz w:val="24"/>
                <w:szCs w:val="24"/>
                <w:highlight w:val="none"/>
                <w:lang w:val="en-US" w:eastAsia="zh-CN" w:bidi="ar"/>
              </w:rPr>
              <w:t>为</w:t>
            </w:r>
            <w:r>
              <w:rPr>
                <w:rFonts w:hint="eastAsia" w:cs="Times New Roman"/>
                <w:color w:val="auto"/>
                <w:kern w:val="2"/>
                <w:sz w:val="24"/>
                <w:szCs w:val="24"/>
                <w:highlight w:val="none"/>
                <w:lang w:val="en-US" w:eastAsia="zh-CN" w:bidi="ar"/>
              </w:rPr>
              <w:t>1.168</w:t>
            </w:r>
            <w:r>
              <w:rPr>
                <w:rFonts w:hint="default" w:ascii="Times New Roman" w:hAnsi="Times New Roman" w:eastAsia="宋体" w:cs="Times New Roman"/>
                <w:color w:val="auto"/>
                <w:kern w:val="2"/>
                <w:sz w:val="24"/>
                <w:szCs w:val="24"/>
                <w:highlight w:val="none"/>
                <w:lang w:val="en-US" w:eastAsia="zh-CN" w:bidi="ar"/>
              </w:rPr>
              <w:t>t/a，满足总量控制指标要求</w:t>
            </w:r>
            <w:r>
              <w:rPr>
                <w:rFonts w:hint="eastAsia" w:ascii="Times New Roman" w:hAnsi="Times New Roman" w:eastAsia="宋体" w:cs="Times New Roman"/>
                <w:color w:val="auto"/>
                <w:kern w:val="2"/>
                <w:sz w:val="24"/>
                <w:szCs w:val="24"/>
                <w:highlight w:val="none"/>
                <w:lang w:val="en-US" w:eastAsia="zh-CN" w:bidi="ar"/>
              </w:rPr>
              <w:t>；</w:t>
            </w:r>
            <w:r>
              <w:rPr>
                <w:rFonts w:hint="eastAsia" w:eastAsia="宋体" w:cs="Times New Roman"/>
                <w:bCs/>
                <w:color w:val="auto"/>
                <w:sz w:val="24"/>
                <w:highlight w:val="none"/>
                <w:lang w:eastAsia="zh-CN"/>
              </w:rPr>
              <w:t>项目应严格落实各项废气治理措施，确保废气治理措施稳定运行和污染物长期稳定达标排放，同时加强厂区环境和人员管理，在切实做好上述废气防治措施的情况下，本项目环境影响可接受</w:t>
            </w:r>
            <w:r>
              <w:rPr>
                <w:rFonts w:hint="default" w:ascii="Times New Roman" w:hAnsi="Times New Roman" w:eastAsia="宋体" w:cs="Times New Roman"/>
                <w:bCs/>
                <w:color w:val="auto"/>
                <w:sz w:val="24"/>
                <w:highlight w:val="none"/>
              </w:rPr>
              <w:t>。</w:t>
            </w:r>
          </w:p>
          <w:p w14:paraId="2914CD9C">
            <w:pPr>
              <w:pStyle w:val="15"/>
              <w:keepNext w:val="0"/>
              <w:keepLines w:val="0"/>
              <w:pageBreakBefore w:val="0"/>
              <w:widowControl w:val="0"/>
              <w:shd w:val="clear"/>
              <w:kinsoku/>
              <w:wordWrap/>
              <w:overflowPunct/>
              <w:topLinePunct w:val="0"/>
              <w:autoSpaceDE/>
              <w:autoSpaceDN/>
              <w:bidi w:val="0"/>
              <w:adjustRightInd/>
              <w:snapToGrid/>
              <w:spacing w:after="0" w:line="480" w:lineRule="exact"/>
              <w:ind w:left="0" w:leftChars="0" w:right="0" w:rightChars="0" w:firstLine="482" w:firstLineChars="20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2</w:t>
            </w:r>
            <w:r>
              <w:rPr>
                <w:rFonts w:hint="eastAsia" w:cs="Times New Roman"/>
                <w:b/>
                <w:bCs/>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废水</w:t>
            </w:r>
          </w:p>
          <w:p w14:paraId="6B088DA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本项目不设食堂、宿舍、洗浴设施，厕所为</w:t>
            </w:r>
            <w:r>
              <w:rPr>
                <w:rFonts w:hint="eastAsia" w:ascii="Times New Roman" w:hAnsi="Times New Roman" w:cs="Times New Roman"/>
                <w:color w:val="auto"/>
                <w:sz w:val="24"/>
                <w:szCs w:val="24"/>
                <w:highlight w:val="none"/>
                <w:lang w:val="en-US" w:eastAsia="zh-CN"/>
              </w:rPr>
              <w:t>防渗</w:t>
            </w:r>
            <w:r>
              <w:rPr>
                <w:rFonts w:hint="default" w:ascii="Times New Roman" w:hAnsi="Times New Roman" w:cs="Times New Roman"/>
                <w:color w:val="auto"/>
                <w:sz w:val="24"/>
                <w:szCs w:val="24"/>
                <w:highlight w:val="none"/>
                <w:lang w:val="en-US" w:eastAsia="zh-CN"/>
              </w:rPr>
              <w:t>厕所</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本项目废水主要为生活污水，生</w:t>
            </w:r>
            <w:r>
              <w:rPr>
                <w:rFonts w:hint="eastAsia" w:ascii="Times New Roman" w:hAnsi="Times New Roman" w:cs="Times New Roman"/>
                <w:color w:val="auto"/>
                <w:sz w:val="24"/>
                <w:szCs w:val="24"/>
                <w:highlight w:val="none"/>
                <w:lang w:val="en-US" w:eastAsia="zh-CN"/>
              </w:rPr>
              <w:t>活污水产生量为0.</w:t>
            </w:r>
            <w:r>
              <w:rPr>
                <w:rFonts w:hint="eastAsia" w:cs="Times New Roman"/>
                <w:color w:val="auto"/>
                <w:sz w:val="24"/>
                <w:szCs w:val="24"/>
                <w:highlight w:val="none"/>
                <w:lang w:val="en-US" w:eastAsia="zh-CN"/>
              </w:rPr>
              <w:t>072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21.6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生活污水仅盥洗废水</w:t>
            </w:r>
            <w:r>
              <w:rPr>
                <w:rFonts w:hint="eastAsia" w:cs="Times New Roman"/>
                <w:color w:val="auto"/>
                <w:sz w:val="24"/>
                <w:szCs w:val="24"/>
                <w:highlight w:val="none"/>
                <w:lang w:val="en-US" w:eastAsia="zh-CN"/>
              </w:rPr>
              <w:t>（主要污染因子为COD、SS）</w:t>
            </w:r>
            <w:r>
              <w:rPr>
                <w:rFonts w:hint="eastAsia" w:ascii="Times New Roman" w:hAnsi="Times New Roman" w:cs="Times New Roman"/>
                <w:color w:val="auto"/>
                <w:sz w:val="24"/>
                <w:szCs w:val="24"/>
                <w:highlight w:val="none"/>
                <w:lang w:val="en-US" w:eastAsia="zh-CN"/>
              </w:rPr>
              <w:t>，水质简单，泼洒地面抑尘，不外排</w:t>
            </w:r>
            <w:r>
              <w:rPr>
                <w:rFonts w:hint="default" w:ascii="Times New Roman" w:hAnsi="Times New Roman" w:cs="Times New Roman"/>
                <w:color w:val="auto"/>
                <w:sz w:val="24"/>
                <w:szCs w:val="24"/>
                <w:highlight w:val="none"/>
                <w:lang w:val="en-US" w:eastAsia="zh-CN"/>
              </w:rPr>
              <w:t>。</w:t>
            </w:r>
          </w:p>
          <w:p w14:paraId="7A113623">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lang w:val="en-US" w:eastAsia="zh-CN"/>
              </w:rPr>
              <w:t>雾化喷淋用水</w:t>
            </w:r>
            <w:r>
              <w:rPr>
                <w:rFonts w:hint="eastAsia" w:ascii="Times New Roman" w:hAnsi="Times New Roman" w:eastAsia="宋体" w:cs="Times New Roman"/>
                <w:color w:val="auto"/>
                <w:sz w:val="24"/>
                <w:szCs w:val="24"/>
                <w:highlight w:val="none"/>
                <w:lang w:eastAsia="zh-CN"/>
              </w:rPr>
              <w:t>均蒸发消耗，</w:t>
            </w:r>
            <w:r>
              <w:rPr>
                <w:rFonts w:hint="default" w:ascii="Times New Roman" w:hAnsi="Times New Roman" w:eastAsia="宋体" w:cs="Times New Roman"/>
                <w:color w:val="auto"/>
                <w:sz w:val="24"/>
                <w:szCs w:val="24"/>
                <w:highlight w:val="none"/>
                <w:lang w:val="en-US" w:eastAsia="zh-CN"/>
              </w:rPr>
              <w:t>无废水产生及外排</w:t>
            </w:r>
            <w:r>
              <w:rPr>
                <w:rFonts w:hint="eastAsia" w:ascii="Times New Roman" w:hAnsi="Times New Roman" w:eastAsia="宋体" w:cs="Times New Roman"/>
                <w:color w:val="auto"/>
                <w:sz w:val="24"/>
                <w:szCs w:val="24"/>
                <w:highlight w:val="none"/>
                <w:lang w:eastAsia="zh-CN"/>
              </w:rPr>
              <w:t>。</w:t>
            </w:r>
          </w:p>
          <w:p w14:paraId="01221C88">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本项目依托现有洗车平台（设置有沉淀池和清水池），洗车废水主要污染物为</w:t>
            </w:r>
            <w:r>
              <w:rPr>
                <w:rFonts w:hint="eastAsia" w:ascii="Times New Roman" w:hAnsi="Times New Roman" w:eastAsia="宋体" w:cs="Times New Roman"/>
                <w:color w:val="auto"/>
                <w:sz w:val="24"/>
                <w:szCs w:val="24"/>
                <w:highlight w:val="none"/>
                <w:lang w:val="en-US" w:eastAsia="zh-CN"/>
              </w:rPr>
              <w:t>SS，经沉淀池沉淀后，上层清水进入清水池回用于运输车辆冲洗，车辆冲洗对水质要求较低，能够满足回用要求，因此本项目洗车平台车辆清洗废水回用可行。</w:t>
            </w:r>
          </w:p>
          <w:p w14:paraId="4787B51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eastAsia="宋体"/>
                <w:color w:val="auto"/>
                <w:sz w:val="24"/>
                <w:szCs w:val="24"/>
                <w:lang w:val="en-US" w:eastAsia="zh-CN"/>
              </w:rPr>
            </w:pPr>
            <w:r>
              <w:rPr>
                <w:rFonts w:hint="eastAsia"/>
                <w:color w:val="auto"/>
                <w:sz w:val="24"/>
                <w:szCs w:val="24"/>
                <w:lang w:eastAsia="zh-CN"/>
              </w:rPr>
              <w:t>本项目无废水外排，不会对周边水环境质量产生不利影响。</w:t>
            </w:r>
          </w:p>
          <w:p w14:paraId="797DA415">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宋体" w:cs="Times New Roman"/>
                <w:b/>
                <w:bCs w:val="0"/>
                <w:color w:val="auto"/>
                <w:spacing w:val="-10"/>
                <w:sz w:val="24"/>
                <w:szCs w:val="24"/>
                <w:highlight w:val="none"/>
                <w:lang w:val="en-US" w:eastAsia="zh-CN"/>
              </w:rPr>
            </w:pPr>
            <w:r>
              <w:rPr>
                <w:rFonts w:hint="default" w:ascii="Times New Roman" w:hAnsi="Times New Roman" w:eastAsia="宋体" w:cs="Times New Roman"/>
                <w:b/>
                <w:bCs w:val="0"/>
                <w:color w:val="auto"/>
                <w:spacing w:val="-10"/>
                <w:sz w:val="24"/>
                <w:szCs w:val="24"/>
                <w:highlight w:val="none"/>
                <w:lang w:val="en-US" w:eastAsia="zh-CN"/>
              </w:rPr>
              <w:t>3</w:t>
            </w:r>
            <w:r>
              <w:rPr>
                <w:rFonts w:hint="eastAsia" w:cs="Times New Roman"/>
                <w:b/>
                <w:bCs w:val="0"/>
                <w:color w:val="auto"/>
                <w:spacing w:val="-10"/>
                <w:sz w:val="24"/>
                <w:szCs w:val="24"/>
                <w:highlight w:val="none"/>
                <w:lang w:val="en-US" w:eastAsia="zh-CN"/>
              </w:rPr>
              <w:t>、</w:t>
            </w:r>
            <w:r>
              <w:rPr>
                <w:rFonts w:hint="default" w:ascii="Times New Roman" w:hAnsi="Times New Roman" w:eastAsia="宋体" w:cs="Times New Roman"/>
                <w:b/>
                <w:bCs w:val="0"/>
                <w:color w:val="auto"/>
                <w:spacing w:val="-10"/>
                <w:sz w:val="24"/>
                <w:szCs w:val="24"/>
                <w:highlight w:val="none"/>
                <w:lang w:val="en-US" w:eastAsia="zh-CN"/>
              </w:rPr>
              <w:t>噪声</w:t>
            </w:r>
          </w:p>
          <w:p w14:paraId="345BAE71">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宋体" w:cs="Times New Roman"/>
                <w:b/>
                <w:bCs w:val="0"/>
                <w:color w:val="auto"/>
                <w:spacing w:val="0"/>
                <w:sz w:val="24"/>
                <w:szCs w:val="24"/>
                <w:highlight w:val="none"/>
                <w:lang w:val="en-US" w:eastAsia="zh-CN"/>
              </w:rPr>
            </w:pPr>
            <w:r>
              <w:rPr>
                <w:rFonts w:hint="default" w:ascii="Times New Roman" w:hAnsi="Times New Roman" w:eastAsia="宋体" w:cs="Times New Roman"/>
                <w:b/>
                <w:bCs w:val="0"/>
                <w:color w:val="auto"/>
                <w:spacing w:val="0"/>
                <w:sz w:val="24"/>
                <w:szCs w:val="24"/>
                <w:highlight w:val="none"/>
                <w:lang w:val="en-US" w:eastAsia="zh-CN"/>
              </w:rPr>
              <w:t>3.1本项目噪声污染源分析</w:t>
            </w:r>
          </w:p>
          <w:p w14:paraId="73F63129">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宋体" w:cs="Times New Roman"/>
                <w:bCs/>
                <w:color w:val="auto"/>
                <w:spacing w:val="0"/>
                <w:sz w:val="24"/>
                <w:szCs w:val="24"/>
                <w:highlight w:val="none"/>
                <w:lang w:val="en-US" w:eastAsia="zh-CN"/>
              </w:rPr>
            </w:pPr>
            <w:r>
              <w:rPr>
                <w:rFonts w:hint="default" w:ascii="Times New Roman" w:hAnsi="Times New Roman" w:eastAsia="宋体" w:cs="Times New Roman"/>
                <w:bCs/>
                <w:color w:val="auto"/>
                <w:spacing w:val="0"/>
                <w:sz w:val="24"/>
                <w:szCs w:val="24"/>
                <w:highlight w:val="none"/>
                <w:lang w:val="en-US" w:eastAsia="zh-CN"/>
              </w:rPr>
              <w:t>本项目营运期主要噪声源为生产设备运行时产生的噪声，噪声源强</w:t>
            </w:r>
            <w:r>
              <w:rPr>
                <w:rFonts w:hint="eastAsia" w:ascii="Times New Roman" w:hAnsi="Times New Roman" w:eastAsia="宋体" w:cs="Times New Roman"/>
                <w:bCs/>
                <w:color w:val="auto"/>
                <w:spacing w:val="0"/>
                <w:sz w:val="24"/>
                <w:szCs w:val="24"/>
                <w:highlight w:val="none"/>
                <w:lang w:val="en-US" w:eastAsia="zh-CN"/>
              </w:rPr>
              <w:t>75</w:t>
            </w:r>
            <w:r>
              <w:rPr>
                <w:rFonts w:hint="default" w:ascii="Times New Roman" w:hAnsi="Times New Roman" w:eastAsia="宋体" w:cs="Times New Roman"/>
                <w:bCs/>
                <w:color w:val="auto"/>
                <w:spacing w:val="0"/>
                <w:sz w:val="24"/>
                <w:szCs w:val="24"/>
                <w:highlight w:val="none"/>
                <w:lang w:val="en-US" w:eastAsia="zh-CN"/>
              </w:rPr>
              <w:t>-</w:t>
            </w:r>
            <w:r>
              <w:rPr>
                <w:rFonts w:hint="eastAsia" w:cs="Times New Roman"/>
                <w:bCs/>
                <w:color w:val="auto"/>
                <w:spacing w:val="0"/>
                <w:sz w:val="24"/>
                <w:szCs w:val="24"/>
                <w:highlight w:val="none"/>
                <w:lang w:val="en-US" w:eastAsia="zh-CN"/>
              </w:rPr>
              <w:t>95</w:t>
            </w:r>
            <w:r>
              <w:rPr>
                <w:rFonts w:hint="default" w:ascii="Times New Roman" w:hAnsi="Times New Roman" w:eastAsia="宋体" w:cs="Times New Roman"/>
                <w:bCs/>
                <w:color w:val="auto"/>
                <w:spacing w:val="0"/>
                <w:sz w:val="24"/>
                <w:szCs w:val="24"/>
                <w:highlight w:val="none"/>
                <w:lang w:val="en-US" w:eastAsia="zh-CN"/>
              </w:rPr>
              <w:t>dB（A）。根据建设单位提供信息，为降低各类设备产生的噪声对周围环境的影响，满足相应的区域声环境标准，采取如下防治措施：</w:t>
            </w:r>
          </w:p>
          <w:p w14:paraId="0A02F937">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eastAsia" w:ascii="Times New Roman" w:hAnsi="Times New Roman" w:eastAsia="宋体" w:cs="Times New Roman"/>
                <w:bCs/>
                <w:color w:val="auto"/>
                <w:spacing w:val="0"/>
                <w:sz w:val="24"/>
                <w:szCs w:val="24"/>
                <w:highlight w:val="none"/>
                <w:lang w:val="en-US" w:eastAsia="zh-CN"/>
              </w:rPr>
            </w:pPr>
            <w:r>
              <w:rPr>
                <w:rFonts w:hint="default" w:ascii="Times New Roman" w:hAnsi="Times New Roman" w:eastAsia="宋体" w:cs="Times New Roman"/>
                <w:bCs/>
                <w:color w:val="auto"/>
                <w:spacing w:val="0"/>
                <w:sz w:val="24"/>
                <w:szCs w:val="24"/>
                <w:highlight w:val="none"/>
                <w:lang w:val="en-US" w:eastAsia="zh-CN"/>
              </w:rPr>
              <w:t>①在组装设备的机座上均安装减振装置，如减振垫片等，减少振动和噪声传播</w:t>
            </w:r>
            <w:r>
              <w:rPr>
                <w:rFonts w:hint="eastAsia" w:ascii="Times New Roman" w:hAnsi="Times New Roman" w:eastAsia="宋体"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本次环评取基础减振降噪</w:t>
            </w:r>
            <w:r>
              <w:rPr>
                <w:rFonts w:hint="eastAsia" w:cs="Times New Roman"/>
                <w:bCs/>
                <w:color w:val="auto"/>
                <w:spacing w:val="0"/>
                <w:sz w:val="24"/>
                <w:szCs w:val="24"/>
                <w:highlight w:val="none"/>
                <w:lang w:val="en-US" w:eastAsia="zh-CN"/>
              </w:rPr>
              <w:t>5</w:t>
            </w:r>
            <w:r>
              <w:rPr>
                <w:rFonts w:hint="default" w:ascii="Times New Roman" w:hAnsi="Times New Roman" w:eastAsia="宋体" w:cs="Times New Roman"/>
                <w:bCs/>
                <w:color w:val="auto"/>
                <w:spacing w:val="0"/>
                <w:sz w:val="24"/>
                <w:szCs w:val="24"/>
                <w:highlight w:val="none"/>
                <w:lang w:val="en-US" w:eastAsia="zh-CN"/>
              </w:rPr>
              <w:t>dB</w:t>
            </w:r>
            <w:r>
              <w:rPr>
                <w:rFonts w:hint="eastAsia" w:cs="Times New Roman"/>
                <w:bCs/>
                <w:color w:val="auto"/>
                <w:spacing w:val="0"/>
                <w:sz w:val="24"/>
                <w:szCs w:val="24"/>
                <w:highlight w:val="none"/>
                <w:lang w:val="en-US" w:eastAsia="zh-CN"/>
              </w:rPr>
              <w:t>（A）</w:t>
            </w:r>
            <w:r>
              <w:rPr>
                <w:rFonts w:hint="eastAsia" w:ascii="Times New Roman" w:hAnsi="Times New Roman" w:eastAsia="宋体"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②运营期加强对噪声设备的维护和保养等</w:t>
            </w:r>
            <w:r>
              <w:rPr>
                <w:rFonts w:hint="eastAsia" w:ascii="Times New Roman" w:hAnsi="Times New Roman" w:eastAsia="宋体"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③合理的总平面布置，进行有效的墙体隔声等，厂房</w:t>
            </w:r>
            <w:r>
              <w:rPr>
                <w:rFonts w:hint="eastAsia" w:cs="Times New Roman"/>
                <w:bCs/>
                <w:color w:val="auto"/>
                <w:spacing w:val="0"/>
                <w:sz w:val="24"/>
                <w:szCs w:val="24"/>
                <w:highlight w:val="none"/>
                <w:lang w:val="en-US" w:eastAsia="zh-CN"/>
              </w:rPr>
              <w:t>墙体围护结构为基础墙+单层彩钢结构</w:t>
            </w:r>
            <w:r>
              <w:rPr>
                <w:rFonts w:hint="default" w:ascii="Times New Roman" w:hAnsi="Times New Roman" w:eastAsia="宋体" w:cs="Times New Roman"/>
                <w:bCs/>
                <w:color w:val="auto"/>
                <w:spacing w:val="0"/>
                <w:sz w:val="24"/>
                <w:szCs w:val="24"/>
                <w:highlight w:val="none"/>
                <w:lang w:val="en-US" w:eastAsia="zh-CN"/>
              </w:rPr>
              <w:t>，</w:t>
            </w:r>
            <w:r>
              <w:rPr>
                <w:rFonts w:hint="eastAsia" w:cs="Times New Roman"/>
                <w:bCs/>
                <w:color w:val="auto"/>
                <w:spacing w:val="0"/>
                <w:sz w:val="24"/>
                <w:szCs w:val="24"/>
                <w:highlight w:val="none"/>
                <w:lang w:val="en-US" w:eastAsia="zh-CN"/>
              </w:rPr>
              <w:t>墙体</w:t>
            </w:r>
            <w:r>
              <w:rPr>
                <w:rFonts w:hint="default" w:ascii="Times New Roman" w:hAnsi="Times New Roman" w:eastAsia="宋体" w:cs="Times New Roman"/>
                <w:bCs/>
                <w:color w:val="auto"/>
                <w:spacing w:val="0"/>
                <w:sz w:val="24"/>
                <w:szCs w:val="24"/>
                <w:highlight w:val="none"/>
                <w:lang w:val="en-US" w:eastAsia="zh-CN"/>
              </w:rPr>
              <w:t>隔声值取</w:t>
            </w:r>
            <w:r>
              <w:rPr>
                <w:rFonts w:hint="eastAsia" w:cs="Times New Roman"/>
                <w:bCs/>
                <w:color w:val="auto"/>
                <w:spacing w:val="0"/>
                <w:sz w:val="24"/>
                <w:szCs w:val="24"/>
                <w:highlight w:val="none"/>
                <w:lang w:val="en-US" w:eastAsia="zh-CN"/>
              </w:rPr>
              <w:t>15</w:t>
            </w:r>
            <w:r>
              <w:rPr>
                <w:rFonts w:hint="default" w:ascii="Times New Roman" w:hAnsi="Times New Roman" w:eastAsia="宋体" w:cs="Times New Roman"/>
                <w:bCs/>
                <w:color w:val="auto"/>
                <w:spacing w:val="0"/>
                <w:sz w:val="24"/>
                <w:szCs w:val="24"/>
                <w:highlight w:val="none"/>
                <w:lang w:val="en-US" w:eastAsia="zh-CN"/>
              </w:rPr>
              <w:t>dB</w:t>
            </w:r>
            <w:r>
              <w:rPr>
                <w:rFonts w:hint="eastAsia" w:cs="Times New Roman"/>
                <w:bCs/>
                <w:color w:val="auto"/>
                <w:spacing w:val="0"/>
                <w:sz w:val="24"/>
                <w:szCs w:val="24"/>
                <w:highlight w:val="none"/>
                <w:lang w:val="en-US" w:eastAsia="zh-CN"/>
              </w:rPr>
              <w:t>（A）</w:t>
            </w:r>
            <w:r>
              <w:rPr>
                <w:rFonts w:hint="eastAsia" w:ascii="Times New Roman" w:hAnsi="Times New Roman" w:eastAsia="宋体" w:cs="Times New Roman"/>
                <w:bCs/>
                <w:color w:val="auto"/>
                <w:spacing w:val="0"/>
                <w:sz w:val="24"/>
                <w:szCs w:val="24"/>
                <w:highlight w:val="none"/>
                <w:lang w:val="en-US" w:eastAsia="zh-CN"/>
              </w:rPr>
              <w:t>。</w:t>
            </w:r>
          </w:p>
          <w:p w14:paraId="4DFAAE17">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color w:val="auto"/>
                <w:lang w:val="en-US" w:eastAsia="zh-CN"/>
              </w:rPr>
            </w:pPr>
            <w:r>
              <w:rPr>
                <w:rFonts w:hint="default" w:ascii="Times New Roman" w:hAnsi="Times New Roman" w:eastAsia="宋体" w:cs="Times New Roman"/>
                <w:bCs/>
                <w:color w:val="auto"/>
                <w:spacing w:val="0"/>
                <w:sz w:val="24"/>
                <w:szCs w:val="24"/>
                <w:highlight w:val="none"/>
                <w:lang w:val="en-US" w:eastAsia="zh-CN"/>
              </w:rPr>
              <w:t>项目噪声污染源及治理措施见下表</w:t>
            </w:r>
            <w:r>
              <w:rPr>
                <w:rFonts w:hint="eastAsia" w:cs="Times New Roman"/>
                <w:bCs/>
                <w:color w:val="auto"/>
                <w:spacing w:val="0"/>
                <w:sz w:val="24"/>
                <w:szCs w:val="24"/>
                <w:highlight w:val="none"/>
                <w:lang w:val="en-US" w:eastAsia="zh-CN"/>
              </w:rPr>
              <w:t>：</w:t>
            </w:r>
          </w:p>
        </w:tc>
      </w:tr>
    </w:tbl>
    <w:p w14:paraId="1E2ED5C3">
      <w:pPr>
        <w:pStyle w:val="15"/>
        <w:shd w:val="clear"/>
        <w:rPr>
          <w:color w:val="auto"/>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14668" w:type="dxa"/>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582"/>
        <w:gridCol w:w="14086"/>
      </w:tblGrid>
      <w:tr w14:paraId="6AC58A28">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8955" w:hRule="atLeast"/>
          <w:jc w:val="center"/>
        </w:trPr>
        <w:tc>
          <w:tcPr>
            <w:tcW w:w="582" w:type="dxa"/>
            <w:tcBorders>
              <w:tl2br w:val="nil"/>
              <w:tr2bl w:val="nil"/>
            </w:tcBorders>
            <w:vAlign w:val="center"/>
          </w:tcPr>
          <w:p w14:paraId="2C0004E5">
            <w:pPr>
              <w:pStyle w:val="43"/>
              <w:keepNext w:val="0"/>
              <w:keepLines w:val="0"/>
              <w:pageBreakBefore w:val="0"/>
              <w:widowControl w:val="0"/>
              <w:shd w:val="clear"/>
              <w:kinsoku/>
              <w:wordWrap/>
              <w:overflowPunct/>
              <w:topLinePunct w:val="0"/>
              <w:autoSpaceDE/>
              <w:autoSpaceDN/>
              <w:bidi w:val="0"/>
              <w:adjustRightInd/>
              <w:snapToGrid/>
              <w:spacing w:before="0" w:after="0"/>
              <w:jc w:val="center"/>
              <w:textAlignment w:val="auto"/>
              <w:rPr>
                <w:rFonts w:hint="default" w:ascii="Times New Roman" w:hAnsi="Times New Roman" w:cs="Times New Roman"/>
                <w:color w:val="auto"/>
                <w:highlight w:val="none"/>
                <w:vertAlign w:val="baseline"/>
              </w:rPr>
            </w:pPr>
          </w:p>
        </w:tc>
        <w:tc>
          <w:tcPr>
            <w:tcW w:w="14086" w:type="dxa"/>
            <w:tcBorders>
              <w:tl2br w:val="nil"/>
              <w:tr2bl w:val="nil"/>
            </w:tcBorders>
          </w:tcPr>
          <w:p w14:paraId="033285E5">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室内</w:t>
            </w:r>
            <w:r>
              <w:rPr>
                <w:rFonts w:hint="default" w:ascii="Times New Roman" w:hAnsi="Times New Roman" w:eastAsia="宋体" w:cs="Times New Roman"/>
                <w:b/>
                <w:bCs/>
                <w:color w:val="auto"/>
                <w:spacing w:val="0"/>
                <w:sz w:val="21"/>
                <w:szCs w:val="21"/>
                <w:highlight w:val="none"/>
                <w:lang w:val="en-US" w:eastAsia="zh-CN"/>
              </w:rPr>
              <w:t>噪声污染源及治理措施一览表</w:t>
            </w:r>
          </w:p>
          <w:tbl>
            <w:tblPr>
              <w:tblStyle w:val="32"/>
              <w:tblW w:w="13579" w:type="dxa"/>
              <w:tblInd w:w="93" w:type="dxa"/>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631"/>
              <w:gridCol w:w="1962"/>
              <w:gridCol w:w="1005"/>
              <w:gridCol w:w="829"/>
              <w:gridCol w:w="530"/>
              <w:gridCol w:w="530"/>
              <w:gridCol w:w="530"/>
              <w:gridCol w:w="531"/>
              <w:gridCol w:w="607"/>
              <w:gridCol w:w="584"/>
              <w:gridCol w:w="658"/>
              <w:gridCol w:w="631"/>
              <w:gridCol w:w="526"/>
              <w:gridCol w:w="526"/>
              <w:gridCol w:w="526"/>
              <w:gridCol w:w="533"/>
              <w:gridCol w:w="609"/>
              <w:gridCol w:w="609"/>
              <w:gridCol w:w="609"/>
              <w:gridCol w:w="613"/>
            </w:tblGrid>
            <w:tr w14:paraId="6C7932A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733" w:hRule="atLeast"/>
              </w:trPr>
              <w:tc>
                <w:tcPr>
                  <w:tcW w:w="2593" w:type="dxa"/>
                  <w:gridSpan w:val="2"/>
                  <w:vMerge w:val="restart"/>
                  <w:tcBorders>
                    <w:tl2br w:val="nil"/>
                    <w:tr2bl w:val="nil"/>
                  </w:tcBorders>
                  <w:shd w:val="clear" w:color="auto" w:fill="auto"/>
                  <w:vAlign w:val="center"/>
                </w:tcPr>
                <w:p w14:paraId="4544337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Style w:val="68"/>
                      <w:rFonts w:hint="default" w:ascii="Times New Roman" w:hAnsi="Times New Roman" w:cs="Times New Roman"/>
                      <w:color w:val="auto"/>
                      <w:sz w:val="21"/>
                      <w:szCs w:val="21"/>
                      <w:vertAlign w:val="baseline"/>
                      <w:lang w:val="en-US" w:eastAsia="zh-CN" w:bidi="ar"/>
                    </w:rPr>
                    <w:t>设备</w:t>
                  </w:r>
                  <w:r>
                    <w:rPr>
                      <w:rStyle w:val="81"/>
                      <w:rFonts w:hint="default" w:ascii="Times New Roman" w:hAnsi="Times New Roman" w:cs="Times New Roman"/>
                      <w:color w:val="auto"/>
                      <w:sz w:val="21"/>
                      <w:szCs w:val="21"/>
                      <w:vertAlign w:val="baseline"/>
                      <w:lang w:val="en-US" w:eastAsia="zh-CN" w:bidi="ar"/>
                    </w:rPr>
                    <w:t>序号和名称</w:t>
                  </w:r>
                </w:p>
              </w:tc>
              <w:tc>
                <w:tcPr>
                  <w:tcW w:w="1005" w:type="dxa"/>
                  <w:vMerge w:val="restart"/>
                  <w:tcBorders>
                    <w:tl2br w:val="nil"/>
                    <w:tr2bl w:val="nil"/>
                  </w:tcBorders>
                  <w:shd w:val="clear" w:color="auto" w:fill="auto"/>
                  <w:vAlign w:val="center"/>
                </w:tcPr>
                <w:p w14:paraId="0F723DD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声压级距离设备1m处</w:t>
                  </w:r>
                  <w:r>
                    <w:rPr>
                      <w:rStyle w:val="82"/>
                      <w:rFonts w:hint="default" w:ascii="Times New Roman" w:hAnsi="Times New Roman" w:eastAsia="宋体" w:cs="Times New Roman"/>
                      <w:color w:val="auto"/>
                      <w:sz w:val="21"/>
                      <w:szCs w:val="21"/>
                      <w:vertAlign w:val="baseline"/>
                      <w:lang w:val="en-US" w:eastAsia="zh-CN" w:bidi="ar"/>
                    </w:rPr>
                    <w:t>/dB(A)</w:t>
                  </w:r>
                </w:p>
              </w:tc>
              <w:tc>
                <w:tcPr>
                  <w:tcW w:w="829" w:type="dxa"/>
                  <w:vMerge w:val="restart"/>
                  <w:tcBorders>
                    <w:tl2br w:val="nil"/>
                    <w:tr2bl w:val="nil"/>
                  </w:tcBorders>
                  <w:shd w:val="clear" w:color="auto" w:fill="auto"/>
                  <w:vAlign w:val="center"/>
                </w:tcPr>
                <w:p w14:paraId="72C7CCB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lang w:val="en-US"/>
                    </w:rPr>
                  </w:pPr>
                  <w:r>
                    <w:rPr>
                      <w:rFonts w:hint="eastAsia" w:ascii="Times New Roman" w:hAnsi="Times New Roman" w:eastAsia="宋体" w:cs="Times New Roman"/>
                      <w:i w:val="0"/>
                      <w:iCs w:val="0"/>
                      <w:color w:val="auto"/>
                      <w:kern w:val="0"/>
                      <w:sz w:val="21"/>
                      <w:szCs w:val="21"/>
                      <w:u w:val="none"/>
                      <w:vertAlign w:val="baseline"/>
                      <w:lang w:val="en-US" w:eastAsia="zh-CN" w:bidi="ar"/>
                    </w:rPr>
                    <w:t>降噪效果</w:t>
                  </w:r>
                  <w:r>
                    <w:rPr>
                      <w:rStyle w:val="82"/>
                      <w:rFonts w:hint="default" w:ascii="Times New Roman" w:hAnsi="Times New Roman" w:eastAsia="宋体" w:cs="Times New Roman"/>
                      <w:color w:val="auto"/>
                      <w:sz w:val="21"/>
                      <w:szCs w:val="21"/>
                      <w:vertAlign w:val="baseline"/>
                      <w:lang w:val="en-US" w:eastAsia="zh-CN" w:bidi="ar"/>
                    </w:rPr>
                    <w:t>/dB(A)</w:t>
                  </w:r>
                </w:p>
              </w:tc>
              <w:tc>
                <w:tcPr>
                  <w:tcW w:w="2121" w:type="dxa"/>
                  <w:gridSpan w:val="4"/>
                  <w:tcBorders>
                    <w:tl2br w:val="nil"/>
                    <w:tr2bl w:val="nil"/>
                  </w:tcBorders>
                  <w:shd w:val="clear" w:color="auto" w:fill="auto"/>
                  <w:vAlign w:val="center"/>
                </w:tcPr>
                <w:p w14:paraId="549FB15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Style w:val="81"/>
                      <w:rFonts w:hint="default" w:ascii="Times New Roman" w:hAnsi="Times New Roman" w:cs="Times New Roman"/>
                      <w:color w:val="auto"/>
                      <w:sz w:val="21"/>
                      <w:szCs w:val="21"/>
                      <w:vertAlign w:val="baseline"/>
                      <w:lang w:val="en-US" w:eastAsia="zh-CN" w:bidi="ar"/>
                    </w:rPr>
                    <w:t>距室内边界距离</w:t>
                  </w:r>
                  <w:r>
                    <w:rPr>
                      <w:rStyle w:val="82"/>
                      <w:rFonts w:hint="default" w:ascii="Times New Roman" w:hAnsi="Times New Roman" w:eastAsia="宋体" w:cs="Times New Roman"/>
                      <w:color w:val="auto"/>
                      <w:sz w:val="21"/>
                      <w:szCs w:val="21"/>
                      <w:vertAlign w:val="baseline"/>
                      <w:lang w:val="en-US" w:eastAsia="zh-CN" w:bidi="ar"/>
                    </w:rPr>
                    <w:t>/m</w:t>
                  </w:r>
                </w:p>
              </w:tc>
              <w:tc>
                <w:tcPr>
                  <w:tcW w:w="2480" w:type="dxa"/>
                  <w:gridSpan w:val="4"/>
                  <w:tcBorders>
                    <w:tl2br w:val="nil"/>
                    <w:tr2bl w:val="nil"/>
                  </w:tcBorders>
                  <w:shd w:val="clear" w:color="auto" w:fill="auto"/>
                  <w:vAlign w:val="center"/>
                </w:tcPr>
                <w:p w14:paraId="1A22181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Style w:val="82"/>
                      <w:rFonts w:hint="default" w:ascii="Times New Roman" w:hAnsi="Times New Roman" w:eastAsia="宋体" w:cs="Times New Roman"/>
                      <w:color w:val="auto"/>
                      <w:sz w:val="21"/>
                      <w:szCs w:val="21"/>
                      <w:vertAlign w:val="baseline"/>
                      <w:lang w:val="en-US" w:eastAsia="zh-CN" w:bidi="ar"/>
                    </w:rPr>
                  </w:pPr>
                  <w:r>
                    <w:rPr>
                      <w:rStyle w:val="81"/>
                      <w:rFonts w:hint="default" w:ascii="Times New Roman" w:hAnsi="Times New Roman" w:cs="Times New Roman"/>
                      <w:color w:val="auto"/>
                      <w:sz w:val="21"/>
                      <w:szCs w:val="21"/>
                      <w:vertAlign w:val="baseline"/>
                      <w:lang w:val="en-US" w:eastAsia="zh-CN" w:bidi="ar"/>
                    </w:rPr>
                    <w:t>室内边界声级</w:t>
                  </w:r>
                  <w:r>
                    <w:rPr>
                      <w:rStyle w:val="82"/>
                      <w:rFonts w:hint="default" w:ascii="Times New Roman" w:hAnsi="Times New Roman" w:eastAsia="宋体" w:cs="Times New Roman"/>
                      <w:color w:val="auto"/>
                      <w:sz w:val="21"/>
                      <w:szCs w:val="21"/>
                      <w:vertAlign w:val="baseline"/>
                      <w:lang w:val="en-US" w:eastAsia="zh-CN" w:bidi="ar"/>
                    </w:rPr>
                    <w:t>/dB(A)</w:t>
                  </w:r>
                </w:p>
                <w:p w14:paraId="0679DEF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Style w:val="82"/>
                      <w:rFonts w:hint="default" w:ascii="Times New Roman" w:hAnsi="Times New Roman" w:eastAsia="宋体" w:cs="Times New Roman"/>
                      <w:color w:val="auto"/>
                      <w:sz w:val="21"/>
                      <w:szCs w:val="21"/>
                      <w:vertAlign w:val="baseline"/>
                      <w:lang w:val="en-US" w:eastAsia="zh-CN" w:bidi="ar"/>
                    </w:rPr>
                    <w:t>L</w:t>
                  </w:r>
                  <w:r>
                    <w:rPr>
                      <w:rStyle w:val="82"/>
                      <w:rFonts w:hint="default" w:ascii="Times New Roman" w:hAnsi="Times New Roman" w:eastAsia="宋体" w:cs="Times New Roman"/>
                      <w:color w:val="auto"/>
                      <w:sz w:val="21"/>
                      <w:szCs w:val="21"/>
                      <w:vertAlign w:val="subscript"/>
                      <w:lang w:val="en-US" w:eastAsia="zh-CN" w:bidi="ar"/>
                    </w:rPr>
                    <w:t>P1</w:t>
                  </w:r>
                </w:p>
              </w:tc>
              <w:tc>
                <w:tcPr>
                  <w:tcW w:w="2111" w:type="dxa"/>
                  <w:gridSpan w:val="4"/>
                  <w:tcBorders>
                    <w:tl2br w:val="nil"/>
                    <w:tr2bl w:val="nil"/>
                  </w:tcBorders>
                  <w:shd w:val="clear" w:color="auto" w:fill="auto"/>
                  <w:vAlign w:val="center"/>
                </w:tcPr>
                <w:p w14:paraId="69DA17F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Style w:val="81"/>
                      <w:rFonts w:hint="default" w:ascii="Times New Roman" w:hAnsi="Times New Roman" w:cs="Times New Roman"/>
                      <w:color w:val="auto"/>
                      <w:sz w:val="21"/>
                      <w:szCs w:val="21"/>
                      <w:vertAlign w:val="baseline"/>
                      <w:lang w:val="en-US" w:eastAsia="zh-CN" w:bidi="ar"/>
                    </w:rPr>
                    <w:t>建筑物插入损失</w:t>
                  </w:r>
                  <w:r>
                    <w:rPr>
                      <w:rStyle w:val="82"/>
                      <w:rFonts w:hint="default" w:ascii="Times New Roman" w:hAnsi="Times New Roman" w:eastAsia="宋体" w:cs="Times New Roman"/>
                      <w:color w:val="auto"/>
                      <w:sz w:val="21"/>
                      <w:szCs w:val="21"/>
                      <w:vertAlign w:val="baseline"/>
                      <w:lang w:val="en-US" w:eastAsia="zh-CN" w:bidi="ar"/>
                    </w:rPr>
                    <w:t>/dB(A)</w:t>
                  </w:r>
                </w:p>
              </w:tc>
              <w:tc>
                <w:tcPr>
                  <w:tcW w:w="2440" w:type="dxa"/>
                  <w:gridSpan w:val="4"/>
                  <w:tcBorders>
                    <w:tl2br w:val="nil"/>
                    <w:tr2bl w:val="nil"/>
                  </w:tcBorders>
                  <w:shd w:val="clear" w:color="auto" w:fill="auto"/>
                  <w:vAlign w:val="center"/>
                </w:tcPr>
                <w:p w14:paraId="4DD4844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Style w:val="81"/>
                      <w:rFonts w:hint="default" w:ascii="Times New Roman" w:hAnsi="Times New Roman" w:cs="Times New Roman"/>
                      <w:color w:val="auto"/>
                      <w:sz w:val="21"/>
                      <w:szCs w:val="21"/>
                      <w:vertAlign w:val="baseline"/>
                      <w:lang w:val="en-US" w:eastAsia="zh-CN" w:bidi="ar"/>
                    </w:rPr>
                    <w:t>建筑物外</w:t>
                  </w:r>
                  <w:r>
                    <w:rPr>
                      <w:rStyle w:val="82"/>
                      <w:rFonts w:hint="default" w:ascii="Times New Roman" w:hAnsi="Times New Roman" w:eastAsia="宋体" w:cs="Times New Roman"/>
                      <w:color w:val="auto"/>
                      <w:sz w:val="21"/>
                      <w:szCs w:val="21"/>
                      <w:vertAlign w:val="baseline"/>
                      <w:lang w:val="en-US" w:eastAsia="zh-CN" w:bidi="ar"/>
                    </w:rPr>
                    <w:t>1m</w:t>
                  </w:r>
                  <w:r>
                    <w:rPr>
                      <w:rStyle w:val="81"/>
                      <w:rFonts w:hint="default" w:ascii="Times New Roman" w:hAnsi="Times New Roman" w:cs="Times New Roman"/>
                      <w:color w:val="auto"/>
                      <w:sz w:val="21"/>
                      <w:szCs w:val="21"/>
                      <w:vertAlign w:val="baseline"/>
                      <w:lang w:val="en-US" w:eastAsia="zh-CN" w:bidi="ar"/>
                    </w:rPr>
                    <w:t>噪声声压级</w:t>
                  </w:r>
                  <w:r>
                    <w:rPr>
                      <w:rStyle w:val="82"/>
                      <w:rFonts w:hint="default" w:ascii="Times New Roman" w:hAnsi="Times New Roman" w:eastAsia="宋体" w:cs="Times New Roman"/>
                      <w:color w:val="auto"/>
                      <w:sz w:val="21"/>
                      <w:szCs w:val="21"/>
                      <w:vertAlign w:val="baseline"/>
                      <w:lang w:val="en-US" w:eastAsia="zh-CN" w:bidi="ar"/>
                    </w:rPr>
                    <w:t>/dB(A)L</w:t>
                  </w:r>
                  <w:r>
                    <w:rPr>
                      <w:rStyle w:val="82"/>
                      <w:rFonts w:hint="default" w:ascii="Times New Roman" w:hAnsi="Times New Roman" w:eastAsia="宋体" w:cs="Times New Roman"/>
                      <w:color w:val="auto"/>
                      <w:sz w:val="21"/>
                      <w:szCs w:val="21"/>
                      <w:vertAlign w:val="subscript"/>
                      <w:lang w:val="en-US" w:eastAsia="zh-CN" w:bidi="ar"/>
                    </w:rPr>
                    <w:t>P2</w:t>
                  </w:r>
                </w:p>
              </w:tc>
            </w:tr>
            <w:tr w14:paraId="0D9D0912">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5" w:hRule="atLeast"/>
              </w:trPr>
              <w:tc>
                <w:tcPr>
                  <w:tcW w:w="2593" w:type="dxa"/>
                  <w:gridSpan w:val="2"/>
                  <w:vMerge w:val="continue"/>
                  <w:tcBorders>
                    <w:tl2br w:val="nil"/>
                    <w:tr2bl w:val="nil"/>
                  </w:tcBorders>
                  <w:shd w:val="clear" w:color="auto" w:fill="auto"/>
                  <w:vAlign w:val="center"/>
                </w:tcPr>
                <w:p w14:paraId="30827BA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u w:val="none"/>
                      <w:vertAlign w:val="baseline"/>
                    </w:rPr>
                  </w:pPr>
                </w:p>
              </w:tc>
              <w:tc>
                <w:tcPr>
                  <w:tcW w:w="1005" w:type="dxa"/>
                  <w:vMerge w:val="continue"/>
                  <w:tcBorders>
                    <w:tl2br w:val="nil"/>
                    <w:tr2bl w:val="nil"/>
                  </w:tcBorders>
                  <w:shd w:val="clear" w:color="auto" w:fill="auto"/>
                  <w:vAlign w:val="center"/>
                </w:tcPr>
                <w:p w14:paraId="12C3ACB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u w:val="none"/>
                      <w:vertAlign w:val="baseline"/>
                    </w:rPr>
                  </w:pPr>
                </w:p>
              </w:tc>
              <w:tc>
                <w:tcPr>
                  <w:tcW w:w="829" w:type="dxa"/>
                  <w:vMerge w:val="continue"/>
                  <w:tcBorders>
                    <w:tl2br w:val="nil"/>
                    <w:tr2bl w:val="nil"/>
                  </w:tcBorders>
                  <w:shd w:val="clear" w:color="auto" w:fill="auto"/>
                  <w:vAlign w:val="center"/>
                </w:tcPr>
                <w:p w14:paraId="2CF2B17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u w:val="none"/>
                      <w:vertAlign w:val="baseline"/>
                    </w:rPr>
                  </w:pPr>
                </w:p>
              </w:tc>
              <w:tc>
                <w:tcPr>
                  <w:tcW w:w="530" w:type="dxa"/>
                  <w:tcBorders>
                    <w:tl2br w:val="nil"/>
                    <w:tr2bl w:val="nil"/>
                  </w:tcBorders>
                  <w:shd w:val="clear" w:color="auto" w:fill="auto"/>
                  <w:vAlign w:val="center"/>
                </w:tcPr>
                <w:p w14:paraId="647BCB1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东</w:t>
                  </w:r>
                </w:p>
              </w:tc>
              <w:tc>
                <w:tcPr>
                  <w:tcW w:w="530" w:type="dxa"/>
                  <w:tcBorders>
                    <w:tl2br w:val="nil"/>
                    <w:tr2bl w:val="nil"/>
                  </w:tcBorders>
                  <w:shd w:val="clear" w:color="auto" w:fill="auto"/>
                  <w:vAlign w:val="center"/>
                </w:tcPr>
                <w:p w14:paraId="612BFA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西</w:t>
                  </w:r>
                </w:p>
              </w:tc>
              <w:tc>
                <w:tcPr>
                  <w:tcW w:w="530" w:type="dxa"/>
                  <w:tcBorders>
                    <w:tl2br w:val="nil"/>
                    <w:tr2bl w:val="nil"/>
                  </w:tcBorders>
                  <w:shd w:val="clear" w:color="auto" w:fill="auto"/>
                  <w:vAlign w:val="center"/>
                </w:tcPr>
                <w:p w14:paraId="2BDA07C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南</w:t>
                  </w:r>
                </w:p>
              </w:tc>
              <w:tc>
                <w:tcPr>
                  <w:tcW w:w="531" w:type="dxa"/>
                  <w:tcBorders>
                    <w:tl2br w:val="nil"/>
                    <w:tr2bl w:val="nil"/>
                  </w:tcBorders>
                  <w:shd w:val="clear" w:color="auto" w:fill="auto"/>
                  <w:vAlign w:val="center"/>
                </w:tcPr>
                <w:p w14:paraId="3C91A90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北</w:t>
                  </w:r>
                </w:p>
              </w:tc>
              <w:tc>
                <w:tcPr>
                  <w:tcW w:w="607" w:type="dxa"/>
                  <w:tcBorders>
                    <w:tl2br w:val="nil"/>
                    <w:tr2bl w:val="nil"/>
                  </w:tcBorders>
                  <w:shd w:val="clear" w:color="auto" w:fill="auto"/>
                  <w:vAlign w:val="center"/>
                </w:tcPr>
                <w:p w14:paraId="72E7B3B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东</w:t>
                  </w:r>
                </w:p>
              </w:tc>
              <w:tc>
                <w:tcPr>
                  <w:tcW w:w="584" w:type="dxa"/>
                  <w:tcBorders>
                    <w:tl2br w:val="nil"/>
                    <w:tr2bl w:val="nil"/>
                  </w:tcBorders>
                  <w:shd w:val="clear" w:color="auto" w:fill="auto"/>
                  <w:vAlign w:val="center"/>
                </w:tcPr>
                <w:p w14:paraId="2128FE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西</w:t>
                  </w:r>
                </w:p>
              </w:tc>
              <w:tc>
                <w:tcPr>
                  <w:tcW w:w="658" w:type="dxa"/>
                  <w:tcBorders>
                    <w:tl2br w:val="nil"/>
                    <w:tr2bl w:val="nil"/>
                  </w:tcBorders>
                  <w:shd w:val="clear" w:color="auto" w:fill="auto"/>
                  <w:vAlign w:val="center"/>
                </w:tcPr>
                <w:p w14:paraId="63A3D2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南</w:t>
                  </w:r>
                </w:p>
              </w:tc>
              <w:tc>
                <w:tcPr>
                  <w:tcW w:w="631" w:type="dxa"/>
                  <w:tcBorders>
                    <w:tl2br w:val="nil"/>
                    <w:tr2bl w:val="nil"/>
                  </w:tcBorders>
                  <w:shd w:val="clear" w:color="auto" w:fill="auto"/>
                  <w:vAlign w:val="center"/>
                </w:tcPr>
                <w:p w14:paraId="102004C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北</w:t>
                  </w:r>
                </w:p>
              </w:tc>
              <w:tc>
                <w:tcPr>
                  <w:tcW w:w="526" w:type="dxa"/>
                  <w:tcBorders>
                    <w:tl2br w:val="nil"/>
                    <w:tr2bl w:val="nil"/>
                  </w:tcBorders>
                  <w:shd w:val="clear" w:color="auto" w:fill="auto"/>
                  <w:vAlign w:val="center"/>
                </w:tcPr>
                <w:p w14:paraId="0D7468D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东</w:t>
                  </w:r>
                </w:p>
              </w:tc>
              <w:tc>
                <w:tcPr>
                  <w:tcW w:w="526" w:type="dxa"/>
                  <w:tcBorders>
                    <w:tl2br w:val="nil"/>
                    <w:tr2bl w:val="nil"/>
                  </w:tcBorders>
                  <w:shd w:val="clear" w:color="auto" w:fill="auto"/>
                  <w:vAlign w:val="center"/>
                </w:tcPr>
                <w:p w14:paraId="10E1E14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西</w:t>
                  </w:r>
                </w:p>
              </w:tc>
              <w:tc>
                <w:tcPr>
                  <w:tcW w:w="526" w:type="dxa"/>
                  <w:tcBorders>
                    <w:tl2br w:val="nil"/>
                    <w:tr2bl w:val="nil"/>
                  </w:tcBorders>
                  <w:shd w:val="clear" w:color="auto" w:fill="auto"/>
                  <w:vAlign w:val="center"/>
                </w:tcPr>
                <w:p w14:paraId="0217E7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南</w:t>
                  </w:r>
                </w:p>
              </w:tc>
              <w:tc>
                <w:tcPr>
                  <w:tcW w:w="533" w:type="dxa"/>
                  <w:tcBorders>
                    <w:tl2br w:val="nil"/>
                    <w:tr2bl w:val="nil"/>
                  </w:tcBorders>
                  <w:shd w:val="clear" w:color="auto" w:fill="auto"/>
                  <w:vAlign w:val="center"/>
                </w:tcPr>
                <w:p w14:paraId="199AA5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北</w:t>
                  </w:r>
                </w:p>
              </w:tc>
              <w:tc>
                <w:tcPr>
                  <w:tcW w:w="609" w:type="dxa"/>
                  <w:tcBorders>
                    <w:tl2br w:val="nil"/>
                    <w:tr2bl w:val="nil"/>
                  </w:tcBorders>
                  <w:shd w:val="clear" w:color="auto" w:fill="auto"/>
                  <w:vAlign w:val="center"/>
                </w:tcPr>
                <w:p w14:paraId="52734AC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东</w:t>
                  </w:r>
                </w:p>
              </w:tc>
              <w:tc>
                <w:tcPr>
                  <w:tcW w:w="609" w:type="dxa"/>
                  <w:tcBorders>
                    <w:tl2br w:val="nil"/>
                    <w:tr2bl w:val="nil"/>
                  </w:tcBorders>
                  <w:shd w:val="clear" w:color="auto" w:fill="auto"/>
                  <w:vAlign w:val="center"/>
                </w:tcPr>
                <w:p w14:paraId="765B409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西</w:t>
                  </w:r>
                </w:p>
              </w:tc>
              <w:tc>
                <w:tcPr>
                  <w:tcW w:w="609" w:type="dxa"/>
                  <w:tcBorders>
                    <w:tl2br w:val="nil"/>
                    <w:tr2bl w:val="nil"/>
                  </w:tcBorders>
                  <w:shd w:val="clear" w:color="auto" w:fill="auto"/>
                  <w:vAlign w:val="center"/>
                </w:tcPr>
                <w:p w14:paraId="4A378A1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南</w:t>
                  </w:r>
                </w:p>
              </w:tc>
              <w:tc>
                <w:tcPr>
                  <w:tcW w:w="613" w:type="dxa"/>
                  <w:tcBorders>
                    <w:tl2br w:val="nil"/>
                    <w:tr2bl w:val="nil"/>
                  </w:tcBorders>
                  <w:shd w:val="clear" w:color="auto" w:fill="auto"/>
                  <w:vAlign w:val="center"/>
                </w:tcPr>
                <w:p w14:paraId="78ADFA0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北</w:t>
                  </w:r>
                </w:p>
              </w:tc>
            </w:tr>
            <w:tr w14:paraId="0D9C24A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62C245D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1</w:t>
                  </w:r>
                </w:p>
              </w:tc>
              <w:tc>
                <w:tcPr>
                  <w:tcW w:w="1962" w:type="dxa"/>
                  <w:tcBorders>
                    <w:tl2br w:val="nil"/>
                    <w:tr2bl w:val="nil"/>
                  </w:tcBorders>
                  <w:shd w:val="clear" w:color="auto" w:fill="auto"/>
                  <w:noWrap/>
                  <w:vAlign w:val="center"/>
                </w:tcPr>
                <w:p w14:paraId="08D2EDE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颚式破碎机</w:t>
                  </w:r>
                </w:p>
              </w:tc>
              <w:tc>
                <w:tcPr>
                  <w:tcW w:w="1005" w:type="dxa"/>
                  <w:tcBorders>
                    <w:tl2br w:val="nil"/>
                    <w:tr2bl w:val="nil"/>
                  </w:tcBorders>
                  <w:shd w:val="clear" w:color="auto" w:fill="auto"/>
                  <w:vAlign w:val="center"/>
                </w:tcPr>
                <w:p w14:paraId="58DB747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95</w:t>
                  </w:r>
                </w:p>
              </w:tc>
              <w:tc>
                <w:tcPr>
                  <w:tcW w:w="829" w:type="dxa"/>
                  <w:tcBorders>
                    <w:tl2br w:val="nil"/>
                    <w:tr2bl w:val="nil"/>
                  </w:tcBorders>
                  <w:shd w:val="clear" w:color="auto" w:fill="auto"/>
                  <w:vAlign w:val="center"/>
                </w:tcPr>
                <w:p w14:paraId="42406E1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sz w:val="21"/>
                      <w:szCs w:val="21"/>
                      <w:u w:val="none"/>
                      <w:vertAlign w:val="baseline"/>
                    </w:rPr>
                  </w:pPr>
                  <w:r>
                    <w:rPr>
                      <w:rFonts w:hint="eastAsia" w:ascii="Times New Roman" w:hAnsi="Times New Roman" w:eastAsia="宋体" w:cs="Times New Roman"/>
                      <w:i w:val="0"/>
                      <w:iCs w:val="0"/>
                      <w:color w:val="auto"/>
                      <w:kern w:val="0"/>
                      <w:sz w:val="21"/>
                      <w:szCs w:val="21"/>
                      <w:u w:val="none"/>
                      <w:vertAlign w:val="baseline"/>
                      <w:lang w:val="en-US" w:eastAsia="zh-CN" w:bidi="ar"/>
                    </w:rPr>
                    <w:t>5</w:t>
                  </w:r>
                </w:p>
              </w:tc>
              <w:tc>
                <w:tcPr>
                  <w:tcW w:w="530" w:type="dxa"/>
                  <w:tcBorders>
                    <w:tl2br w:val="nil"/>
                    <w:tr2bl w:val="nil"/>
                  </w:tcBorders>
                  <w:shd w:val="clear" w:color="auto" w:fill="auto"/>
                  <w:noWrap/>
                  <w:vAlign w:val="center"/>
                </w:tcPr>
                <w:p w14:paraId="50D52B5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46</w:t>
                  </w:r>
                </w:p>
              </w:tc>
              <w:tc>
                <w:tcPr>
                  <w:tcW w:w="530" w:type="dxa"/>
                  <w:tcBorders>
                    <w:tl2br w:val="nil"/>
                    <w:tr2bl w:val="nil"/>
                  </w:tcBorders>
                  <w:shd w:val="clear" w:color="auto" w:fill="auto"/>
                  <w:noWrap/>
                  <w:vAlign w:val="center"/>
                </w:tcPr>
                <w:p w14:paraId="5D50628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50</w:t>
                  </w:r>
                </w:p>
              </w:tc>
              <w:tc>
                <w:tcPr>
                  <w:tcW w:w="530" w:type="dxa"/>
                  <w:tcBorders>
                    <w:tl2br w:val="nil"/>
                    <w:tr2bl w:val="nil"/>
                  </w:tcBorders>
                  <w:shd w:val="clear" w:color="auto" w:fill="auto"/>
                  <w:noWrap/>
                  <w:vAlign w:val="center"/>
                </w:tcPr>
                <w:p w14:paraId="3BB6AE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10</w:t>
                  </w:r>
                </w:p>
              </w:tc>
              <w:tc>
                <w:tcPr>
                  <w:tcW w:w="531" w:type="dxa"/>
                  <w:tcBorders>
                    <w:tl2br w:val="nil"/>
                    <w:tr2bl w:val="nil"/>
                  </w:tcBorders>
                  <w:shd w:val="clear" w:color="auto" w:fill="auto"/>
                  <w:noWrap/>
                  <w:vAlign w:val="center"/>
                </w:tcPr>
                <w:p w14:paraId="16AC867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35</w:t>
                  </w:r>
                </w:p>
              </w:tc>
              <w:tc>
                <w:tcPr>
                  <w:tcW w:w="607" w:type="dxa"/>
                  <w:tcBorders>
                    <w:tl2br w:val="nil"/>
                    <w:tr2bl w:val="nil"/>
                  </w:tcBorders>
                  <w:shd w:val="clear" w:color="auto" w:fill="auto"/>
                  <w:vAlign w:val="center"/>
                </w:tcPr>
                <w:p w14:paraId="2806E39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72.7</w:t>
                  </w:r>
                </w:p>
              </w:tc>
              <w:tc>
                <w:tcPr>
                  <w:tcW w:w="584" w:type="dxa"/>
                  <w:tcBorders>
                    <w:tl2br w:val="nil"/>
                    <w:tr2bl w:val="nil"/>
                  </w:tcBorders>
                  <w:shd w:val="clear" w:color="auto" w:fill="auto"/>
                  <w:vAlign w:val="center"/>
                </w:tcPr>
                <w:p w14:paraId="1879FCD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72.7</w:t>
                  </w:r>
                </w:p>
              </w:tc>
              <w:tc>
                <w:tcPr>
                  <w:tcW w:w="658" w:type="dxa"/>
                  <w:tcBorders>
                    <w:tl2br w:val="nil"/>
                    <w:tr2bl w:val="nil"/>
                  </w:tcBorders>
                  <w:shd w:val="clear" w:color="auto" w:fill="auto"/>
                  <w:vAlign w:val="center"/>
                </w:tcPr>
                <w:p w14:paraId="74495DF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73.7</w:t>
                  </w:r>
                </w:p>
              </w:tc>
              <w:tc>
                <w:tcPr>
                  <w:tcW w:w="631" w:type="dxa"/>
                  <w:tcBorders>
                    <w:tl2br w:val="nil"/>
                    <w:tr2bl w:val="nil"/>
                  </w:tcBorders>
                  <w:shd w:val="clear" w:color="auto" w:fill="auto"/>
                  <w:vAlign w:val="center"/>
                </w:tcPr>
                <w:p w14:paraId="4B2A597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72.7</w:t>
                  </w:r>
                </w:p>
              </w:tc>
              <w:tc>
                <w:tcPr>
                  <w:tcW w:w="526" w:type="dxa"/>
                  <w:tcBorders>
                    <w:tl2br w:val="nil"/>
                    <w:tr2bl w:val="nil"/>
                  </w:tcBorders>
                  <w:shd w:val="clear" w:color="auto" w:fill="auto"/>
                  <w:vAlign w:val="center"/>
                </w:tcPr>
                <w:p w14:paraId="7863264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lang w:val="en-US"/>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0CE97C7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5C0A05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33" w:type="dxa"/>
                  <w:tcBorders>
                    <w:tl2br w:val="nil"/>
                    <w:tr2bl w:val="nil"/>
                  </w:tcBorders>
                  <w:shd w:val="clear" w:color="auto" w:fill="auto"/>
                  <w:vAlign w:val="center"/>
                </w:tcPr>
                <w:p w14:paraId="5916BB0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609" w:type="dxa"/>
                  <w:tcBorders>
                    <w:tl2br w:val="nil"/>
                    <w:tr2bl w:val="nil"/>
                  </w:tcBorders>
                  <w:shd w:val="clear" w:color="auto" w:fill="auto"/>
                  <w:vAlign w:val="center"/>
                </w:tcPr>
                <w:p w14:paraId="453EB07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51.7 </w:t>
                  </w:r>
                </w:p>
              </w:tc>
              <w:tc>
                <w:tcPr>
                  <w:tcW w:w="609" w:type="dxa"/>
                  <w:tcBorders>
                    <w:tl2br w:val="nil"/>
                    <w:tr2bl w:val="nil"/>
                  </w:tcBorders>
                  <w:shd w:val="clear" w:color="auto" w:fill="auto"/>
                  <w:vAlign w:val="center"/>
                </w:tcPr>
                <w:p w14:paraId="6E7DB35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51.7 </w:t>
                  </w:r>
                </w:p>
              </w:tc>
              <w:tc>
                <w:tcPr>
                  <w:tcW w:w="609" w:type="dxa"/>
                  <w:tcBorders>
                    <w:tl2br w:val="nil"/>
                    <w:tr2bl w:val="nil"/>
                  </w:tcBorders>
                  <w:shd w:val="clear" w:color="auto" w:fill="auto"/>
                  <w:vAlign w:val="center"/>
                </w:tcPr>
                <w:p w14:paraId="73DAD63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52.7 </w:t>
                  </w:r>
                </w:p>
              </w:tc>
              <w:tc>
                <w:tcPr>
                  <w:tcW w:w="613" w:type="dxa"/>
                  <w:tcBorders>
                    <w:tl2br w:val="nil"/>
                    <w:tr2bl w:val="nil"/>
                  </w:tcBorders>
                  <w:shd w:val="clear" w:color="auto" w:fill="auto"/>
                  <w:vAlign w:val="center"/>
                </w:tcPr>
                <w:p w14:paraId="0D9B9FE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51.7 </w:t>
                  </w:r>
                </w:p>
              </w:tc>
            </w:tr>
            <w:tr w14:paraId="7C66A20A">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4A5996E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2</w:t>
                  </w:r>
                </w:p>
              </w:tc>
              <w:tc>
                <w:tcPr>
                  <w:tcW w:w="1962" w:type="dxa"/>
                  <w:tcBorders>
                    <w:tl2br w:val="nil"/>
                    <w:tr2bl w:val="nil"/>
                  </w:tcBorders>
                  <w:shd w:val="clear" w:color="auto" w:fill="auto"/>
                  <w:noWrap/>
                  <w:vAlign w:val="center"/>
                </w:tcPr>
                <w:p w14:paraId="66E4985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皮带输送机</w:t>
                  </w:r>
                </w:p>
              </w:tc>
              <w:tc>
                <w:tcPr>
                  <w:tcW w:w="1005" w:type="dxa"/>
                  <w:tcBorders>
                    <w:tl2br w:val="nil"/>
                    <w:tr2bl w:val="nil"/>
                  </w:tcBorders>
                  <w:shd w:val="clear" w:color="auto" w:fill="auto"/>
                  <w:vAlign w:val="center"/>
                </w:tcPr>
                <w:p w14:paraId="48F053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75</w:t>
                  </w:r>
                </w:p>
              </w:tc>
              <w:tc>
                <w:tcPr>
                  <w:tcW w:w="829" w:type="dxa"/>
                  <w:tcBorders>
                    <w:tl2br w:val="nil"/>
                    <w:tr2bl w:val="nil"/>
                  </w:tcBorders>
                  <w:shd w:val="clear" w:color="auto" w:fill="auto"/>
                  <w:vAlign w:val="center"/>
                </w:tcPr>
                <w:p w14:paraId="6CFEBF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sz w:val="21"/>
                      <w:szCs w:val="21"/>
                      <w:u w:val="none"/>
                      <w:vertAlign w:val="baseline"/>
                    </w:rPr>
                  </w:pPr>
                  <w:r>
                    <w:rPr>
                      <w:rFonts w:hint="eastAsia" w:ascii="Times New Roman" w:hAnsi="Times New Roman" w:eastAsia="宋体" w:cs="Times New Roman"/>
                      <w:i w:val="0"/>
                      <w:iCs w:val="0"/>
                      <w:color w:val="auto"/>
                      <w:kern w:val="0"/>
                      <w:sz w:val="21"/>
                      <w:szCs w:val="21"/>
                      <w:u w:val="none"/>
                      <w:vertAlign w:val="baseline"/>
                      <w:lang w:val="en-US" w:eastAsia="zh-CN" w:bidi="ar"/>
                    </w:rPr>
                    <w:t>5</w:t>
                  </w:r>
                </w:p>
              </w:tc>
              <w:tc>
                <w:tcPr>
                  <w:tcW w:w="530" w:type="dxa"/>
                  <w:tcBorders>
                    <w:tl2br w:val="nil"/>
                    <w:tr2bl w:val="nil"/>
                  </w:tcBorders>
                  <w:shd w:val="clear" w:color="auto" w:fill="auto"/>
                  <w:noWrap/>
                  <w:vAlign w:val="center"/>
                </w:tcPr>
                <w:p w14:paraId="232E6AF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50</w:t>
                  </w:r>
                </w:p>
              </w:tc>
              <w:tc>
                <w:tcPr>
                  <w:tcW w:w="530" w:type="dxa"/>
                  <w:tcBorders>
                    <w:tl2br w:val="nil"/>
                    <w:tr2bl w:val="nil"/>
                  </w:tcBorders>
                  <w:shd w:val="clear" w:color="auto" w:fill="auto"/>
                  <w:noWrap/>
                  <w:vAlign w:val="center"/>
                </w:tcPr>
                <w:p w14:paraId="5719F26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39</w:t>
                  </w:r>
                </w:p>
              </w:tc>
              <w:tc>
                <w:tcPr>
                  <w:tcW w:w="530" w:type="dxa"/>
                  <w:tcBorders>
                    <w:tl2br w:val="nil"/>
                    <w:tr2bl w:val="nil"/>
                  </w:tcBorders>
                  <w:shd w:val="clear" w:color="auto" w:fill="auto"/>
                  <w:noWrap/>
                  <w:vAlign w:val="center"/>
                </w:tcPr>
                <w:p w14:paraId="689FE3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11</w:t>
                  </w:r>
                </w:p>
              </w:tc>
              <w:tc>
                <w:tcPr>
                  <w:tcW w:w="531" w:type="dxa"/>
                  <w:tcBorders>
                    <w:tl2br w:val="nil"/>
                    <w:tr2bl w:val="nil"/>
                  </w:tcBorders>
                  <w:shd w:val="clear" w:color="auto" w:fill="auto"/>
                  <w:noWrap/>
                  <w:vAlign w:val="center"/>
                </w:tcPr>
                <w:p w14:paraId="735912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36</w:t>
                  </w:r>
                </w:p>
              </w:tc>
              <w:tc>
                <w:tcPr>
                  <w:tcW w:w="607" w:type="dxa"/>
                  <w:tcBorders>
                    <w:tl2br w:val="nil"/>
                    <w:tr2bl w:val="nil"/>
                  </w:tcBorders>
                  <w:shd w:val="clear" w:color="auto" w:fill="auto"/>
                  <w:vAlign w:val="center"/>
                </w:tcPr>
                <w:p w14:paraId="5C35C31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52.7</w:t>
                  </w:r>
                </w:p>
              </w:tc>
              <w:tc>
                <w:tcPr>
                  <w:tcW w:w="584" w:type="dxa"/>
                  <w:tcBorders>
                    <w:tl2br w:val="nil"/>
                    <w:tr2bl w:val="nil"/>
                  </w:tcBorders>
                  <w:shd w:val="clear" w:color="auto" w:fill="auto"/>
                  <w:vAlign w:val="center"/>
                </w:tcPr>
                <w:p w14:paraId="5BA7880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52.7</w:t>
                  </w:r>
                </w:p>
              </w:tc>
              <w:tc>
                <w:tcPr>
                  <w:tcW w:w="658" w:type="dxa"/>
                  <w:tcBorders>
                    <w:tl2br w:val="nil"/>
                    <w:tr2bl w:val="nil"/>
                  </w:tcBorders>
                  <w:shd w:val="clear" w:color="auto" w:fill="auto"/>
                  <w:vAlign w:val="center"/>
                </w:tcPr>
                <w:p w14:paraId="32C617C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53.5</w:t>
                  </w:r>
                </w:p>
              </w:tc>
              <w:tc>
                <w:tcPr>
                  <w:tcW w:w="631" w:type="dxa"/>
                  <w:tcBorders>
                    <w:tl2br w:val="nil"/>
                    <w:tr2bl w:val="nil"/>
                  </w:tcBorders>
                  <w:shd w:val="clear" w:color="auto" w:fill="auto"/>
                  <w:vAlign w:val="center"/>
                </w:tcPr>
                <w:p w14:paraId="60A575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52.7</w:t>
                  </w:r>
                </w:p>
              </w:tc>
              <w:tc>
                <w:tcPr>
                  <w:tcW w:w="526" w:type="dxa"/>
                  <w:tcBorders>
                    <w:tl2br w:val="nil"/>
                    <w:tr2bl w:val="nil"/>
                  </w:tcBorders>
                  <w:shd w:val="clear" w:color="auto" w:fill="auto"/>
                  <w:vAlign w:val="center"/>
                </w:tcPr>
                <w:p w14:paraId="57990E7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646EA8B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60FC436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33" w:type="dxa"/>
                  <w:tcBorders>
                    <w:tl2br w:val="nil"/>
                    <w:tr2bl w:val="nil"/>
                  </w:tcBorders>
                  <w:shd w:val="clear" w:color="auto" w:fill="auto"/>
                  <w:vAlign w:val="center"/>
                </w:tcPr>
                <w:p w14:paraId="2F87F26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609" w:type="dxa"/>
                  <w:tcBorders>
                    <w:tl2br w:val="nil"/>
                    <w:tr2bl w:val="nil"/>
                  </w:tcBorders>
                  <w:shd w:val="clear" w:color="auto" w:fill="auto"/>
                  <w:vAlign w:val="center"/>
                </w:tcPr>
                <w:p w14:paraId="3B16F06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31.7 </w:t>
                  </w:r>
                </w:p>
              </w:tc>
              <w:tc>
                <w:tcPr>
                  <w:tcW w:w="609" w:type="dxa"/>
                  <w:tcBorders>
                    <w:tl2br w:val="nil"/>
                    <w:tr2bl w:val="nil"/>
                  </w:tcBorders>
                  <w:shd w:val="clear" w:color="auto" w:fill="auto"/>
                  <w:vAlign w:val="center"/>
                </w:tcPr>
                <w:p w14:paraId="0F1169C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31.7 </w:t>
                  </w:r>
                </w:p>
              </w:tc>
              <w:tc>
                <w:tcPr>
                  <w:tcW w:w="609" w:type="dxa"/>
                  <w:tcBorders>
                    <w:tl2br w:val="nil"/>
                    <w:tr2bl w:val="nil"/>
                  </w:tcBorders>
                  <w:shd w:val="clear" w:color="auto" w:fill="auto"/>
                  <w:vAlign w:val="center"/>
                </w:tcPr>
                <w:p w14:paraId="6D786B3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32.5 </w:t>
                  </w:r>
                </w:p>
              </w:tc>
              <w:tc>
                <w:tcPr>
                  <w:tcW w:w="613" w:type="dxa"/>
                  <w:tcBorders>
                    <w:tl2br w:val="nil"/>
                    <w:tr2bl w:val="nil"/>
                  </w:tcBorders>
                  <w:shd w:val="clear" w:color="auto" w:fill="auto"/>
                  <w:vAlign w:val="center"/>
                </w:tcPr>
                <w:p w14:paraId="3C22932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31.7 </w:t>
                  </w:r>
                </w:p>
              </w:tc>
            </w:tr>
            <w:tr w14:paraId="79B78F7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69A3462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w:t>
                  </w:r>
                </w:p>
              </w:tc>
              <w:tc>
                <w:tcPr>
                  <w:tcW w:w="1962" w:type="dxa"/>
                  <w:tcBorders>
                    <w:tl2br w:val="nil"/>
                    <w:tr2bl w:val="nil"/>
                  </w:tcBorders>
                  <w:shd w:val="clear" w:color="auto" w:fill="auto"/>
                  <w:noWrap/>
                  <w:vAlign w:val="center"/>
                </w:tcPr>
                <w:p w14:paraId="0E6CCBD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圆锥破碎机</w:t>
                  </w:r>
                </w:p>
              </w:tc>
              <w:tc>
                <w:tcPr>
                  <w:tcW w:w="1005" w:type="dxa"/>
                  <w:tcBorders>
                    <w:tl2br w:val="nil"/>
                    <w:tr2bl w:val="nil"/>
                  </w:tcBorders>
                  <w:shd w:val="clear" w:color="auto" w:fill="auto"/>
                  <w:vAlign w:val="center"/>
                </w:tcPr>
                <w:p w14:paraId="7F0BB2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95</w:t>
                  </w:r>
                </w:p>
              </w:tc>
              <w:tc>
                <w:tcPr>
                  <w:tcW w:w="829" w:type="dxa"/>
                  <w:tcBorders>
                    <w:tl2br w:val="nil"/>
                    <w:tr2bl w:val="nil"/>
                  </w:tcBorders>
                  <w:shd w:val="clear" w:color="auto" w:fill="auto"/>
                  <w:vAlign w:val="center"/>
                </w:tcPr>
                <w:p w14:paraId="203BEAE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sz w:val="21"/>
                      <w:szCs w:val="21"/>
                      <w:u w:val="none"/>
                      <w:vertAlign w:val="baseline"/>
                    </w:rPr>
                  </w:pPr>
                  <w:r>
                    <w:rPr>
                      <w:rFonts w:hint="eastAsia" w:ascii="Times New Roman" w:hAnsi="Times New Roman" w:eastAsia="宋体" w:cs="Times New Roman"/>
                      <w:i w:val="0"/>
                      <w:iCs w:val="0"/>
                      <w:color w:val="auto"/>
                      <w:kern w:val="0"/>
                      <w:sz w:val="21"/>
                      <w:szCs w:val="21"/>
                      <w:u w:val="none"/>
                      <w:vertAlign w:val="baseline"/>
                      <w:lang w:val="en-US" w:eastAsia="zh-CN" w:bidi="ar"/>
                    </w:rPr>
                    <w:t>5</w:t>
                  </w:r>
                </w:p>
              </w:tc>
              <w:tc>
                <w:tcPr>
                  <w:tcW w:w="530" w:type="dxa"/>
                  <w:tcBorders>
                    <w:tl2br w:val="nil"/>
                    <w:tr2bl w:val="nil"/>
                  </w:tcBorders>
                  <w:shd w:val="clear" w:color="auto" w:fill="auto"/>
                  <w:noWrap/>
                  <w:vAlign w:val="center"/>
                </w:tcPr>
                <w:p w14:paraId="37A5623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61</w:t>
                  </w:r>
                </w:p>
              </w:tc>
              <w:tc>
                <w:tcPr>
                  <w:tcW w:w="530" w:type="dxa"/>
                  <w:tcBorders>
                    <w:tl2br w:val="nil"/>
                    <w:tr2bl w:val="nil"/>
                  </w:tcBorders>
                  <w:shd w:val="clear" w:color="auto" w:fill="auto"/>
                  <w:noWrap/>
                  <w:vAlign w:val="center"/>
                </w:tcPr>
                <w:p w14:paraId="3A3567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35</w:t>
                  </w:r>
                </w:p>
              </w:tc>
              <w:tc>
                <w:tcPr>
                  <w:tcW w:w="530" w:type="dxa"/>
                  <w:tcBorders>
                    <w:tl2br w:val="nil"/>
                    <w:tr2bl w:val="nil"/>
                  </w:tcBorders>
                  <w:shd w:val="clear" w:color="auto" w:fill="auto"/>
                  <w:noWrap/>
                  <w:vAlign w:val="center"/>
                </w:tcPr>
                <w:p w14:paraId="6C68C78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10</w:t>
                  </w:r>
                </w:p>
              </w:tc>
              <w:tc>
                <w:tcPr>
                  <w:tcW w:w="531" w:type="dxa"/>
                  <w:tcBorders>
                    <w:tl2br w:val="nil"/>
                    <w:tr2bl w:val="nil"/>
                  </w:tcBorders>
                  <w:shd w:val="clear" w:color="auto" w:fill="auto"/>
                  <w:noWrap/>
                  <w:vAlign w:val="center"/>
                </w:tcPr>
                <w:p w14:paraId="3353063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35</w:t>
                  </w:r>
                </w:p>
              </w:tc>
              <w:tc>
                <w:tcPr>
                  <w:tcW w:w="607" w:type="dxa"/>
                  <w:tcBorders>
                    <w:tl2br w:val="nil"/>
                    <w:tr2bl w:val="nil"/>
                  </w:tcBorders>
                  <w:shd w:val="clear" w:color="auto" w:fill="auto"/>
                  <w:vAlign w:val="center"/>
                </w:tcPr>
                <w:p w14:paraId="41CA0C5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72.7</w:t>
                  </w:r>
                </w:p>
              </w:tc>
              <w:tc>
                <w:tcPr>
                  <w:tcW w:w="584" w:type="dxa"/>
                  <w:tcBorders>
                    <w:tl2br w:val="nil"/>
                    <w:tr2bl w:val="nil"/>
                  </w:tcBorders>
                  <w:shd w:val="clear" w:color="auto" w:fill="auto"/>
                  <w:vAlign w:val="center"/>
                </w:tcPr>
                <w:p w14:paraId="0E1D68D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72.7</w:t>
                  </w:r>
                </w:p>
              </w:tc>
              <w:tc>
                <w:tcPr>
                  <w:tcW w:w="658" w:type="dxa"/>
                  <w:tcBorders>
                    <w:tl2br w:val="nil"/>
                    <w:tr2bl w:val="nil"/>
                  </w:tcBorders>
                  <w:shd w:val="clear" w:color="auto" w:fill="auto"/>
                  <w:vAlign w:val="center"/>
                </w:tcPr>
                <w:p w14:paraId="0A1E4B2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73.7</w:t>
                  </w:r>
                </w:p>
              </w:tc>
              <w:tc>
                <w:tcPr>
                  <w:tcW w:w="631" w:type="dxa"/>
                  <w:tcBorders>
                    <w:tl2br w:val="nil"/>
                    <w:tr2bl w:val="nil"/>
                  </w:tcBorders>
                  <w:shd w:val="clear" w:color="auto" w:fill="auto"/>
                  <w:vAlign w:val="center"/>
                </w:tcPr>
                <w:p w14:paraId="3F30995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72.7</w:t>
                  </w:r>
                </w:p>
              </w:tc>
              <w:tc>
                <w:tcPr>
                  <w:tcW w:w="526" w:type="dxa"/>
                  <w:tcBorders>
                    <w:tl2br w:val="nil"/>
                    <w:tr2bl w:val="nil"/>
                  </w:tcBorders>
                  <w:shd w:val="clear" w:color="auto" w:fill="auto"/>
                  <w:vAlign w:val="center"/>
                </w:tcPr>
                <w:p w14:paraId="6C535E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5CFB1DC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4BC078E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33" w:type="dxa"/>
                  <w:tcBorders>
                    <w:tl2br w:val="nil"/>
                    <w:tr2bl w:val="nil"/>
                  </w:tcBorders>
                  <w:shd w:val="clear" w:color="auto" w:fill="auto"/>
                  <w:vAlign w:val="center"/>
                </w:tcPr>
                <w:p w14:paraId="23EC8EA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609" w:type="dxa"/>
                  <w:tcBorders>
                    <w:tl2br w:val="nil"/>
                    <w:tr2bl w:val="nil"/>
                  </w:tcBorders>
                  <w:shd w:val="clear" w:color="auto" w:fill="auto"/>
                  <w:vAlign w:val="center"/>
                </w:tcPr>
                <w:p w14:paraId="13C320C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51.7 </w:t>
                  </w:r>
                </w:p>
              </w:tc>
              <w:tc>
                <w:tcPr>
                  <w:tcW w:w="609" w:type="dxa"/>
                  <w:tcBorders>
                    <w:tl2br w:val="nil"/>
                    <w:tr2bl w:val="nil"/>
                  </w:tcBorders>
                  <w:shd w:val="clear" w:color="auto" w:fill="auto"/>
                  <w:vAlign w:val="center"/>
                </w:tcPr>
                <w:p w14:paraId="713527D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51.7 </w:t>
                  </w:r>
                </w:p>
              </w:tc>
              <w:tc>
                <w:tcPr>
                  <w:tcW w:w="609" w:type="dxa"/>
                  <w:tcBorders>
                    <w:tl2br w:val="nil"/>
                    <w:tr2bl w:val="nil"/>
                  </w:tcBorders>
                  <w:shd w:val="clear" w:color="auto" w:fill="auto"/>
                  <w:vAlign w:val="center"/>
                </w:tcPr>
                <w:p w14:paraId="45D0850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52.7 </w:t>
                  </w:r>
                </w:p>
              </w:tc>
              <w:tc>
                <w:tcPr>
                  <w:tcW w:w="613" w:type="dxa"/>
                  <w:tcBorders>
                    <w:tl2br w:val="nil"/>
                    <w:tr2bl w:val="nil"/>
                  </w:tcBorders>
                  <w:shd w:val="clear" w:color="auto" w:fill="auto"/>
                  <w:vAlign w:val="center"/>
                </w:tcPr>
                <w:p w14:paraId="439B5E0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51.7 </w:t>
                  </w:r>
                </w:p>
              </w:tc>
            </w:tr>
            <w:tr w14:paraId="7DB1579B">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5A3ED21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4</w:t>
                  </w:r>
                </w:p>
              </w:tc>
              <w:tc>
                <w:tcPr>
                  <w:tcW w:w="1962" w:type="dxa"/>
                  <w:tcBorders>
                    <w:tl2br w:val="nil"/>
                    <w:tr2bl w:val="nil"/>
                  </w:tcBorders>
                  <w:shd w:val="clear" w:color="auto" w:fill="auto"/>
                  <w:noWrap/>
                  <w:vAlign w:val="center"/>
                </w:tcPr>
                <w:p w14:paraId="4D086AA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皮带输送机</w:t>
                  </w:r>
                </w:p>
              </w:tc>
              <w:tc>
                <w:tcPr>
                  <w:tcW w:w="1005" w:type="dxa"/>
                  <w:tcBorders>
                    <w:tl2br w:val="nil"/>
                    <w:tr2bl w:val="nil"/>
                  </w:tcBorders>
                  <w:shd w:val="clear" w:color="auto" w:fill="auto"/>
                  <w:vAlign w:val="center"/>
                </w:tcPr>
                <w:p w14:paraId="62B7476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75</w:t>
                  </w:r>
                </w:p>
              </w:tc>
              <w:tc>
                <w:tcPr>
                  <w:tcW w:w="829" w:type="dxa"/>
                  <w:tcBorders>
                    <w:tl2br w:val="nil"/>
                    <w:tr2bl w:val="nil"/>
                  </w:tcBorders>
                  <w:shd w:val="clear" w:color="auto" w:fill="auto"/>
                  <w:vAlign w:val="center"/>
                </w:tcPr>
                <w:p w14:paraId="698CC54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sz w:val="21"/>
                      <w:szCs w:val="21"/>
                      <w:u w:val="none"/>
                      <w:vertAlign w:val="baseline"/>
                    </w:rPr>
                  </w:pPr>
                  <w:r>
                    <w:rPr>
                      <w:rFonts w:hint="eastAsia" w:ascii="Times New Roman" w:hAnsi="Times New Roman" w:eastAsia="宋体" w:cs="Times New Roman"/>
                      <w:i w:val="0"/>
                      <w:iCs w:val="0"/>
                      <w:color w:val="auto"/>
                      <w:kern w:val="0"/>
                      <w:sz w:val="21"/>
                      <w:szCs w:val="21"/>
                      <w:u w:val="none"/>
                      <w:vertAlign w:val="baseline"/>
                      <w:lang w:val="en-US" w:eastAsia="zh-CN" w:bidi="ar"/>
                    </w:rPr>
                    <w:t>5</w:t>
                  </w:r>
                </w:p>
              </w:tc>
              <w:tc>
                <w:tcPr>
                  <w:tcW w:w="530" w:type="dxa"/>
                  <w:tcBorders>
                    <w:tl2br w:val="nil"/>
                    <w:tr2bl w:val="nil"/>
                  </w:tcBorders>
                  <w:shd w:val="clear" w:color="auto" w:fill="auto"/>
                  <w:noWrap/>
                  <w:vAlign w:val="center"/>
                </w:tcPr>
                <w:p w14:paraId="34643A7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65</w:t>
                  </w:r>
                </w:p>
              </w:tc>
              <w:tc>
                <w:tcPr>
                  <w:tcW w:w="530" w:type="dxa"/>
                  <w:tcBorders>
                    <w:tl2br w:val="nil"/>
                    <w:tr2bl w:val="nil"/>
                  </w:tcBorders>
                  <w:shd w:val="clear" w:color="auto" w:fill="auto"/>
                  <w:noWrap/>
                  <w:vAlign w:val="center"/>
                </w:tcPr>
                <w:p w14:paraId="2EA83DD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24</w:t>
                  </w:r>
                </w:p>
              </w:tc>
              <w:tc>
                <w:tcPr>
                  <w:tcW w:w="530" w:type="dxa"/>
                  <w:tcBorders>
                    <w:tl2br w:val="nil"/>
                    <w:tr2bl w:val="nil"/>
                  </w:tcBorders>
                  <w:shd w:val="clear" w:color="auto" w:fill="auto"/>
                  <w:noWrap/>
                  <w:vAlign w:val="center"/>
                </w:tcPr>
                <w:p w14:paraId="4AD9AE4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11</w:t>
                  </w:r>
                </w:p>
              </w:tc>
              <w:tc>
                <w:tcPr>
                  <w:tcW w:w="531" w:type="dxa"/>
                  <w:tcBorders>
                    <w:tl2br w:val="nil"/>
                    <w:tr2bl w:val="nil"/>
                  </w:tcBorders>
                  <w:shd w:val="clear" w:color="auto" w:fill="auto"/>
                  <w:noWrap/>
                  <w:vAlign w:val="center"/>
                </w:tcPr>
                <w:p w14:paraId="7D61AF3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36</w:t>
                  </w:r>
                </w:p>
              </w:tc>
              <w:tc>
                <w:tcPr>
                  <w:tcW w:w="607" w:type="dxa"/>
                  <w:tcBorders>
                    <w:tl2br w:val="nil"/>
                    <w:tr2bl w:val="nil"/>
                  </w:tcBorders>
                  <w:shd w:val="clear" w:color="auto" w:fill="auto"/>
                  <w:vAlign w:val="center"/>
                </w:tcPr>
                <w:p w14:paraId="1A8D0EE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52.7</w:t>
                  </w:r>
                </w:p>
              </w:tc>
              <w:tc>
                <w:tcPr>
                  <w:tcW w:w="584" w:type="dxa"/>
                  <w:tcBorders>
                    <w:tl2br w:val="nil"/>
                    <w:tr2bl w:val="nil"/>
                  </w:tcBorders>
                  <w:shd w:val="clear" w:color="auto" w:fill="auto"/>
                  <w:vAlign w:val="center"/>
                </w:tcPr>
                <w:p w14:paraId="14C2BEC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52.8</w:t>
                  </w:r>
                </w:p>
              </w:tc>
              <w:tc>
                <w:tcPr>
                  <w:tcW w:w="658" w:type="dxa"/>
                  <w:tcBorders>
                    <w:tl2br w:val="nil"/>
                    <w:tr2bl w:val="nil"/>
                  </w:tcBorders>
                  <w:shd w:val="clear" w:color="auto" w:fill="auto"/>
                  <w:vAlign w:val="center"/>
                </w:tcPr>
                <w:p w14:paraId="1035368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53.5</w:t>
                  </w:r>
                </w:p>
              </w:tc>
              <w:tc>
                <w:tcPr>
                  <w:tcW w:w="631" w:type="dxa"/>
                  <w:tcBorders>
                    <w:tl2br w:val="nil"/>
                    <w:tr2bl w:val="nil"/>
                  </w:tcBorders>
                  <w:shd w:val="clear" w:color="auto" w:fill="auto"/>
                  <w:vAlign w:val="center"/>
                </w:tcPr>
                <w:p w14:paraId="7A3C467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52.7</w:t>
                  </w:r>
                </w:p>
              </w:tc>
              <w:tc>
                <w:tcPr>
                  <w:tcW w:w="526" w:type="dxa"/>
                  <w:tcBorders>
                    <w:tl2br w:val="nil"/>
                    <w:tr2bl w:val="nil"/>
                  </w:tcBorders>
                  <w:shd w:val="clear" w:color="auto" w:fill="auto"/>
                  <w:vAlign w:val="center"/>
                </w:tcPr>
                <w:p w14:paraId="479E8A8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0C3700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4188864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33" w:type="dxa"/>
                  <w:tcBorders>
                    <w:tl2br w:val="nil"/>
                    <w:tr2bl w:val="nil"/>
                  </w:tcBorders>
                  <w:shd w:val="clear" w:color="auto" w:fill="auto"/>
                  <w:vAlign w:val="center"/>
                </w:tcPr>
                <w:p w14:paraId="7E62370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609" w:type="dxa"/>
                  <w:tcBorders>
                    <w:tl2br w:val="nil"/>
                    <w:tr2bl w:val="nil"/>
                  </w:tcBorders>
                  <w:shd w:val="clear" w:color="auto" w:fill="auto"/>
                  <w:vAlign w:val="center"/>
                </w:tcPr>
                <w:p w14:paraId="3FDD4EB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31.7 </w:t>
                  </w:r>
                </w:p>
              </w:tc>
              <w:tc>
                <w:tcPr>
                  <w:tcW w:w="609" w:type="dxa"/>
                  <w:tcBorders>
                    <w:tl2br w:val="nil"/>
                    <w:tr2bl w:val="nil"/>
                  </w:tcBorders>
                  <w:shd w:val="clear" w:color="auto" w:fill="auto"/>
                  <w:vAlign w:val="center"/>
                </w:tcPr>
                <w:p w14:paraId="49B02FE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31.8 </w:t>
                  </w:r>
                </w:p>
              </w:tc>
              <w:tc>
                <w:tcPr>
                  <w:tcW w:w="609" w:type="dxa"/>
                  <w:tcBorders>
                    <w:tl2br w:val="nil"/>
                    <w:tr2bl w:val="nil"/>
                  </w:tcBorders>
                  <w:shd w:val="clear" w:color="auto" w:fill="auto"/>
                  <w:vAlign w:val="center"/>
                </w:tcPr>
                <w:p w14:paraId="2C9EED5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32.5 </w:t>
                  </w:r>
                </w:p>
              </w:tc>
              <w:tc>
                <w:tcPr>
                  <w:tcW w:w="613" w:type="dxa"/>
                  <w:tcBorders>
                    <w:tl2br w:val="nil"/>
                    <w:tr2bl w:val="nil"/>
                  </w:tcBorders>
                  <w:shd w:val="clear" w:color="auto" w:fill="auto"/>
                  <w:vAlign w:val="center"/>
                </w:tcPr>
                <w:p w14:paraId="60B465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31.7 </w:t>
                  </w:r>
                </w:p>
              </w:tc>
            </w:tr>
            <w:tr w14:paraId="22F5F61A">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1A879E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w:t>
                  </w:r>
                </w:p>
              </w:tc>
              <w:tc>
                <w:tcPr>
                  <w:tcW w:w="1962" w:type="dxa"/>
                  <w:tcBorders>
                    <w:tl2br w:val="nil"/>
                    <w:tr2bl w:val="nil"/>
                  </w:tcBorders>
                  <w:shd w:val="clear" w:color="auto" w:fill="auto"/>
                  <w:noWrap/>
                  <w:vAlign w:val="center"/>
                </w:tcPr>
                <w:p w14:paraId="13FCC55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往复式摇筛</w:t>
                  </w:r>
                </w:p>
              </w:tc>
              <w:tc>
                <w:tcPr>
                  <w:tcW w:w="1005" w:type="dxa"/>
                  <w:tcBorders>
                    <w:tl2br w:val="nil"/>
                    <w:tr2bl w:val="nil"/>
                  </w:tcBorders>
                  <w:shd w:val="clear" w:color="auto" w:fill="auto"/>
                  <w:vAlign w:val="center"/>
                </w:tcPr>
                <w:p w14:paraId="11C0CB0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85</w:t>
                  </w:r>
                </w:p>
              </w:tc>
              <w:tc>
                <w:tcPr>
                  <w:tcW w:w="829" w:type="dxa"/>
                  <w:tcBorders>
                    <w:tl2br w:val="nil"/>
                    <w:tr2bl w:val="nil"/>
                  </w:tcBorders>
                  <w:shd w:val="clear" w:color="auto" w:fill="auto"/>
                  <w:vAlign w:val="center"/>
                </w:tcPr>
                <w:p w14:paraId="39DA65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sz w:val="21"/>
                      <w:szCs w:val="21"/>
                      <w:u w:val="none"/>
                      <w:vertAlign w:val="baseline"/>
                    </w:rPr>
                  </w:pPr>
                  <w:r>
                    <w:rPr>
                      <w:rFonts w:hint="eastAsia" w:ascii="Times New Roman" w:hAnsi="Times New Roman" w:eastAsia="宋体" w:cs="Times New Roman"/>
                      <w:i w:val="0"/>
                      <w:iCs w:val="0"/>
                      <w:color w:val="auto"/>
                      <w:kern w:val="0"/>
                      <w:sz w:val="21"/>
                      <w:szCs w:val="21"/>
                      <w:u w:val="none"/>
                      <w:vertAlign w:val="baseline"/>
                      <w:lang w:val="en-US" w:eastAsia="zh-CN" w:bidi="ar"/>
                    </w:rPr>
                    <w:t>5</w:t>
                  </w:r>
                </w:p>
              </w:tc>
              <w:tc>
                <w:tcPr>
                  <w:tcW w:w="530" w:type="dxa"/>
                  <w:tcBorders>
                    <w:tl2br w:val="nil"/>
                    <w:tr2bl w:val="nil"/>
                  </w:tcBorders>
                  <w:shd w:val="clear" w:color="auto" w:fill="auto"/>
                  <w:noWrap/>
                  <w:vAlign w:val="center"/>
                </w:tcPr>
                <w:p w14:paraId="1877766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76</w:t>
                  </w:r>
                </w:p>
              </w:tc>
              <w:tc>
                <w:tcPr>
                  <w:tcW w:w="530" w:type="dxa"/>
                  <w:tcBorders>
                    <w:tl2br w:val="nil"/>
                    <w:tr2bl w:val="nil"/>
                  </w:tcBorders>
                  <w:shd w:val="clear" w:color="auto" w:fill="auto"/>
                  <w:noWrap/>
                  <w:vAlign w:val="center"/>
                </w:tcPr>
                <w:p w14:paraId="34A537E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20</w:t>
                  </w:r>
                </w:p>
              </w:tc>
              <w:tc>
                <w:tcPr>
                  <w:tcW w:w="530" w:type="dxa"/>
                  <w:tcBorders>
                    <w:tl2br w:val="nil"/>
                    <w:tr2bl w:val="nil"/>
                  </w:tcBorders>
                  <w:shd w:val="clear" w:color="auto" w:fill="auto"/>
                  <w:noWrap/>
                  <w:vAlign w:val="center"/>
                </w:tcPr>
                <w:p w14:paraId="381273F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10</w:t>
                  </w:r>
                </w:p>
              </w:tc>
              <w:tc>
                <w:tcPr>
                  <w:tcW w:w="531" w:type="dxa"/>
                  <w:tcBorders>
                    <w:tl2br w:val="nil"/>
                    <w:tr2bl w:val="nil"/>
                  </w:tcBorders>
                  <w:shd w:val="clear" w:color="auto" w:fill="auto"/>
                  <w:noWrap/>
                  <w:vAlign w:val="center"/>
                </w:tcPr>
                <w:p w14:paraId="30DDF2E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35</w:t>
                  </w:r>
                </w:p>
              </w:tc>
              <w:tc>
                <w:tcPr>
                  <w:tcW w:w="607" w:type="dxa"/>
                  <w:tcBorders>
                    <w:tl2br w:val="nil"/>
                    <w:tr2bl w:val="nil"/>
                  </w:tcBorders>
                  <w:shd w:val="clear" w:color="auto" w:fill="auto"/>
                  <w:vAlign w:val="center"/>
                </w:tcPr>
                <w:p w14:paraId="4A8C633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62.6</w:t>
                  </w:r>
                </w:p>
              </w:tc>
              <w:tc>
                <w:tcPr>
                  <w:tcW w:w="584" w:type="dxa"/>
                  <w:tcBorders>
                    <w:tl2br w:val="nil"/>
                    <w:tr2bl w:val="nil"/>
                  </w:tcBorders>
                  <w:shd w:val="clear" w:color="auto" w:fill="auto"/>
                  <w:vAlign w:val="center"/>
                </w:tcPr>
                <w:p w14:paraId="7ADA227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62.9</w:t>
                  </w:r>
                </w:p>
              </w:tc>
              <w:tc>
                <w:tcPr>
                  <w:tcW w:w="658" w:type="dxa"/>
                  <w:tcBorders>
                    <w:tl2br w:val="nil"/>
                    <w:tr2bl w:val="nil"/>
                  </w:tcBorders>
                  <w:shd w:val="clear" w:color="auto" w:fill="auto"/>
                  <w:vAlign w:val="center"/>
                </w:tcPr>
                <w:p w14:paraId="0CF0880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63.7</w:t>
                  </w:r>
                </w:p>
              </w:tc>
              <w:tc>
                <w:tcPr>
                  <w:tcW w:w="631" w:type="dxa"/>
                  <w:tcBorders>
                    <w:tl2br w:val="nil"/>
                    <w:tr2bl w:val="nil"/>
                  </w:tcBorders>
                  <w:shd w:val="clear" w:color="auto" w:fill="auto"/>
                  <w:vAlign w:val="center"/>
                </w:tcPr>
                <w:p w14:paraId="4AFF640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62.7</w:t>
                  </w:r>
                </w:p>
              </w:tc>
              <w:tc>
                <w:tcPr>
                  <w:tcW w:w="526" w:type="dxa"/>
                  <w:tcBorders>
                    <w:tl2br w:val="nil"/>
                    <w:tr2bl w:val="nil"/>
                  </w:tcBorders>
                  <w:shd w:val="clear" w:color="auto" w:fill="auto"/>
                  <w:vAlign w:val="center"/>
                </w:tcPr>
                <w:p w14:paraId="4842BAE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54D402C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60395B6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33" w:type="dxa"/>
                  <w:tcBorders>
                    <w:tl2br w:val="nil"/>
                    <w:tr2bl w:val="nil"/>
                  </w:tcBorders>
                  <w:shd w:val="clear" w:color="auto" w:fill="auto"/>
                  <w:vAlign w:val="center"/>
                </w:tcPr>
                <w:p w14:paraId="0279813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609" w:type="dxa"/>
                  <w:tcBorders>
                    <w:tl2br w:val="nil"/>
                    <w:tr2bl w:val="nil"/>
                  </w:tcBorders>
                  <w:shd w:val="clear" w:color="auto" w:fill="auto"/>
                  <w:vAlign w:val="center"/>
                </w:tcPr>
                <w:p w14:paraId="5BBF70D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41.6 </w:t>
                  </w:r>
                </w:p>
              </w:tc>
              <w:tc>
                <w:tcPr>
                  <w:tcW w:w="609" w:type="dxa"/>
                  <w:tcBorders>
                    <w:tl2br w:val="nil"/>
                    <w:tr2bl w:val="nil"/>
                  </w:tcBorders>
                  <w:shd w:val="clear" w:color="auto" w:fill="auto"/>
                  <w:vAlign w:val="center"/>
                </w:tcPr>
                <w:p w14:paraId="2C8AFF0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41.9 </w:t>
                  </w:r>
                </w:p>
              </w:tc>
              <w:tc>
                <w:tcPr>
                  <w:tcW w:w="609" w:type="dxa"/>
                  <w:tcBorders>
                    <w:tl2br w:val="nil"/>
                    <w:tr2bl w:val="nil"/>
                  </w:tcBorders>
                  <w:shd w:val="clear" w:color="auto" w:fill="auto"/>
                  <w:vAlign w:val="center"/>
                </w:tcPr>
                <w:p w14:paraId="1C19AAD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42.7 </w:t>
                  </w:r>
                </w:p>
              </w:tc>
              <w:tc>
                <w:tcPr>
                  <w:tcW w:w="613" w:type="dxa"/>
                  <w:tcBorders>
                    <w:tl2br w:val="nil"/>
                    <w:tr2bl w:val="nil"/>
                  </w:tcBorders>
                  <w:shd w:val="clear" w:color="auto" w:fill="auto"/>
                  <w:vAlign w:val="center"/>
                </w:tcPr>
                <w:p w14:paraId="6D007B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41.7 </w:t>
                  </w:r>
                </w:p>
              </w:tc>
            </w:tr>
            <w:tr w14:paraId="71F9F906">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32D0CA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w:t>
                  </w:r>
                </w:p>
              </w:tc>
              <w:tc>
                <w:tcPr>
                  <w:tcW w:w="1962" w:type="dxa"/>
                  <w:tcBorders>
                    <w:tl2br w:val="nil"/>
                    <w:tr2bl w:val="nil"/>
                  </w:tcBorders>
                  <w:shd w:val="clear" w:color="auto" w:fill="auto"/>
                  <w:noWrap/>
                  <w:vAlign w:val="center"/>
                </w:tcPr>
                <w:p w14:paraId="627C0B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u w:val="none"/>
                      <w:vertAlign w:val="baseline"/>
                    </w:rPr>
                  </w:pPr>
                  <w:r>
                    <w:rPr>
                      <w:rFonts w:hint="default" w:ascii="Times New Roman" w:hAnsi="Times New Roman" w:eastAsia="宋体" w:cs="Times New Roman"/>
                      <w:i w:val="0"/>
                      <w:iCs w:val="0"/>
                      <w:color w:val="auto"/>
                      <w:kern w:val="0"/>
                      <w:sz w:val="21"/>
                      <w:szCs w:val="21"/>
                      <w:u w:val="none"/>
                      <w:vertAlign w:val="baseline"/>
                      <w:lang w:val="en-US" w:eastAsia="zh-CN" w:bidi="ar"/>
                    </w:rPr>
                    <w:t>风机（布袋除尘器）</w:t>
                  </w:r>
                </w:p>
              </w:tc>
              <w:tc>
                <w:tcPr>
                  <w:tcW w:w="1005" w:type="dxa"/>
                  <w:tcBorders>
                    <w:tl2br w:val="nil"/>
                    <w:tr2bl w:val="nil"/>
                  </w:tcBorders>
                  <w:shd w:val="clear" w:color="auto" w:fill="auto"/>
                  <w:vAlign w:val="center"/>
                </w:tcPr>
                <w:p w14:paraId="218E268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kern w:val="0"/>
                      <w:sz w:val="21"/>
                      <w:szCs w:val="21"/>
                      <w:u w:val="none"/>
                      <w:vertAlign w:val="baseline"/>
                      <w:lang w:val="en-US" w:eastAsia="zh-CN" w:bidi="ar"/>
                    </w:rPr>
                  </w:pPr>
                  <w:r>
                    <w:rPr>
                      <w:rFonts w:hint="default" w:ascii="Times New Roman" w:hAnsi="Times New Roman" w:eastAsia="宋体" w:cs="Times New Roman"/>
                      <w:i w:val="0"/>
                      <w:iCs w:val="0"/>
                      <w:color w:val="auto"/>
                      <w:kern w:val="0"/>
                      <w:sz w:val="21"/>
                      <w:szCs w:val="21"/>
                      <w:u w:val="none"/>
                      <w:vertAlign w:val="baseline"/>
                      <w:lang w:val="en-US" w:eastAsia="zh-CN" w:bidi="ar"/>
                    </w:rPr>
                    <w:t>90</w:t>
                  </w:r>
                </w:p>
              </w:tc>
              <w:tc>
                <w:tcPr>
                  <w:tcW w:w="829" w:type="dxa"/>
                  <w:tcBorders>
                    <w:tl2br w:val="nil"/>
                    <w:tr2bl w:val="nil"/>
                  </w:tcBorders>
                  <w:shd w:val="clear" w:color="auto" w:fill="auto"/>
                  <w:vAlign w:val="center"/>
                </w:tcPr>
                <w:p w14:paraId="71E0BAE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auto"/>
                      <w:sz w:val="21"/>
                      <w:szCs w:val="21"/>
                      <w:u w:val="none"/>
                      <w:vertAlign w:val="baseline"/>
                    </w:rPr>
                  </w:pPr>
                  <w:r>
                    <w:rPr>
                      <w:rFonts w:hint="eastAsia" w:ascii="Times New Roman" w:hAnsi="Times New Roman" w:eastAsia="宋体" w:cs="Times New Roman"/>
                      <w:i w:val="0"/>
                      <w:iCs w:val="0"/>
                      <w:color w:val="auto"/>
                      <w:kern w:val="0"/>
                      <w:sz w:val="21"/>
                      <w:szCs w:val="21"/>
                      <w:u w:val="none"/>
                      <w:vertAlign w:val="baseline"/>
                      <w:lang w:val="en-US" w:eastAsia="zh-CN" w:bidi="ar"/>
                    </w:rPr>
                    <w:t>5</w:t>
                  </w:r>
                </w:p>
              </w:tc>
              <w:tc>
                <w:tcPr>
                  <w:tcW w:w="530" w:type="dxa"/>
                  <w:tcBorders>
                    <w:tl2br w:val="nil"/>
                    <w:tr2bl w:val="nil"/>
                  </w:tcBorders>
                  <w:shd w:val="clear" w:color="auto" w:fill="auto"/>
                  <w:noWrap/>
                  <w:vAlign w:val="center"/>
                </w:tcPr>
                <w:p w14:paraId="6AF8082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48</w:t>
                  </w:r>
                </w:p>
              </w:tc>
              <w:tc>
                <w:tcPr>
                  <w:tcW w:w="530" w:type="dxa"/>
                  <w:tcBorders>
                    <w:tl2br w:val="nil"/>
                    <w:tr2bl w:val="nil"/>
                  </w:tcBorders>
                  <w:shd w:val="clear" w:color="auto" w:fill="auto"/>
                  <w:noWrap/>
                  <w:vAlign w:val="center"/>
                </w:tcPr>
                <w:p w14:paraId="30B05C6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51</w:t>
                  </w:r>
                </w:p>
              </w:tc>
              <w:tc>
                <w:tcPr>
                  <w:tcW w:w="530" w:type="dxa"/>
                  <w:tcBorders>
                    <w:tl2br w:val="nil"/>
                    <w:tr2bl w:val="nil"/>
                  </w:tcBorders>
                  <w:shd w:val="clear" w:color="auto" w:fill="auto"/>
                  <w:noWrap/>
                  <w:vAlign w:val="center"/>
                </w:tcPr>
                <w:p w14:paraId="3782C13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2</w:t>
                  </w:r>
                </w:p>
              </w:tc>
              <w:tc>
                <w:tcPr>
                  <w:tcW w:w="531" w:type="dxa"/>
                  <w:tcBorders>
                    <w:tl2br w:val="nil"/>
                    <w:tr2bl w:val="nil"/>
                  </w:tcBorders>
                  <w:shd w:val="clear" w:color="auto" w:fill="auto"/>
                  <w:noWrap/>
                  <w:vAlign w:val="center"/>
                </w:tcPr>
                <w:p w14:paraId="3F56AB0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47</w:t>
                  </w:r>
                </w:p>
              </w:tc>
              <w:tc>
                <w:tcPr>
                  <w:tcW w:w="607" w:type="dxa"/>
                  <w:tcBorders>
                    <w:tl2br w:val="nil"/>
                    <w:tr2bl w:val="nil"/>
                  </w:tcBorders>
                  <w:shd w:val="clear" w:color="auto" w:fill="auto"/>
                  <w:vAlign w:val="center"/>
                </w:tcPr>
                <w:p w14:paraId="71157AE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67.7</w:t>
                  </w:r>
                </w:p>
              </w:tc>
              <w:tc>
                <w:tcPr>
                  <w:tcW w:w="584" w:type="dxa"/>
                  <w:tcBorders>
                    <w:tl2br w:val="nil"/>
                    <w:tr2bl w:val="nil"/>
                  </w:tcBorders>
                  <w:shd w:val="clear" w:color="auto" w:fill="auto"/>
                  <w:vAlign w:val="center"/>
                </w:tcPr>
                <w:p w14:paraId="02E8393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67.7</w:t>
                  </w:r>
                </w:p>
              </w:tc>
              <w:tc>
                <w:tcPr>
                  <w:tcW w:w="658" w:type="dxa"/>
                  <w:tcBorders>
                    <w:tl2br w:val="nil"/>
                    <w:tr2bl w:val="nil"/>
                  </w:tcBorders>
                  <w:shd w:val="clear" w:color="auto" w:fill="auto"/>
                  <w:vAlign w:val="center"/>
                </w:tcPr>
                <w:p w14:paraId="3B062BC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76.6</w:t>
                  </w:r>
                </w:p>
              </w:tc>
              <w:tc>
                <w:tcPr>
                  <w:tcW w:w="631" w:type="dxa"/>
                  <w:tcBorders>
                    <w:tl2br w:val="nil"/>
                    <w:tr2bl w:val="nil"/>
                  </w:tcBorders>
                  <w:shd w:val="clear" w:color="auto" w:fill="auto"/>
                  <w:vAlign w:val="center"/>
                </w:tcPr>
                <w:p w14:paraId="303FF7B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default" w:ascii="Times New Roman" w:hAnsi="Times New Roman" w:eastAsia="等线" w:cs="Times New Roman"/>
                      <w:i w:val="0"/>
                      <w:iCs w:val="0"/>
                      <w:color w:val="auto"/>
                      <w:kern w:val="0"/>
                      <w:sz w:val="21"/>
                      <w:szCs w:val="21"/>
                      <w:u w:val="none"/>
                      <w:vertAlign w:val="baseline"/>
                      <w:lang w:val="en-US" w:eastAsia="zh-CN" w:bidi="ar"/>
                    </w:rPr>
                    <w:t>67.7</w:t>
                  </w:r>
                </w:p>
              </w:tc>
              <w:tc>
                <w:tcPr>
                  <w:tcW w:w="526" w:type="dxa"/>
                  <w:tcBorders>
                    <w:tl2br w:val="nil"/>
                    <w:tr2bl w:val="nil"/>
                  </w:tcBorders>
                  <w:shd w:val="clear" w:color="auto" w:fill="auto"/>
                  <w:vAlign w:val="center"/>
                </w:tcPr>
                <w:p w14:paraId="5F78E7A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1F37D9B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26" w:type="dxa"/>
                  <w:tcBorders>
                    <w:tl2br w:val="nil"/>
                    <w:tr2bl w:val="nil"/>
                  </w:tcBorders>
                  <w:shd w:val="clear" w:color="auto" w:fill="auto"/>
                  <w:vAlign w:val="center"/>
                </w:tcPr>
                <w:p w14:paraId="47BA751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533" w:type="dxa"/>
                  <w:tcBorders>
                    <w:tl2br w:val="nil"/>
                    <w:tr2bl w:val="nil"/>
                  </w:tcBorders>
                  <w:shd w:val="clear" w:color="auto" w:fill="auto"/>
                  <w:vAlign w:val="center"/>
                </w:tcPr>
                <w:p w14:paraId="692C03C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1"/>
                      <w:szCs w:val="21"/>
                      <w:u w:val="none"/>
                      <w:vertAlign w:val="baseline"/>
                    </w:rPr>
                  </w:pPr>
                  <w:r>
                    <w:rPr>
                      <w:rFonts w:hint="eastAsia" w:eastAsia="等线" w:cs="Times New Roman"/>
                      <w:i w:val="0"/>
                      <w:iCs w:val="0"/>
                      <w:color w:val="auto"/>
                      <w:kern w:val="0"/>
                      <w:sz w:val="21"/>
                      <w:szCs w:val="21"/>
                      <w:u w:val="none"/>
                      <w:vertAlign w:val="baseline"/>
                      <w:lang w:val="en-US" w:eastAsia="zh-CN" w:bidi="ar"/>
                    </w:rPr>
                    <w:t>21</w:t>
                  </w:r>
                </w:p>
              </w:tc>
              <w:tc>
                <w:tcPr>
                  <w:tcW w:w="609" w:type="dxa"/>
                  <w:tcBorders>
                    <w:tl2br w:val="nil"/>
                    <w:tr2bl w:val="nil"/>
                  </w:tcBorders>
                  <w:shd w:val="clear" w:color="auto" w:fill="auto"/>
                  <w:vAlign w:val="center"/>
                </w:tcPr>
                <w:p w14:paraId="19A65C3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46.7 </w:t>
                  </w:r>
                </w:p>
              </w:tc>
              <w:tc>
                <w:tcPr>
                  <w:tcW w:w="609" w:type="dxa"/>
                  <w:tcBorders>
                    <w:tl2br w:val="nil"/>
                    <w:tr2bl w:val="nil"/>
                  </w:tcBorders>
                  <w:shd w:val="clear" w:color="auto" w:fill="auto"/>
                  <w:vAlign w:val="center"/>
                </w:tcPr>
                <w:p w14:paraId="030DC18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46.7 </w:t>
                  </w:r>
                </w:p>
              </w:tc>
              <w:tc>
                <w:tcPr>
                  <w:tcW w:w="609" w:type="dxa"/>
                  <w:tcBorders>
                    <w:tl2br w:val="nil"/>
                    <w:tr2bl w:val="nil"/>
                  </w:tcBorders>
                  <w:shd w:val="clear" w:color="auto" w:fill="auto"/>
                  <w:vAlign w:val="center"/>
                </w:tcPr>
                <w:p w14:paraId="3942BE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55.6 </w:t>
                  </w:r>
                </w:p>
              </w:tc>
              <w:tc>
                <w:tcPr>
                  <w:tcW w:w="613" w:type="dxa"/>
                  <w:tcBorders>
                    <w:tl2br w:val="nil"/>
                    <w:tr2bl w:val="nil"/>
                  </w:tcBorders>
                  <w:shd w:val="clear" w:color="auto" w:fill="auto"/>
                  <w:vAlign w:val="center"/>
                </w:tcPr>
                <w:p w14:paraId="1D5ACE3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auto"/>
                      <w:kern w:val="0"/>
                      <w:sz w:val="21"/>
                      <w:szCs w:val="21"/>
                      <w:u w:val="none"/>
                      <w:vertAlign w:val="baseline"/>
                      <w:lang w:val="en-US" w:eastAsia="zh-CN" w:bidi="ar"/>
                    </w:rPr>
                  </w:pPr>
                  <w:r>
                    <w:rPr>
                      <w:rFonts w:hint="default" w:eastAsia="等线" w:cs="Times New Roman"/>
                      <w:i w:val="0"/>
                      <w:iCs w:val="0"/>
                      <w:color w:val="auto"/>
                      <w:kern w:val="0"/>
                      <w:sz w:val="21"/>
                      <w:szCs w:val="21"/>
                      <w:u w:val="none"/>
                      <w:vertAlign w:val="baseline"/>
                      <w:lang w:val="en-US" w:eastAsia="zh-CN" w:bidi="ar"/>
                    </w:rPr>
                    <w:t xml:space="preserve">46.7 </w:t>
                  </w:r>
                </w:p>
              </w:tc>
            </w:tr>
          </w:tbl>
          <w:p w14:paraId="40EC77EB">
            <w:pPr>
              <w:keepNext w:val="0"/>
              <w:keepLines w:val="0"/>
              <w:pageBreakBefore w:val="0"/>
              <w:widowControl w:val="0"/>
              <w:numPr>
                <w:ilvl w:val="0"/>
                <w:numId w:val="0"/>
              </w:numPr>
              <w:shd w:val="clear"/>
              <w:tabs>
                <w:tab w:val="left" w:pos="0"/>
              </w:tabs>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auto"/>
                <w:spacing w:val="0"/>
                <w:sz w:val="21"/>
                <w:szCs w:val="21"/>
                <w:highlight w:val="none"/>
                <w:lang w:val="en-US" w:eastAsia="zh-CN"/>
              </w:rPr>
            </w:pPr>
          </w:p>
          <w:p w14:paraId="0B33ECE4">
            <w:pPr>
              <w:pStyle w:val="12"/>
              <w:keepNext w:val="0"/>
              <w:keepLines w:val="0"/>
              <w:pageBreakBefore w:val="0"/>
              <w:widowControl/>
              <w:shd w:val="clear"/>
              <w:tabs>
                <w:tab w:val="left" w:pos="789"/>
              </w:tabs>
              <w:kinsoku/>
              <w:wordWrap/>
              <w:overflowPunct/>
              <w:topLinePunct w:val="0"/>
              <w:autoSpaceDE/>
              <w:autoSpaceDN/>
              <w:bidi w:val="0"/>
              <w:adjustRightInd/>
              <w:snapToGrid w:val="0"/>
              <w:spacing w:before="0" w:after="0" w:line="240" w:lineRule="atLeast"/>
              <w:ind w:right="0" w:firstLine="180" w:firstLineChars="100"/>
              <w:jc w:val="left"/>
              <w:textAlignment w:val="auto"/>
              <w:rPr>
                <w:rFonts w:hint="default" w:ascii="Times New Roman" w:hAnsi="Times New Roman" w:cs="Times New Roman"/>
                <w:color w:val="auto"/>
                <w:highlight w:val="none"/>
              </w:rPr>
            </w:pPr>
          </w:p>
        </w:tc>
      </w:tr>
    </w:tbl>
    <w:p w14:paraId="7B85B4D4">
      <w:pPr>
        <w:pStyle w:val="15"/>
        <w:shd w:val="clear"/>
        <w:rPr>
          <w:rFonts w:hint="default" w:ascii="Times New Roman" w:hAnsi="Times New Roman" w:cs="Times New Roman"/>
          <w:color w:val="auto"/>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1115"/>
        <w:gridCol w:w="8343"/>
      </w:tblGrid>
      <w:tr w14:paraId="3A902E9C">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c>
          <w:tcPr>
            <w:tcW w:w="1115" w:type="dxa"/>
            <w:tcBorders>
              <w:tl2br w:val="nil"/>
              <w:tr2bl w:val="nil"/>
            </w:tcBorders>
            <w:vAlign w:val="center"/>
          </w:tcPr>
          <w:p w14:paraId="455017DF">
            <w:pPr>
              <w:pStyle w:val="43"/>
              <w:keepNext w:val="0"/>
              <w:keepLines w:val="0"/>
              <w:pageBreakBefore w:val="0"/>
              <w:widowControl w:val="0"/>
              <w:shd w:val="clear"/>
              <w:kinsoku/>
              <w:wordWrap/>
              <w:overflowPunct/>
              <w:topLinePunct w:val="0"/>
              <w:autoSpaceDE/>
              <w:autoSpaceDN/>
              <w:bidi w:val="0"/>
              <w:adjustRightInd/>
              <w:snapToGrid/>
              <w:spacing w:before="0" w:after="0"/>
              <w:jc w:val="center"/>
              <w:textAlignment w:val="auto"/>
              <w:rPr>
                <w:rFonts w:hint="default" w:ascii="Times New Roman" w:hAnsi="Times New Roman" w:cs="Times New Roman"/>
                <w:color w:val="auto"/>
                <w:highlight w:val="none"/>
                <w:vertAlign w:val="baseline"/>
              </w:rPr>
            </w:pPr>
          </w:p>
        </w:tc>
        <w:tc>
          <w:tcPr>
            <w:tcW w:w="8343" w:type="dxa"/>
            <w:tcBorders>
              <w:tl2br w:val="nil"/>
              <w:tr2bl w:val="nil"/>
            </w:tcBorders>
          </w:tcPr>
          <w:p w14:paraId="1C26037F">
            <w:pPr>
              <w:keepNext w:val="0"/>
              <w:keepLines w:val="0"/>
              <w:pageBreakBefore w:val="0"/>
              <w:widowControl w:val="0"/>
              <w:shd w:val="clear"/>
              <w:kinsoku/>
              <w:wordWrap/>
              <w:overflowPunct/>
              <w:topLinePunct w:val="0"/>
              <w:autoSpaceDE w:val="0"/>
              <w:autoSpaceDN w:val="0"/>
              <w:bidi w:val="0"/>
              <w:adjustRightInd w:val="0"/>
              <w:snapToGrid/>
              <w:spacing w:line="360" w:lineRule="auto"/>
              <w:ind w:left="0" w:leftChars="0" w:firstLine="480" w:firstLineChars="200"/>
              <w:jc w:val="left"/>
              <w:textAlignment w:val="auto"/>
              <w:outlineLvl w:val="9"/>
              <w:rPr>
                <w:rFonts w:hint="default" w:ascii="Times New Roman" w:hAnsi="Times New Roman" w:eastAsia="宋体" w:cs="Times New Roman"/>
                <w:color w:val="auto"/>
                <w:sz w:val="24"/>
                <w:highlight w:val="none"/>
                <w:lang w:val="zh-CN"/>
              </w:rPr>
            </w:pPr>
            <w:r>
              <w:rPr>
                <w:rFonts w:hint="eastAsia" w:ascii="Times New Roman" w:hAnsi="Times New Roman" w:eastAsia="宋体" w:cs="Times New Roman"/>
                <w:color w:val="auto"/>
                <w:sz w:val="24"/>
                <w:highlight w:val="none"/>
                <w:lang w:val="zh-CN"/>
              </w:rPr>
              <w:t>⑴</w:t>
            </w:r>
            <w:r>
              <w:rPr>
                <w:rFonts w:hint="default" w:ascii="Times New Roman" w:hAnsi="Times New Roman" w:eastAsia="宋体" w:cs="Times New Roman"/>
                <w:color w:val="auto"/>
                <w:sz w:val="24"/>
                <w:highlight w:val="none"/>
                <w:lang w:val="zh-CN"/>
              </w:rPr>
              <w:t>噪声预测</w:t>
            </w:r>
          </w:p>
          <w:p w14:paraId="104154F2">
            <w:pPr>
              <w:keepNext w:val="0"/>
              <w:keepLines w:val="0"/>
              <w:pageBreakBefore w:val="0"/>
              <w:widowControl w:val="0"/>
              <w:shd w:val="clear"/>
              <w:kinsoku/>
              <w:wordWrap/>
              <w:overflowPunct/>
              <w:topLinePunct w:val="0"/>
              <w:autoSpaceDE w:val="0"/>
              <w:autoSpaceDN w:val="0"/>
              <w:bidi w:val="0"/>
              <w:adjustRightInd w:val="0"/>
              <w:snapToGrid/>
              <w:spacing w:line="360" w:lineRule="auto"/>
              <w:ind w:left="0" w:leftChars="0" w:firstLine="480" w:firstLineChars="200"/>
              <w:jc w:val="left"/>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预测模</w:t>
            </w:r>
            <w:r>
              <w:rPr>
                <w:rFonts w:hint="default" w:ascii="Times New Roman" w:hAnsi="Times New Roman" w:cs="Times New Roman"/>
                <w:color w:val="auto"/>
                <w:sz w:val="24"/>
                <w:highlight w:val="none"/>
                <w:lang w:val="en-US" w:eastAsia="zh-CN"/>
              </w:rPr>
              <w:t>型</w:t>
            </w:r>
            <w:r>
              <w:rPr>
                <w:rFonts w:hint="default" w:ascii="Times New Roman" w:hAnsi="Times New Roman" w:cs="Times New Roman"/>
                <w:color w:val="auto"/>
                <w:sz w:val="24"/>
                <w:highlight w:val="none"/>
              </w:rPr>
              <w:t>采用《环境影响评价技术导则</w:t>
            </w:r>
            <w:r>
              <w:rPr>
                <w:rFonts w:hint="eastAsia" w:cs="Times New Roman"/>
                <w:color w:val="auto"/>
                <w:sz w:val="24"/>
                <w:highlight w:val="none"/>
                <w:lang w:val="en-US" w:eastAsia="zh-CN"/>
              </w:rPr>
              <w:t xml:space="preserve"> </w:t>
            </w:r>
            <w:r>
              <w:rPr>
                <w:rFonts w:hint="default" w:ascii="Times New Roman" w:hAnsi="Times New Roman" w:cs="Times New Roman"/>
                <w:color w:val="auto"/>
                <w:sz w:val="24"/>
                <w:highlight w:val="none"/>
                <w:lang w:val="en-US" w:eastAsia="zh-CN"/>
              </w:rPr>
              <w:t>声环境</w:t>
            </w:r>
            <w:r>
              <w:rPr>
                <w:rFonts w:hint="default" w:ascii="Times New Roman" w:hAnsi="Times New Roman" w:cs="Times New Roman"/>
                <w:color w:val="auto"/>
                <w:sz w:val="24"/>
                <w:highlight w:val="none"/>
              </w:rPr>
              <w:t>》（HJ2.4-</w:t>
            </w:r>
            <w:r>
              <w:rPr>
                <w:rFonts w:hint="default" w:ascii="Times New Roman" w:hAnsi="Times New Roman" w:cs="Times New Roman"/>
                <w:color w:val="auto"/>
                <w:sz w:val="24"/>
                <w:highlight w:val="none"/>
                <w:lang w:val="en-US" w:eastAsia="zh-CN"/>
              </w:rPr>
              <w:t>2021</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val="en-US" w:eastAsia="zh-CN"/>
              </w:rPr>
              <w:t>附录A和附录B</w:t>
            </w:r>
            <w:r>
              <w:rPr>
                <w:rFonts w:hint="default" w:ascii="Times New Roman" w:hAnsi="Times New Roman" w:cs="Times New Roman"/>
                <w:color w:val="auto"/>
                <w:sz w:val="24"/>
                <w:highlight w:val="none"/>
              </w:rPr>
              <w:t>推荐的工业噪声预测模</w:t>
            </w:r>
            <w:r>
              <w:rPr>
                <w:rFonts w:hint="default" w:ascii="Times New Roman" w:hAnsi="Times New Roman" w:cs="Times New Roman"/>
                <w:color w:val="auto"/>
                <w:sz w:val="24"/>
                <w:highlight w:val="none"/>
                <w:lang w:val="en-US" w:eastAsia="zh-CN"/>
              </w:rPr>
              <w:t>型</w:t>
            </w:r>
            <w:r>
              <w:rPr>
                <w:rFonts w:hint="default" w:ascii="Times New Roman" w:hAnsi="Times New Roman" w:cs="Times New Roman"/>
                <w:color w:val="auto"/>
                <w:sz w:val="24"/>
                <w:highlight w:val="none"/>
              </w:rPr>
              <w:t>。预测计算只考虑工程各声源所在厂房围护结构的屏蔽效应和声源至受声点的几何发散衰减，不考虑空气吸收及影响较小的附加衰减。</w:t>
            </w:r>
          </w:p>
          <w:p w14:paraId="7C2C6BC8">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采用预测模式如下：</w:t>
            </w:r>
          </w:p>
          <w:p w14:paraId="715E5B66">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napToGrid w:val="0"/>
                <w:color w:val="auto"/>
                <w:sz w:val="24"/>
                <w:highlight w:val="none"/>
              </w:rPr>
            </w:pPr>
            <w:r>
              <w:rPr>
                <w:rFonts w:hint="default" w:ascii="Times New Roman" w:hAnsi="Times New Roman" w:cs="Times New Roman"/>
                <w:snapToGrid w:val="0"/>
                <w:color w:val="auto"/>
                <w:sz w:val="24"/>
                <w:highlight w:val="none"/>
              </w:rPr>
              <w:fldChar w:fldCharType="begin"/>
            </w:r>
            <w:r>
              <w:rPr>
                <w:rFonts w:hint="default" w:ascii="Times New Roman" w:hAnsi="Times New Roman" w:cs="Times New Roman"/>
                <w:snapToGrid w:val="0"/>
                <w:color w:val="auto"/>
                <w:sz w:val="24"/>
                <w:highlight w:val="none"/>
              </w:rPr>
              <w:instrText xml:space="preserve"> = 1 \* GB3 </w:instrText>
            </w:r>
            <w:r>
              <w:rPr>
                <w:rFonts w:hint="default" w:ascii="Times New Roman" w:hAnsi="Times New Roman" w:cs="Times New Roman"/>
                <w:snapToGrid w:val="0"/>
                <w:color w:val="auto"/>
                <w:sz w:val="24"/>
                <w:highlight w:val="none"/>
              </w:rPr>
              <w:fldChar w:fldCharType="separate"/>
            </w:r>
            <w:r>
              <w:rPr>
                <w:rFonts w:hint="default" w:ascii="Times New Roman" w:hAnsi="Times New Roman" w:cs="Times New Roman"/>
                <w:snapToGrid w:val="0"/>
                <w:color w:val="auto"/>
                <w:sz w:val="24"/>
                <w:highlight w:val="none"/>
              </w:rPr>
              <w:t>①</w:t>
            </w:r>
            <w:r>
              <w:rPr>
                <w:rFonts w:hint="default" w:ascii="Times New Roman" w:hAnsi="Times New Roman" w:cs="Times New Roman"/>
                <w:snapToGrid w:val="0"/>
                <w:color w:val="auto"/>
                <w:sz w:val="24"/>
                <w:highlight w:val="none"/>
              </w:rPr>
              <w:fldChar w:fldCharType="end"/>
            </w:r>
            <w:r>
              <w:rPr>
                <w:rFonts w:hint="default" w:ascii="Times New Roman" w:hAnsi="Times New Roman" w:cs="Times New Roman"/>
                <w:snapToGrid w:val="0"/>
                <w:color w:val="auto"/>
                <w:sz w:val="24"/>
                <w:highlight w:val="none"/>
              </w:rPr>
              <w:t>室外声源在预测点产生的声级计算模型</w:t>
            </w:r>
          </w:p>
          <w:p w14:paraId="14D2C267">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napToGrid w:val="0"/>
                <w:color w:val="auto"/>
                <w:sz w:val="24"/>
                <w:highlight w:val="none"/>
                <w:lang w:eastAsia="zh-CN"/>
              </w:rPr>
            </w:pPr>
            <w:r>
              <w:rPr>
                <w:rFonts w:hint="default" w:ascii="Times New Roman" w:hAnsi="Times New Roman" w:cs="Times New Roman"/>
                <w:snapToGrid w:val="0"/>
                <w:color w:val="auto"/>
                <w:sz w:val="24"/>
                <w:highlight w:val="none"/>
              </w:rPr>
              <w:t>室外声源在预测点产生的声级计算模型参照导则附录A</w:t>
            </w:r>
            <w:r>
              <w:rPr>
                <w:rFonts w:hint="default" w:ascii="Times New Roman" w:hAnsi="Times New Roman" w:cs="Times New Roman"/>
                <w:snapToGrid w:val="0"/>
                <w:color w:val="auto"/>
                <w:sz w:val="24"/>
                <w:highlight w:val="none"/>
                <w:lang w:eastAsia="zh-CN"/>
              </w:rPr>
              <w:t>：</w:t>
            </w:r>
          </w:p>
          <w:p w14:paraId="6848D992">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position w:val="-14"/>
                <w:highlight w:val="none"/>
              </w:rPr>
            </w:pPr>
            <w:r>
              <w:rPr>
                <w:rFonts w:hint="default" w:ascii="Times New Roman" w:hAnsi="Times New Roman" w:cs="Times New Roman"/>
                <w:color w:val="auto"/>
                <w:position w:val="-14"/>
                <w:highlight w:val="none"/>
              </w:rPr>
              <w:object>
                <v:shape id="_x0000_i1028" o:spt="75" type="#_x0000_t75" style="height:20.1pt;width:268.5pt;" o:ole="t" filled="f" o:preferrelative="t" stroked="f" coordsize="21600,21600">
                  <v:path/>
                  <v:fill on="f" focussize="0,0"/>
                  <v:stroke on="f"/>
                  <v:imagedata r:id="rId18" o:title=""/>
                  <o:lock v:ext="edit" aspectratio="t"/>
                  <w10:wrap type="none"/>
                  <w10:anchorlock/>
                </v:shape>
                <o:OLEObject Type="Embed" ProgID="Equation.3" ShapeID="_x0000_i1028" DrawAspect="Content" ObjectID="_1468075728" r:id="rId17">
                  <o:LockedField>false</o:LockedField>
                </o:OLEObject>
              </w:object>
            </w:r>
          </w:p>
          <w:p w14:paraId="5C919E2C">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caps w:val="0"/>
                <w:color w:val="auto"/>
                <w:kern w:val="2"/>
                <w:sz w:val="24"/>
                <w:szCs w:val="24"/>
                <w:highlight w:val="none"/>
                <w:lang w:val="en-US" w:eastAsia="zh-CN" w:bidi="ar-SA"/>
              </w:rPr>
              <w:t>式中：</w:t>
            </w:r>
          </w:p>
          <w:p w14:paraId="7353C980">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p</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caps w:val="0"/>
                <w:color w:val="auto"/>
                <w:kern w:val="2"/>
                <w:sz w:val="24"/>
                <w:szCs w:val="24"/>
                <w:highlight w:val="none"/>
                <w:lang w:val="en-US" w:eastAsia="zh-CN" w:bidi="ar-SA"/>
              </w:rPr>
              <w:t>──预测点处声压级，dB；</w:t>
            </w:r>
          </w:p>
          <w:p w14:paraId="749A0832">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p</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0</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caps w:val="0"/>
                <w:color w:val="auto"/>
                <w:kern w:val="2"/>
                <w:sz w:val="24"/>
                <w:szCs w:val="24"/>
                <w:highlight w:val="none"/>
                <w:lang w:val="en-US" w:eastAsia="zh-CN" w:bidi="ar-SA"/>
              </w:rPr>
              <w:t>—参考位置r</w:t>
            </w:r>
            <w:r>
              <w:rPr>
                <w:rFonts w:hint="default" w:ascii="Times New Roman" w:hAnsi="Times New Roman" w:eastAsia="宋体" w:cs="Times New Roman"/>
                <w:b w:val="0"/>
                <w:bCs w:val="0"/>
                <w:caps w:val="0"/>
                <w:color w:val="auto"/>
                <w:kern w:val="2"/>
                <w:sz w:val="24"/>
                <w:szCs w:val="24"/>
                <w:highlight w:val="none"/>
                <w:vertAlign w:val="subscript"/>
                <w:lang w:val="en-US" w:eastAsia="zh-CN" w:bidi="ar-SA"/>
              </w:rPr>
              <w:t>0</w:t>
            </w:r>
            <w:r>
              <w:rPr>
                <w:rFonts w:hint="default" w:ascii="Times New Roman" w:hAnsi="Times New Roman" w:eastAsia="宋体" w:cs="Times New Roman"/>
                <w:b w:val="0"/>
                <w:bCs w:val="0"/>
                <w:caps w:val="0"/>
                <w:color w:val="auto"/>
                <w:kern w:val="2"/>
                <w:sz w:val="24"/>
                <w:szCs w:val="24"/>
                <w:highlight w:val="none"/>
                <w:lang w:val="en-US" w:eastAsia="zh-CN" w:bidi="ar-SA"/>
              </w:rPr>
              <w:t>处的声压级，dB；</w:t>
            </w:r>
          </w:p>
          <w:p w14:paraId="25ED5A09">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D</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C</w:t>
            </w:r>
            <w:r>
              <w:rPr>
                <w:rFonts w:hint="default" w:ascii="Times New Roman" w:hAnsi="Times New Roman" w:eastAsia="宋体" w:cs="Times New Roman"/>
                <w:b w:val="0"/>
                <w:bCs w:val="0"/>
                <w:caps w:val="0"/>
                <w:color w:val="auto"/>
                <w:kern w:val="2"/>
                <w:sz w:val="24"/>
                <w:szCs w:val="24"/>
                <w:highlight w:val="none"/>
                <w:lang w:val="en-US" w:eastAsia="zh-CN" w:bidi="ar-SA"/>
              </w:rPr>
              <w:t>—指向性校正，它描述点声源的等效连续声压级与产生声功率级</w:t>
            </w: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w</w:t>
            </w:r>
            <w:r>
              <w:rPr>
                <w:rFonts w:hint="default" w:ascii="Times New Roman" w:hAnsi="Times New Roman" w:eastAsia="宋体" w:cs="Times New Roman"/>
                <w:b w:val="0"/>
                <w:bCs w:val="0"/>
                <w:caps w:val="0"/>
                <w:color w:val="auto"/>
                <w:kern w:val="2"/>
                <w:sz w:val="24"/>
                <w:szCs w:val="24"/>
                <w:highlight w:val="none"/>
                <w:lang w:val="en-US" w:eastAsia="zh-CN" w:bidi="ar-SA"/>
              </w:rPr>
              <w:t>的全向点声源在规定方向的声级的偏差程度，dB；</w:t>
            </w:r>
          </w:p>
          <w:p w14:paraId="256DB364">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A</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div</w:t>
            </w:r>
            <w:r>
              <w:rPr>
                <w:rFonts w:hint="default" w:ascii="Times New Roman" w:hAnsi="Times New Roman" w:eastAsia="宋体" w:cs="Times New Roman"/>
                <w:b w:val="0"/>
                <w:bCs w:val="0"/>
                <w:caps w:val="0"/>
                <w:color w:val="auto"/>
                <w:kern w:val="2"/>
                <w:sz w:val="24"/>
                <w:szCs w:val="24"/>
                <w:highlight w:val="none"/>
                <w:lang w:val="en-US" w:eastAsia="zh-CN" w:bidi="ar-SA"/>
              </w:rPr>
              <w:t>──几何发散引起的衰减，dB；</w:t>
            </w:r>
          </w:p>
          <w:p w14:paraId="123262DB">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A</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atm</w:t>
            </w:r>
            <w:r>
              <w:rPr>
                <w:rFonts w:hint="default" w:ascii="Times New Roman" w:hAnsi="Times New Roman" w:eastAsia="宋体" w:cs="Times New Roman"/>
                <w:b w:val="0"/>
                <w:bCs w:val="0"/>
                <w:caps w:val="0"/>
                <w:color w:val="auto"/>
                <w:kern w:val="2"/>
                <w:sz w:val="24"/>
                <w:szCs w:val="24"/>
                <w:highlight w:val="none"/>
                <w:lang w:val="en-US" w:eastAsia="zh-CN" w:bidi="ar-SA"/>
              </w:rPr>
              <w:t>──大气吸收引起的衰减，dB；</w:t>
            </w:r>
          </w:p>
          <w:p w14:paraId="6DD15BC1">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A</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gr</w:t>
            </w:r>
            <w:r>
              <w:rPr>
                <w:rFonts w:hint="default" w:ascii="Times New Roman" w:hAnsi="Times New Roman" w:eastAsia="宋体" w:cs="Times New Roman"/>
                <w:b w:val="0"/>
                <w:bCs w:val="0"/>
                <w:caps w:val="0"/>
                <w:color w:val="auto"/>
                <w:kern w:val="2"/>
                <w:sz w:val="24"/>
                <w:szCs w:val="24"/>
                <w:highlight w:val="none"/>
                <w:lang w:val="en-US" w:eastAsia="zh-CN" w:bidi="ar-SA"/>
              </w:rPr>
              <w:t>──地面效应引起的衰减，dB；</w:t>
            </w:r>
          </w:p>
          <w:p w14:paraId="7AA8D170">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A</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bar</w:t>
            </w:r>
            <w:r>
              <w:rPr>
                <w:rFonts w:hint="default" w:ascii="Times New Roman" w:hAnsi="Times New Roman" w:eastAsia="宋体" w:cs="Times New Roman"/>
                <w:b w:val="0"/>
                <w:bCs w:val="0"/>
                <w:caps w:val="0"/>
                <w:color w:val="auto"/>
                <w:kern w:val="2"/>
                <w:sz w:val="24"/>
                <w:szCs w:val="24"/>
                <w:highlight w:val="none"/>
                <w:lang w:val="en-US" w:eastAsia="zh-CN" w:bidi="ar-SA"/>
              </w:rPr>
              <w:t>──障碍物屏蔽引起的衰减，dB；</w:t>
            </w:r>
          </w:p>
          <w:p w14:paraId="455ADA03">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A</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misc</w:t>
            </w:r>
            <w:r>
              <w:rPr>
                <w:rFonts w:hint="default" w:ascii="Times New Roman" w:hAnsi="Times New Roman" w:eastAsia="宋体" w:cs="Times New Roman"/>
                <w:b w:val="0"/>
                <w:bCs w:val="0"/>
                <w:caps w:val="0"/>
                <w:color w:val="auto"/>
                <w:kern w:val="2"/>
                <w:sz w:val="24"/>
                <w:szCs w:val="24"/>
                <w:highlight w:val="none"/>
                <w:lang w:val="en-US" w:eastAsia="zh-CN" w:bidi="ar-SA"/>
              </w:rPr>
              <w:t>──其他多方面效应引起的衰减，dB。</w:t>
            </w:r>
          </w:p>
          <w:p w14:paraId="455D5944">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zh-CN" w:eastAsia="zh-CN" w:bidi="ar-SA"/>
              </w:rPr>
              <w:t>本</w:t>
            </w:r>
            <w:r>
              <w:rPr>
                <w:rFonts w:hint="default" w:ascii="Times New Roman" w:hAnsi="Times New Roman" w:eastAsia="宋体" w:cs="Times New Roman"/>
                <w:color w:val="auto"/>
                <w:kern w:val="2"/>
                <w:sz w:val="24"/>
                <w:szCs w:val="24"/>
                <w:highlight w:val="none"/>
                <w:lang w:val="en-US" w:eastAsia="zh-CN" w:bidi="ar-SA"/>
              </w:rPr>
              <w:t>评价</w:t>
            </w:r>
            <w:r>
              <w:rPr>
                <w:rFonts w:hint="default" w:ascii="Times New Roman" w:hAnsi="Times New Roman" w:eastAsia="宋体" w:cs="Times New Roman"/>
                <w:color w:val="auto"/>
                <w:kern w:val="2"/>
                <w:sz w:val="24"/>
                <w:szCs w:val="24"/>
                <w:highlight w:val="none"/>
                <w:lang w:val="zh-CN" w:eastAsia="zh-CN" w:bidi="ar-SA"/>
              </w:rPr>
              <w:t>预测计算只考虑各声源至受声点的几何发散衰减，不考虑</w:t>
            </w:r>
            <w:r>
              <w:rPr>
                <w:rFonts w:hint="default" w:ascii="Times New Roman" w:hAnsi="Times New Roman" w:eastAsia="宋体" w:cs="Times New Roman"/>
                <w:color w:val="auto"/>
                <w:kern w:val="2"/>
                <w:sz w:val="24"/>
                <w:szCs w:val="24"/>
                <w:highlight w:val="none"/>
                <w:lang w:val="en-US" w:eastAsia="zh-CN" w:bidi="ar-SA"/>
              </w:rPr>
              <w:t>大气吸收、地面效应、障碍物屏蔽及其他多方面等影响较小的衰减。</w:t>
            </w:r>
          </w:p>
          <w:p w14:paraId="66A839C5">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预测点的A声级，可利用8个倍频带的声压级按下式计算：</w:t>
            </w:r>
          </w:p>
          <w:p w14:paraId="14BC3BB7">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2" w:firstLineChars="200"/>
              <w:jc w:val="both"/>
              <w:textAlignment w:val="auto"/>
              <w:rPr>
                <w:rFonts w:hint="default" w:ascii="Times New Roman" w:hAnsi="Times New Roman" w:cs="Times New Roman"/>
                <w:color w:val="auto"/>
                <w:kern w:val="0"/>
                <w:position w:val="-30"/>
                <w:highlight w:val="none"/>
              </w:rPr>
            </w:pPr>
            <w:r>
              <w:rPr>
                <w:rFonts w:hint="default" w:ascii="Times New Roman" w:hAnsi="Times New Roman" w:cs="Times New Roman"/>
                <w:color w:val="auto"/>
                <w:kern w:val="0"/>
                <w:position w:val="-30"/>
                <w:highlight w:val="none"/>
              </w:rPr>
              <w:object>
                <v:shape id="_x0000_i1029" o:spt="75" type="#_x0000_t75" style="height:34.55pt;width:168.4pt;" o:ole="t" filled="f" o:preferrelative="f" stroked="f" coordsize="21600,21600">
                  <v:path/>
                  <v:fill on="f" focussize="0,0"/>
                  <v:stroke on="f"/>
                  <v:imagedata r:id="rId20" o:title=""/>
                  <o:lock v:ext="edit" rotation="t" aspectratio="f"/>
                  <w10:wrap type="none"/>
                  <w10:anchorlock/>
                </v:shape>
                <o:OLEObject Type="Embed" ProgID="Equation.3" ShapeID="_x0000_i1029" DrawAspect="Content" ObjectID="_1468075729" r:id="rId19">
                  <o:LockedField>false</o:LockedField>
                </o:OLEObject>
              </w:object>
            </w:r>
          </w:p>
          <w:p w14:paraId="762AF0CC">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caps w:val="0"/>
                <w:color w:val="auto"/>
                <w:kern w:val="2"/>
                <w:sz w:val="24"/>
                <w:szCs w:val="24"/>
                <w:highlight w:val="none"/>
                <w:lang w:val="en-US" w:eastAsia="zh-CN" w:bidi="ar-SA"/>
              </w:rPr>
              <w:t>式中：</w:t>
            </w:r>
          </w:p>
          <w:p w14:paraId="34481F8C">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A</w:t>
            </w: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caps w:val="0"/>
                <w:color w:val="auto"/>
                <w:kern w:val="2"/>
                <w:sz w:val="24"/>
                <w:szCs w:val="24"/>
                <w:highlight w:val="none"/>
                <w:lang w:val="en-US" w:eastAsia="zh-CN" w:bidi="ar-SA"/>
              </w:rPr>
              <w:t>—距声源r处的A声级，dB（A）；</w:t>
            </w:r>
          </w:p>
          <w:p w14:paraId="192E08D0">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Pi</w:t>
            </w: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caps w:val="0"/>
                <w:color w:val="auto"/>
                <w:kern w:val="2"/>
                <w:sz w:val="24"/>
                <w:szCs w:val="24"/>
                <w:highlight w:val="none"/>
                <w:lang w:val="en-US" w:eastAsia="zh-CN" w:bidi="ar-SA"/>
              </w:rPr>
              <w:t>—预测点（r）处，第i倍频带声压级，dB；</w:t>
            </w:r>
          </w:p>
          <w:p w14:paraId="370829C4">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ΔL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i</w:t>
            </w:r>
            <w:r>
              <w:rPr>
                <w:rFonts w:hint="default" w:ascii="Times New Roman" w:hAnsi="Times New Roman" w:eastAsia="宋体" w:cs="Times New Roman"/>
                <w:b w:val="0"/>
                <w:bCs w:val="0"/>
                <w:caps w:val="0"/>
                <w:color w:val="auto"/>
                <w:kern w:val="2"/>
                <w:sz w:val="24"/>
                <w:szCs w:val="24"/>
                <w:highlight w:val="none"/>
                <w:lang w:val="en-US" w:eastAsia="zh-CN" w:bidi="ar-SA"/>
              </w:rPr>
              <w:t>—第i倍频带A计权网络修正值，dB。</w:t>
            </w:r>
          </w:p>
          <w:p w14:paraId="38A14DB9">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 1 \* ROMAN \* MERGEFORMAT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I</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、指向性校正</w:t>
            </w:r>
          </w:p>
          <w:p w14:paraId="33732292">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本次评价忽略。</w:t>
            </w:r>
          </w:p>
          <w:p w14:paraId="3093823C">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 2 \* ROMAN \* MERGEFORMAT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II</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、几何发散引起的衰减</w:t>
            </w:r>
          </w:p>
          <w:p w14:paraId="6134EDBD">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对于室外点声源，不考虑其指向性，几何发散衰减计算公式为</w:t>
            </w:r>
            <w:r>
              <w:rPr>
                <w:rFonts w:hint="eastAsia" w:ascii="Times New Roman" w:hAnsi="Times New Roman" w:eastAsia="宋体" w:cs="Times New Roman"/>
                <w:color w:val="auto"/>
                <w:kern w:val="2"/>
                <w:sz w:val="24"/>
                <w:szCs w:val="24"/>
                <w:highlight w:val="none"/>
                <w:lang w:val="en-US" w:eastAsia="zh-CN" w:bidi="ar-SA"/>
              </w:rPr>
              <w:t>：</w:t>
            </w:r>
          </w:p>
          <w:p w14:paraId="318998C7">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0"/>
                <w:position w:val="-14"/>
                <w:highlight w:val="none"/>
                <w:lang w:eastAsia="zh-CN"/>
              </w:rPr>
            </w:pPr>
            <w:r>
              <w:rPr>
                <w:rFonts w:hint="default" w:ascii="Times New Roman" w:hAnsi="Times New Roman" w:eastAsia="宋体" w:cs="Times New Roman"/>
                <w:color w:val="auto"/>
                <w:kern w:val="0"/>
                <w:position w:val="-14"/>
                <w:highlight w:val="none"/>
                <w:lang w:eastAsia="zh-CN"/>
              </w:rPr>
              <w:object>
                <v:shape id="_x0000_i1030" o:spt="75" type="#_x0000_t75" style="height:19pt;width:132pt;" o:ole="t" filled="f" o:preferrelative="t" stroked="f" coordsize="21600,21600">
                  <v:path/>
                  <v:fill on="f" focussize="0,0"/>
                  <v:stroke on="f"/>
                  <v:imagedata r:id="rId22" o:title=""/>
                  <o:lock v:ext="edit" aspectratio="t"/>
                  <w10:wrap type="none"/>
                  <w10:anchorlock/>
                </v:shape>
                <o:OLEObject Type="Embed" ProgID="Equation.KSEE3" ShapeID="_x0000_i1030" DrawAspect="Content" ObjectID="_1468075730" r:id="rId21">
                  <o:LockedField>false</o:LockedField>
                </o:OLEObject>
              </w:object>
            </w:r>
          </w:p>
          <w:p w14:paraId="374F459D">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caps w:val="0"/>
                <w:color w:val="auto"/>
                <w:kern w:val="2"/>
                <w:sz w:val="24"/>
                <w:szCs w:val="24"/>
                <w:highlight w:val="none"/>
                <w:lang w:val="en-US" w:eastAsia="zh-CN" w:bidi="ar-SA"/>
              </w:rPr>
              <w:t>式中：</w:t>
            </w:r>
          </w:p>
          <w:p w14:paraId="3D0A8B9C">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p</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caps w:val="0"/>
                <w:color w:val="auto"/>
                <w:kern w:val="2"/>
                <w:sz w:val="24"/>
                <w:szCs w:val="24"/>
                <w:highlight w:val="none"/>
                <w:lang w:val="en-US" w:eastAsia="zh-CN" w:bidi="ar-SA"/>
              </w:rPr>
              <w:t>──预测点处声压级，dB；</w:t>
            </w:r>
          </w:p>
          <w:p w14:paraId="4C5807B3">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L</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p</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0</w:t>
            </w:r>
            <w:r>
              <w:rPr>
                <w:rFonts w:hint="eastAsia" w:cs="Times New Roman"/>
                <w:b w:val="0"/>
                <w:bCs w:val="0"/>
                <w:i/>
                <w:iCs/>
                <w:caps w:val="0"/>
                <w:color w:val="auto"/>
                <w:kern w:val="2"/>
                <w:sz w:val="24"/>
                <w:szCs w:val="24"/>
                <w:highlight w:val="none"/>
                <w:lang w:val="en-US" w:eastAsia="zh-CN" w:bidi="ar-SA"/>
              </w:rPr>
              <w:t>）</w:t>
            </w:r>
            <w:r>
              <w:rPr>
                <w:rFonts w:hint="default" w:ascii="Times New Roman" w:hAnsi="Times New Roman" w:eastAsia="宋体" w:cs="Times New Roman"/>
                <w:b w:val="0"/>
                <w:bCs w:val="0"/>
                <w:caps w:val="0"/>
                <w:color w:val="auto"/>
                <w:kern w:val="2"/>
                <w:sz w:val="24"/>
                <w:szCs w:val="24"/>
                <w:highlight w:val="none"/>
                <w:lang w:val="en-US" w:eastAsia="zh-CN" w:bidi="ar-SA"/>
              </w:rPr>
              <w:t>—参考位置r</w:t>
            </w:r>
            <w:r>
              <w:rPr>
                <w:rFonts w:hint="default" w:ascii="Times New Roman" w:hAnsi="Times New Roman" w:eastAsia="宋体" w:cs="Times New Roman"/>
                <w:b w:val="0"/>
                <w:bCs w:val="0"/>
                <w:caps w:val="0"/>
                <w:color w:val="auto"/>
                <w:kern w:val="2"/>
                <w:sz w:val="24"/>
                <w:szCs w:val="24"/>
                <w:highlight w:val="none"/>
                <w:vertAlign w:val="subscript"/>
                <w:lang w:val="en-US" w:eastAsia="zh-CN" w:bidi="ar-SA"/>
              </w:rPr>
              <w:t>0</w:t>
            </w:r>
            <w:r>
              <w:rPr>
                <w:rFonts w:hint="default" w:ascii="Times New Roman" w:hAnsi="Times New Roman" w:eastAsia="宋体" w:cs="Times New Roman"/>
                <w:b w:val="0"/>
                <w:bCs w:val="0"/>
                <w:caps w:val="0"/>
                <w:color w:val="auto"/>
                <w:kern w:val="2"/>
                <w:sz w:val="24"/>
                <w:szCs w:val="24"/>
                <w:highlight w:val="none"/>
                <w:lang w:val="en-US" w:eastAsia="zh-CN" w:bidi="ar-SA"/>
              </w:rPr>
              <w:t>处的声压级，dB；</w:t>
            </w:r>
          </w:p>
          <w:p w14:paraId="5E811A20">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caps w:val="0"/>
                <w:color w:val="auto"/>
                <w:kern w:val="2"/>
                <w:sz w:val="24"/>
                <w:szCs w:val="24"/>
                <w:highlight w:val="none"/>
                <w:lang w:val="en-US" w:eastAsia="zh-CN" w:bidi="ar-SA"/>
              </w:rPr>
              <w:t>—预测点距声源的距离；</w:t>
            </w:r>
          </w:p>
          <w:p w14:paraId="07A42BB0">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0</w:t>
            </w:r>
            <w:r>
              <w:rPr>
                <w:rFonts w:hint="default" w:ascii="Times New Roman" w:hAnsi="Times New Roman" w:eastAsia="宋体" w:cs="Times New Roman"/>
                <w:b w:val="0"/>
                <w:bCs w:val="0"/>
                <w:caps w:val="0"/>
                <w:color w:val="auto"/>
                <w:kern w:val="2"/>
                <w:sz w:val="24"/>
                <w:szCs w:val="24"/>
                <w:highlight w:val="none"/>
                <w:lang w:val="en-US" w:eastAsia="zh-CN" w:bidi="ar-SA"/>
              </w:rPr>
              <w:t>—参考位置距声源的距离。</w:t>
            </w:r>
          </w:p>
          <w:p w14:paraId="14EEC7A2">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color w:val="auto"/>
                <w:kern w:val="0"/>
                <w:position w:val="-12"/>
                <w:highlight w:val="none"/>
                <w:lang w:eastAsia="zh-CN"/>
              </w:rPr>
              <w:object>
                <v:shape id="_x0000_i1031" o:spt="75" type="#_x0000_t75" style="height:18pt;width:85pt;" o:ole="t" filled="f" o:preferrelative="t" stroked="f" coordsize="21600,21600">
                  <v:path/>
                  <v:fill on="f" focussize="0,0"/>
                  <v:stroke on="f"/>
                  <v:imagedata r:id="rId24" o:title=""/>
                  <o:lock v:ext="edit" aspectratio="t"/>
                  <w10:wrap type="none"/>
                  <w10:anchorlock/>
                </v:shape>
                <o:OLEObject Type="Embed" ProgID="Equation.KSEE3" ShapeID="_x0000_i1031" DrawAspect="Content" ObjectID="_1468075731" r:id="rId23">
                  <o:LockedField>false</o:LockedField>
                </o:OLEObject>
              </w:object>
            </w:r>
          </w:p>
          <w:p w14:paraId="61B0F589">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caps w:val="0"/>
                <w:color w:val="auto"/>
                <w:kern w:val="2"/>
                <w:sz w:val="24"/>
                <w:szCs w:val="24"/>
                <w:highlight w:val="none"/>
                <w:lang w:val="en-US" w:eastAsia="zh-CN" w:bidi="ar-SA"/>
              </w:rPr>
              <w:t>式中：</w:t>
            </w:r>
          </w:p>
          <w:p w14:paraId="76A25EB9">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A</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div</w:t>
            </w:r>
            <w:r>
              <w:rPr>
                <w:rFonts w:hint="default" w:ascii="Times New Roman" w:hAnsi="Times New Roman" w:eastAsia="宋体" w:cs="Times New Roman"/>
                <w:b w:val="0"/>
                <w:bCs w:val="0"/>
                <w:caps w:val="0"/>
                <w:color w:val="auto"/>
                <w:kern w:val="2"/>
                <w:sz w:val="24"/>
                <w:szCs w:val="24"/>
                <w:highlight w:val="none"/>
                <w:lang w:val="en-US" w:eastAsia="zh-CN" w:bidi="ar-SA"/>
              </w:rPr>
              <w:t>──几何发散引起的衰减，dB；</w:t>
            </w:r>
          </w:p>
          <w:p w14:paraId="44F6DF95">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caps w:val="0"/>
                <w:color w:val="auto"/>
                <w:kern w:val="2"/>
                <w:sz w:val="24"/>
                <w:szCs w:val="24"/>
                <w:highlight w:val="none"/>
                <w:lang w:val="en-US" w:eastAsia="zh-CN" w:bidi="ar-SA"/>
              </w:rPr>
              <w:t>—预测点距声源的距离；</w:t>
            </w:r>
          </w:p>
          <w:p w14:paraId="34A13FC8">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auto"/>
                <w:kern w:val="2"/>
                <w:sz w:val="24"/>
                <w:szCs w:val="24"/>
                <w:highlight w:val="none"/>
                <w:lang w:val="en-US" w:eastAsia="zh-CN" w:bidi="ar-SA"/>
              </w:rPr>
            </w:pPr>
            <w:r>
              <w:rPr>
                <w:rFonts w:hint="default" w:ascii="Times New Roman" w:hAnsi="Times New Roman" w:eastAsia="宋体" w:cs="Times New Roman"/>
                <w:b w:val="0"/>
                <w:bCs w:val="0"/>
                <w:i/>
                <w:iCs/>
                <w:caps w:val="0"/>
                <w:color w:val="auto"/>
                <w:kern w:val="2"/>
                <w:sz w:val="24"/>
                <w:szCs w:val="24"/>
                <w:highlight w:val="none"/>
                <w:lang w:val="en-US" w:eastAsia="zh-CN" w:bidi="ar-SA"/>
              </w:rPr>
              <w:t>r</w:t>
            </w:r>
            <w:r>
              <w:rPr>
                <w:rFonts w:hint="default" w:ascii="Times New Roman" w:hAnsi="Times New Roman" w:eastAsia="宋体" w:cs="Times New Roman"/>
                <w:b w:val="0"/>
                <w:bCs w:val="0"/>
                <w:i/>
                <w:iCs/>
                <w:caps w:val="0"/>
                <w:color w:val="auto"/>
                <w:kern w:val="2"/>
                <w:sz w:val="24"/>
                <w:szCs w:val="24"/>
                <w:highlight w:val="none"/>
                <w:vertAlign w:val="subscript"/>
                <w:lang w:val="en-US" w:eastAsia="zh-CN" w:bidi="ar-SA"/>
              </w:rPr>
              <w:t>0</w:t>
            </w:r>
            <w:r>
              <w:rPr>
                <w:rFonts w:hint="default" w:ascii="Times New Roman" w:hAnsi="Times New Roman" w:eastAsia="宋体" w:cs="Times New Roman"/>
                <w:b w:val="0"/>
                <w:bCs w:val="0"/>
                <w:caps w:val="0"/>
                <w:color w:val="auto"/>
                <w:kern w:val="2"/>
                <w:sz w:val="24"/>
                <w:szCs w:val="24"/>
                <w:highlight w:val="none"/>
                <w:lang w:val="en-US" w:eastAsia="zh-CN" w:bidi="ar-SA"/>
              </w:rPr>
              <w:t>—参考位置距声源的距离。</w:t>
            </w:r>
          </w:p>
          <w:p w14:paraId="3D5C29BE">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②室内声源等效室外声源声功率级计算方法</w:t>
            </w:r>
          </w:p>
          <w:p w14:paraId="6CA56EC4">
            <w:pPr>
              <w:pStyle w:val="11"/>
              <w:shd w:val="clear"/>
              <w:rPr>
                <w:rFonts w:hint="eastAsia" w:eastAsia="宋体"/>
                <w:color w:val="auto"/>
                <w:lang w:eastAsia="zh-CN"/>
              </w:rPr>
            </w:pPr>
            <w:r>
              <w:rPr>
                <w:rFonts w:hint="eastAsia"/>
                <w:color w:val="auto"/>
                <w:lang w:eastAsia="zh-CN"/>
              </w:rPr>
              <w:t>项目生产车间无窗户，车间门常闭，未进行室外声源等效，只考虑距离衰减和建筑物插入损失。</w:t>
            </w:r>
          </w:p>
          <w:p w14:paraId="493A7C81">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 1 \* ROMAN \* MERGEFORMAT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I</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、室内声源可采用等效室外声源声功率级法进行计算：</w:t>
            </w:r>
          </w:p>
          <w:p w14:paraId="3BFFF5AB">
            <w:pPr>
              <w:keepNext w:val="0"/>
              <w:keepLines w:val="0"/>
              <w:pageBreakBefore w:val="0"/>
              <w:widowControl w:val="0"/>
              <w:shd w:val="clear"/>
              <w:kinsoku/>
              <w:wordWrap/>
              <w:overflowPunct/>
              <w:topLinePunct w:val="0"/>
              <w:bidi w:val="0"/>
              <w:snapToGrid/>
              <w:spacing w:line="360" w:lineRule="auto"/>
              <w:ind w:left="0" w:leftChars="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kern w:val="0"/>
                <w:position w:val="-14"/>
                <w:highlight w:val="none"/>
                <w:lang w:eastAsia="zh-CN"/>
              </w:rPr>
              <w:object>
                <v:shape id="_x0000_i1032" o:spt="75" type="#_x0000_t75" style="height:19pt;width:93pt;" o:ole="t" filled="f" o:preferrelative="t" stroked="f" coordsize="21600,21600">
                  <v:path/>
                  <v:fill on="f" focussize="0,0"/>
                  <v:stroke on="f"/>
                  <v:imagedata r:id="rId26" o:title=""/>
                  <o:lock v:ext="edit" aspectratio="t"/>
                  <w10:wrap type="none"/>
                  <w10:anchorlock/>
                </v:shape>
                <o:OLEObject Type="Embed" ProgID="Equation.KSEE3" ShapeID="_x0000_i1032" DrawAspect="Content" ObjectID="_1468075732" r:id="rId25">
                  <o:LockedField>false</o:LockedField>
                </o:OLEObject>
              </w:object>
            </w:r>
          </w:p>
          <w:p w14:paraId="0FBC4BED">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p>
          <w:p w14:paraId="07370BEF">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L</w:t>
            </w:r>
            <w:r>
              <w:rPr>
                <w:rFonts w:hint="default" w:ascii="Times New Roman" w:hAnsi="Times New Roman" w:cs="Times New Roman"/>
                <w:i/>
                <w:iCs/>
                <w:color w:val="auto"/>
                <w:sz w:val="24"/>
                <w:highlight w:val="none"/>
                <w:vertAlign w:val="subscript"/>
              </w:rPr>
              <w:t>P1</w:t>
            </w:r>
            <w:r>
              <w:rPr>
                <w:rFonts w:hint="default" w:ascii="Times New Roman" w:hAnsi="Times New Roman" w:cs="Times New Roman"/>
                <w:color w:val="auto"/>
                <w:sz w:val="24"/>
                <w:highlight w:val="none"/>
              </w:rPr>
              <w:t>—靠近开口处（或窗户）室内某倍频带</w:t>
            </w:r>
            <w:r>
              <w:rPr>
                <w:rFonts w:hint="default" w:ascii="Times New Roman" w:hAnsi="Times New Roman" w:cs="Times New Roman"/>
                <w:color w:val="auto"/>
                <w:sz w:val="24"/>
                <w:highlight w:val="none"/>
                <w:lang w:val="en-US" w:eastAsia="zh-CN"/>
              </w:rPr>
              <w:t>的</w:t>
            </w:r>
            <w:r>
              <w:rPr>
                <w:rFonts w:hint="default" w:ascii="Times New Roman" w:hAnsi="Times New Roman" w:cs="Times New Roman"/>
                <w:color w:val="auto"/>
                <w:sz w:val="24"/>
                <w:highlight w:val="none"/>
              </w:rPr>
              <w:t>声压级</w:t>
            </w:r>
            <w:r>
              <w:rPr>
                <w:rFonts w:hint="default" w:ascii="Times New Roman" w:hAnsi="Times New Roman" w:cs="Times New Roman"/>
                <w:color w:val="auto"/>
                <w:sz w:val="24"/>
                <w:highlight w:val="none"/>
                <w:lang w:val="en-US" w:eastAsia="zh-CN"/>
              </w:rPr>
              <w:t>或A声级</w:t>
            </w:r>
            <w:r>
              <w:rPr>
                <w:rFonts w:hint="default" w:ascii="Times New Roman" w:hAnsi="Times New Roman" w:cs="Times New Roman"/>
                <w:color w:val="auto"/>
                <w:sz w:val="24"/>
                <w:highlight w:val="none"/>
              </w:rPr>
              <w:t>，dB；</w:t>
            </w:r>
          </w:p>
          <w:p w14:paraId="3796C46C">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L</w:t>
            </w:r>
            <w:r>
              <w:rPr>
                <w:rFonts w:hint="default" w:ascii="Times New Roman" w:hAnsi="Times New Roman" w:cs="Times New Roman"/>
                <w:i/>
                <w:iCs/>
                <w:color w:val="auto"/>
                <w:sz w:val="24"/>
                <w:highlight w:val="none"/>
                <w:vertAlign w:val="subscript"/>
              </w:rPr>
              <w:t>P2</w:t>
            </w:r>
            <w:r>
              <w:rPr>
                <w:rFonts w:hint="default" w:ascii="Times New Roman" w:hAnsi="Times New Roman" w:cs="Times New Roman"/>
                <w:color w:val="auto"/>
                <w:sz w:val="24"/>
                <w:highlight w:val="none"/>
              </w:rPr>
              <w:t>—靠近开口处（或窗户）室外某倍频带</w:t>
            </w:r>
            <w:r>
              <w:rPr>
                <w:rFonts w:hint="default" w:ascii="Times New Roman" w:hAnsi="Times New Roman" w:cs="Times New Roman"/>
                <w:color w:val="auto"/>
                <w:sz w:val="24"/>
                <w:highlight w:val="none"/>
                <w:lang w:val="en-US" w:eastAsia="zh-CN"/>
              </w:rPr>
              <w:t>的</w:t>
            </w:r>
            <w:r>
              <w:rPr>
                <w:rFonts w:hint="default" w:ascii="Times New Roman" w:hAnsi="Times New Roman" w:cs="Times New Roman"/>
                <w:color w:val="auto"/>
                <w:sz w:val="24"/>
                <w:highlight w:val="none"/>
              </w:rPr>
              <w:t>声压级</w:t>
            </w:r>
            <w:r>
              <w:rPr>
                <w:rFonts w:hint="default" w:ascii="Times New Roman" w:hAnsi="Times New Roman" w:cs="Times New Roman"/>
                <w:color w:val="auto"/>
                <w:sz w:val="24"/>
                <w:highlight w:val="none"/>
                <w:lang w:val="en-US" w:eastAsia="zh-CN"/>
              </w:rPr>
              <w:t>或A声级</w:t>
            </w:r>
            <w:r>
              <w:rPr>
                <w:rFonts w:hint="default" w:ascii="Times New Roman" w:hAnsi="Times New Roman" w:cs="Times New Roman"/>
                <w:color w:val="auto"/>
                <w:sz w:val="24"/>
                <w:highlight w:val="none"/>
              </w:rPr>
              <w:t>，dB；</w:t>
            </w:r>
          </w:p>
          <w:p w14:paraId="70D7F0C2">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TL</w:t>
            </w:r>
            <w:r>
              <w:rPr>
                <w:rFonts w:hint="default" w:ascii="Times New Roman" w:hAnsi="Times New Roman" w:cs="Times New Roman"/>
                <w:color w:val="auto"/>
                <w:sz w:val="24"/>
                <w:highlight w:val="none"/>
              </w:rPr>
              <w:t>—隔墙（或窗户）倍频带</w:t>
            </w:r>
            <w:r>
              <w:rPr>
                <w:rFonts w:hint="default" w:ascii="Times New Roman" w:hAnsi="Times New Roman" w:cs="Times New Roman"/>
                <w:color w:val="auto"/>
                <w:sz w:val="24"/>
                <w:highlight w:val="none"/>
                <w:lang w:val="en-US" w:eastAsia="zh-CN"/>
              </w:rPr>
              <w:t>或A声级</w:t>
            </w:r>
            <w:r>
              <w:rPr>
                <w:rFonts w:hint="default" w:ascii="Times New Roman" w:hAnsi="Times New Roman" w:cs="Times New Roman"/>
                <w:color w:val="auto"/>
                <w:sz w:val="24"/>
                <w:highlight w:val="none"/>
              </w:rPr>
              <w:t>的隔声量，dB。</w:t>
            </w:r>
          </w:p>
          <w:p w14:paraId="44147B45">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也可计算某一室内声源靠近围护结构处产生的倍频带声压级或A声级：</w:t>
            </w:r>
          </w:p>
          <w:p w14:paraId="6278EE0C">
            <w:pPr>
              <w:keepNext w:val="0"/>
              <w:keepLines w:val="0"/>
              <w:pageBreakBefore w:val="0"/>
              <w:widowControl w:val="0"/>
              <w:shd w:val="clear"/>
              <w:kinsoku/>
              <w:wordWrap/>
              <w:overflowPunct/>
              <w:topLinePunct w:val="0"/>
              <w:autoSpaceDE/>
              <w:autoSpaceDN/>
              <w:bidi w:val="0"/>
              <w:adjustRightInd/>
              <w:snapToGrid/>
              <w:spacing w:line="360" w:lineRule="auto"/>
              <w:ind w:left="0" w:leftChars="0"/>
              <w:jc w:val="both"/>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position w:val="-24"/>
                <w:sz w:val="24"/>
                <w:highlight w:val="none"/>
                <w:lang w:eastAsia="zh-CN"/>
              </w:rPr>
              <w:object>
                <v:shape id="_x0000_i1033" o:spt="75" type="#_x0000_t75" style="height:31pt;width:168pt;" o:ole="t" filled="f" o:preferrelative="t" stroked="f" coordsize="21600,21600">
                  <v:path/>
                  <v:fill on="f" focussize="0,0"/>
                  <v:stroke on="f"/>
                  <v:imagedata r:id="rId28" o:title=""/>
                  <o:lock v:ext="edit" aspectratio="t"/>
                  <w10:wrap type="none"/>
                  <w10:anchorlock/>
                </v:shape>
                <o:OLEObject Type="Embed" ProgID="Equation.KSEE3" ShapeID="_x0000_i1033" DrawAspect="Content" ObjectID="_1468075733" r:id="rId27">
                  <o:LockedField>false</o:LockedField>
                </o:OLEObject>
              </w:object>
            </w:r>
          </w:p>
          <w:p w14:paraId="2C991B6C">
            <w:pPr>
              <w:keepNext w:val="0"/>
              <w:keepLines w:val="0"/>
              <w:pageBreakBefore w:val="0"/>
              <w:widowControl w:val="0"/>
              <w:shd w:val="clear"/>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p>
          <w:p w14:paraId="2748773A">
            <w:pPr>
              <w:keepNext w:val="0"/>
              <w:keepLines w:val="0"/>
              <w:pageBreakBefore w:val="0"/>
              <w:widowControl w:val="0"/>
              <w:shd w:val="clear"/>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L</w:t>
            </w:r>
            <w:r>
              <w:rPr>
                <w:rFonts w:hint="default" w:ascii="Times New Roman" w:hAnsi="Times New Roman" w:cs="Times New Roman"/>
                <w:i/>
                <w:iCs/>
                <w:color w:val="auto"/>
                <w:sz w:val="24"/>
                <w:highlight w:val="none"/>
                <w:vertAlign w:val="subscript"/>
              </w:rPr>
              <w:t>P1</w:t>
            </w:r>
            <w:r>
              <w:rPr>
                <w:rFonts w:hint="default" w:ascii="Times New Roman" w:hAnsi="Times New Roman" w:cs="Times New Roman"/>
                <w:color w:val="auto"/>
                <w:sz w:val="24"/>
                <w:highlight w:val="none"/>
              </w:rPr>
              <w:t>—靠近开口处（或窗户）室内某倍频带</w:t>
            </w:r>
            <w:r>
              <w:rPr>
                <w:rFonts w:hint="default" w:ascii="Times New Roman" w:hAnsi="Times New Roman" w:cs="Times New Roman"/>
                <w:color w:val="auto"/>
                <w:sz w:val="24"/>
                <w:highlight w:val="none"/>
                <w:lang w:val="en-US" w:eastAsia="zh-CN"/>
              </w:rPr>
              <w:t>的</w:t>
            </w:r>
            <w:r>
              <w:rPr>
                <w:rFonts w:hint="default" w:ascii="Times New Roman" w:hAnsi="Times New Roman" w:cs="Times New Roman"/>
                <w:color w:val="auto"/>
                <w:sz w:val="24"/>
                <w:highlight w:val="none"/>
              </w:rPr>
              <w:t>声压级</w:t>
            </w:r>
            <w:r>
              <w:rPr>
                <w:rFonts w:hint="default" w:ascii="Times New Roman" w:hAnsi="Times New Roman" w:cs="Times New Roman"/>
                <w:color w:val="auto"/>
                <w:sz w:val="24"/>
                <w:highlight w:val="none"/>
                <w:lang w:val="en-US" w:eastAsia="zh-CN"/>
              </w:rPr>
              <w:t>或A声级</w:t>
            </w:r>
            <w:r>
              <w:rPr>
                <w:rFonts w:hint="default" w:ascii="Times New Roman" w:hAnsi="Times New Roman" w:cs="Times New Roman"/>
                <w:color w:val="auto"/>
                <w:sz w:val="24"/>
                <w:highlight w:val="none"/>
              </w:rPr>
              <w:t>，dB；</w:t>
            </w:r>
          </w:p>
          <w:p w14:paraId="6844454B">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highlight w:val="none"/>
                <w:vertAlign w:val="baseline"/>
                <w:lang w:val="en-US" w:eastAsia="zh-CN"/>
              </w:rPr>
            </w:pPr>
            <w:r>
              <w:rPr>
                <w:rFonts w:hint="default" w:ascii="Times New Roman" w:hAnsi="Times New Roman" w:cs="Times New Roman"/>
                <w:i/>
                <w:iCs/>
                <w:color w:val="auto"/>
                <w:sz w:val="24"/>
                <w:highlight w:val="none"/>
                <w:lang w:val="en-US" w:eastAsia="zh-CN"/>
              </w:rPr>
              <w:t>L</w:t>
            </w:r>
            <w:r>
              <w:rPr>
                <w:rFonts w:hint="default" w:ascii="Times New Roman" w:hAnsi="Times New Roman" w:cs="Times New Roman"/>
                <w:i/>
                <w:iCs/>
                <w:color w:val="auto"/>
                <w:sz w:val="24"/>
                <w:highlight w:val="none"/>
                <w:vertAlign w:val="subscript"/>
                <w:lang w:val="en-US" w:eastAsia="zh-CN"/>
              </w:rPr>
              <w:t>w</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点声源声功率级（A计权或倍频带），dB；</w:t>
            </w:r>
          </w:p>
          <w:p w14:paraId="7B90DDB4">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Q</w:t>
            </w:r>
            <w:r>
              <w:rPr>
                <w:rFonts w:hint="default" w:ascii="Times New Roman" w:hAnsi="Times New Roman" w:cs="Times New Roman"/>
                <w:color w:val="auto"/>
                <w:sz w:val="24"/>
                <w:highlight w:val="none"/>
              </w:rPr>
              <w:t>—指向因数；通常对无指向性声源，当声源放在房间中心时，Q=1；当放在一面墙的中心时，Q=2；当放在两面墙夹角处时，Q=4；当放在三面墙夹角处时，Q=8。</w:t>
            </w:r>
          </w:p>
          <w:p w14:paraId="0D5DF2FE">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R—房间常数，R=Sα</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α），S为房间内表面面积，m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；α为平均吸声系数。</w:t>
            </w:r>
          </w:p>
          <w:p w14:paraId="5BE79137">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r</w:t>
            </w:r>
            <w:r>
              <w:rPr>
                <w:rFonts w:hint="default" w:ascii="Times New Roman" w:hAnsi="Times New Roman" w:cs="Times New Roman"/>
                <w:color w:val="auto"/>
                <w:sz w:val="24"/>
                <w:highlight w:val="none"/>
              </w:rPr>
              <w:t>—声源到靠近围护结构某点处的距离，m。</w:t>
            </w:r>
          </w:p>
          <w:p w14:paraId="70A5465A">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cs="Times New Roman"/>
                <w:color w:val="auto"/>
                <w:kern w:val="0"/>
                <w:highlight w:val="none"/>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 2 \* ROMAN \* MERGEFORMAT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II</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、计算出所有室内声源在围护结构处产生的i倍频带叠加声压级：</w:t>
            </w:r>
          </w:p>
          <w:p w14:paraId="7CD2BA93">
            <w:pPr>
              <w:pStyle w:val="44"/>
              <w:keepNext w:val="0"/>
              <w:keepLines w:val="0"/>
              <w:pageBreakBefore w:val="0"/>
              <w:widowControl w:val="0"/>
              <w:shd w:val="clear"/>
              <w:kinsoku/>
              <w:wordWrap/>
              <w:overflowPunct/>
              <w:topLinePunct w:val="0"/>
              <w:bidi w:val="0"/>
              <w:snapToGrid/>
              <w:spacing w:before="0" w:after="0" w:line="360" w:lineRule="auto"/>
              <w:ind w:left="0" w:leftChars="0"/>
              <w:jc w:val="both"/>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position w:val="-30"/>
                <w:highlight w:val="none"/>
              </w:rPr>
              <w:object>
                <v:shape id="_x0000_i1034" o:spt="75" type="#_x0000_t75" style="height:35pt;width:129.05pt;" o:ole="t" filled="f" o:preferrelative="f" stroked="f" coordsize="21600,21600">
                  <v:path/>
                  <v:fill on="f" focussize="0,0"/>
                  <v:stroke on="f"/>
                  <v:imagedata r:id="rId30" o:title=""/>
                  <o:lock v:ext="edit" rotation="t" aspectratio="f"/>
                  <w10:wrap type="none"/>
                  <w10:anchorlock/>
                </v:shape>
                <o:OLEObject Type="Embed" ProgID="Equation.3" ShapeID="_x0000_i1034" DrawAspect="Content" ObjectID="_1468075734" r:id="rId29">
                  <o:LockedField>false</o:LockedField>
                </o:OLEObject>
              </w:object>
            </w:r>
          </w:p>
          <w:p w14:paraId="055BE346">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式中：</w:t>
            </w:r>
          </w:p>
          <w:p w14:paraId="6C98DA07">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i/>
                <w:color w:val="auto"/>
                <w:kern w:val="0"/>
                <w:highlight w:val="none"/>
              </w:rPr>
              <w:t>L</w:t>
            </w:r>
            <w:r>
              <w:rPr>
                <w:rFonts w:hint="default" w:ascii="Times New Roman" w:hAnsi="Times New Roman" w:cs="Times New Roman"/>
                <w:i/>
                <w:color w:val="auto"/>
                <w:kern w:val="0"/>
                <w:highlight w:val="none"/>
                <w:vertAlign w:val="subscript"/>
              </w:rPr>
              <w:t>P</w:t>
            </w:r>
            <w:r>
              <w:rPr>
                <w:rFonts w:hint="default" w:ascii="Times New Roman" w:hAnsi="Times New Roman" w:cs="Times New Roman"/>
                <w:color w:val="auto"/>
                <w:kern w:val="0"/>
                <w:highlight w:val="none"/>
                <w:vertAlign w:val="subscript"/>
              </w:rPr>
              <w:t>1</w:t>
            </w:r>
            <w:r>
              <w:rPr>
                <w:rFonts w:hint="default" w:ascii="Times New Roman" w:hAnsi="Times New Roman" w:cs="Times New Roman"/>
                <w:i/>
                <w:color w:val="auto"/>
                <w:kern w:val="0"/>
                <w:highlight w:val="none"/>
                <w:vertAlign w:val="subscript"/>
              </w:rPr>
              <w:t>i</w:t>
            </w:r>
            <w:r>
              <w:rPr>
                <w:rFonts w:hint="default" w:ascii="Times New Roman" w:hAnsi="Times New Roman" w:cs="Times New Roman"/>
                <w:color w:val="auto"/>
                <w:kern w:val="0"/>
                <w:highlight w:val="none"/>
              </w:rPr>
              <w:t>（</w:t>
            </w:r>
            <w:r>
              <w:rPr>
                <w:rFonts w:hint="default" w:ascii="Times New Roman" w:hAnsi="Times New Roman" w:cs="Times New Roman"/>
                <w:i/>
                <w:color w:val="auto"/>
                <w:kern w:val="0"/>
                <w:highlight w:val="none"/>
              </w:rPr>
              <w:t>T</w:t>
            </w:r>
            <w:r>
              <w:rPr>
                <w:rFonts w:hint="default" w:ascii="Times New Roman" w:hAnsi="Times New Roman" w:cs="Times New Roman"/>
                <w:color w:val="auto"/>
                <w:kern w:val="0"/>
                <w:highlight w:val="none"/>
              </w:rPr>
              <w:t>）—靠近围护结构处室内N个声源</w:t>
            </w:r>
            <w:r>
              <w:rPr>
                <w:rFonts w:hint="default" w:ascii="Times New Roman" w:hAnsi="Times New Roman" w:cs="Times New Roman"/>
                <w:i/>
                <w:color w:val="auto"/>
                <w:kern w:val="0"/>
                <w:highlight w:val="none"/>
              </w:rPr>
              <w:t>i</w:t>
            </w:r>
            <w:r>
              <w:rPr>
                <w:rFonts w:hint="default" w:ascii="Times New Roman" w:hAnsi="Times New Roman" w:cs="Times New Roman"/>
                <w:color w:val="auto"/>
                <w:kern w:val="0"/>
                <w:highlight w:val="none"/>
              </w:rPr>
              <w:t>倍频带的叠加声压级，dB；</w:t>
            </w:r>
          </w:p>
          <w:p w14:paraId="5F8A0A4D">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auto"/>
                <w:kern w:val="0"/>
                <w:highlight w:val="none"/>
              </w:rPr>
            </w:pPr>
            <w:r>
              <w:rPr>
                <w:rFonts w:hint="default" w:ascii="Times New Roman" w:hAnsi="Times New Roman" w:cs="Times New Roman"/>
                <w:i/>
                <w:color w:val="auto"/>
                <w:kern w:val="0"/>
                <w:highlight w:val="none"/>
              </w:rPr>
              <w:t>L</w:t>
            </w:r>
            <w:r>
              <w:rPr>
                <w:rFonts w:hint="default" w:ascii="Times New Roman" w:hAnsi="Times New Roman" w:cs="Times New Roman"/>
                <w:i/>
                <w:color w:val="auto"/>
                <w:kern w:val="0"/>
                <w:highlight w:val="none"/>
                <w:vertAlign w:val="subscript"/>
              </w:rPr>
              <w:t>P</w:t>
            </w:r>
            <w:r>
              <w:rPr>
                <w:rFonts w:hint="default" w:ascii="Times New Roman" w:hAnsi="Times New Roman" w:cs="Times New Roman"/>
                <w:color w:val="auto"/>
                <w:kern w:val="0"/>
                <w:highlight w:val="none"/>
                <w:vertAlign w:val="subscript"/>
              </w:rPr>
              <w:t>1</w:t>
            </w:r>
            <w:r>
              <w:rPr>
                <w:rFonts w:hint="default" w:ascii="Times New Roman" w:hAnsi="Times New Roman" w:cs="Times New Roman"/>
                <w:i/>
                <w:color w:val="auto"/>
                <w:kern w:val="0"/>
                <w:highlight w:val="none"/>
                <w:vertAlign w:val="subscript"/>
              </w:rPr>
              <w:t>ij</w:t>
            </w:r>
            <w:r>
              <w:rPr>
                <w:rFonts w:hint="default" w:ascii="Times New Roman" w:hAnsi="Times New Roman" w:cs="Times New Roman"/>
                <w:i/>
                <w:color w:val="auto"/>
                <w:kern w:val="0"/>
                <w:highlight w:val="none"/>
              </w:rPr>
              <w:t>—</w:t>
            </w:r>
            <w:r>
              <w:rPr>
                <w:rFonts w:hint="default" w:ascii="Times New Roman" w:hAnsi="Times New Roman" w:cs="Times New Roman"/>
                <w:color w:val="auto"/>
                <w:kern w:val="0"/>
                <w:highlight w:val="none"/>
              </w:rPr>
              <w:t>室内</w:t>
            </w:r>
            <w:r>
              <w:rPr>
                <w:rFonts w:hint="default" w:ascii="Times New Roman" w:hAnsi="Times New Roman" w:cs="Times New Roman"/>
                <w:i/>
                <w:color w:val="auto"/>
                <w:kern w:val="0"/>
                <w:highlight w:val="none"/>
              </w:rPr>
              <w:t>j</w:t>
            </w:r>
            <w:r>
              <w:rPr>
                <w:rFonts w:hint="default" w:ascii="Times New Roman" w:hAnsi="Times New Roman" w:cs="Times New Roman"/>
                <w:color w:val="auto"/>
                <w:kern w:val="0"/>
                <w:highlight w:val="none"/>
              </w:rPr>
              <w:t>声源</w:t>
            </w:r>
            <w:r>
              <w:rPr>
                <w:rFonts w:hint="default" w:ascii="Times New Roman" w:hAnsi="Times New Roman" w:cs="Times New Roman"/>
                <w:i/>
                <w:color w:val="auto"/>
                <w:kern w:val="0"/>
                <w:highlight w:val="none"/>
              </w:rPr>
              <w:t>i</w:t>
            </w:r>
            <w:r>
              <w:rPr>
                <w:rFonts w:hint="default" w:ascii="Times New Roman" w:hAnsi="Times New Roman" w:cs="Times New Roman"/>
                <w:color w:val="auto"/>
                <w:kern w:val="0"/>
                <w:highlight w:val="none"/>
              </w:rPr>
              <w:t>倍频带的声压级，dB；</w:t>
            </w:r>
          </w:p>
          <w:p w14:paraId="19D30521">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auto"/>
                <w:kern w:val="0"/>
                <w:highlight w:val="none"/>
              </w:rPr>
            </w:pPr>
            <w:r>
              <w:rPr>
                <w:rFonts w:hint="default" w:ascii="Times New Roman" w:hAnsi="Times New Roman" w:cs="Times New Roman"/>
                <w:i/>
                <w:color w:val="auto"/>
                <w:kern w:val="0"/>
                <w:highlight w:val="none"/>
              </w:rPr>
              <w:t>N</w:t>
            </w:r>
            <w:r>
              <w:rPr>
                <w:rFonts w:hint="default" w:ascii="Times New Roman" w:hAnsi="Times New Roman" w:cs="Times New Roman"/>
                <w:color w:val="auto"/>
                <w:kern w:val="0"/>
                <w:highlight w:val="none"/>
              </w:rPr>
              <w:t>—室内声源总数。</w:t>
            </w:r>
          </w:p>
          <w:p w14:paraId="2DA58082">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 3 \* ROMAN \* MERGEFORMAT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III</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、计算出靠近室外围护结构处的声压级：</w:t>
            </w:r>
          </w:p>
          <w:p w14:paraId="23AAFA0B">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eastAsia="宋体" w:cs="Times New Roman"/>
                <w:color w:val="auto"/>
                <w:kern w:val="0"/>
                <w:position w:val="-14"/>
                <w:highlight w:val="none"/>
                <w:lang w:eastAsia="zh-CN"/>
              </w:rPr>
            </w:pPr>
            <w:r>
              <w:rPr>
                <w:rFonts w:hint="default" w:ascii="Times New Roman" w:hAnsi="Times New Roman" w:eastAsia="宋体" w:cs="Times New Roman"/>
                <w:color w:val="auto"/>
                <w:kern w:val="0"/>
                <w:position w:val="-14"/>
                <w:highlight w:val="none"/>
                <w:lang w:eastAsia="zh-CN"/>
              </w:rPr>
              <w:object>
                <v:shape id="_x0000_i1035" o:spt="75" type="#_x0000_t75" style="height:19pt;width:131pt;" o:ole="t" filled="f" o:preferrelative="t" stroked="f" coordsize="21600,21600">
                  <v:path/>
                  <v:fill on="f" focussize="0,0"/>
                  <v:stroke on="f"/>
                  <v:imagedata r:id="rId32" o:title=""/>
                  <o:lock v:ext="edit" aspectratio="t"/>
                  <w10:wrap type="none"/>
                  <w10:anchorlock/>
                </v:shape>
                <o:OLEObject Type="Embed" ProgID="Equation.KSEE3" ShapeID="_x0000_i1035" DrawAspect="Content" ObjectID="_1468075735" r:id="rId31">
                  <o:LockedField>false</o:LockedField>
                </o:OLEObject>
              </w:object>
            </w:r>
          </w:p>
          <w:p w14:paraId="36348484">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式中：</w:t>
            </w:r>
          </w:p>
          <w:p w14:paraId="3A4270AC">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i/>
                <w:color w:val="auto"/>
                <w:kern w:val="0"/>
                <w:highlight w:val="none"/>
              </w:rPr>
              <w:t>L</w:t>
            </w:r>
            <w:r>
              <w:rPr>
                <w:rFonts w:hint="default" w:ascii="Times New Roman" w:hAnsi="Times New Roman" w:cs="Times New Roman"/>
                <w:i/>
                <w:color w:val="auto"/>
                <w:kern w:val="0"/>
                <w:highlight w:val="none"/>
                <w:vertAlign w:val="subscript"/>
              </w:rPr>
              <w:t>P</w:t>
            </w:r>
            <w:r>
              <w:rPr>
                <w:rFonts w:hint="default" w:ascii="Times New Roman" w:hAnsi="Times New Roman" w:cs="Times New Roman"/>
                <w:color w:val="auto"/>
                <w:kern w:val="0"/>
                <w:highlight w:val="none"/>
                <w:vertAlign w:val="subscript"/>
              </w:rPr>
              <w:t>2</w:t>
            </w:r>
            <w:r>
              <w:rPr>
                <w:rFonts w:hint="default" w:ascii="Times New Roman" w:hAnsi="Times New Roman" w:cs="Times New Roman"/>
                <w:i/>
                <w:color w:val="auto"/>
                <w:kern w:val="0"/>
                <w:highlight w:val="none"/>
                <w:vertAlign w:val="subscript"/>
              </w:rPr>
              <w:t>i</w:t>
            </w:r>
            <w:r>
              <w:rPr>
                <w:rFonts w:hint="eastAsia" w:cs="Times New Roman"/>
                <w:color w:val="auto"/>
                <w:kern w:val="0"/>
                <w:highlight w:val="none"/>
                <w:lang w:val="en-US" w:eastAsia="zh-CN"/>
              </w:rPr>
              <w:t>（</w:t>
            </w:r>
            <w:r>
              <w:rPr>
                <w:rFonts w:hint="default" w:ascii="Times New Roman" w:hAnsi="Times New Roman" w:cs="Times New Roman"/>
                <w:i/>
                <w:color w:val="auto"/>
                <w:kern w:val="0"/>
                <w:highlight w:val="none"/>
              </w:rPr>
              <w:t>T</w:t>
            </w:r>
            <w:r>
              <w:rPr>
                <w:rFonts w:hint="eastAsia" w:cs="Times New Roman"/>
                <w:color w:val="auto"/>
                <w:kern w:val="0"/>
                <w:highlight w:val="none"/>
                <w:lang w:val="en-US" w:eastAsia="zh-CN"/>
              </w:rPr>
              <w:t>）</w:t>
            </w:r>
            <w:r>
              <w:rPr>
                <w:rFonts w:hint="default" w:ascii="Times New Roman" w:hAnsi="Times New Roman" w:cs="Times New Roman"/>
                <w:color w:val="auto"/>
                <w:kern w:val="0"/>
                <w:highlight w:val="none"/>
              </w:rPr>
              <w:t>—靠近围护结构处室外N个噪声源</w:t>
            </w:r>
            <w:r>
              <w:rPr>
                <w:rFonts w:hint="default" w:ascii="Times New Roman" w:hAnsi="Times New Roman" w:cs="Times New Roman"/>
                <w:i/>
                <w:color w:val="auto"/>
                <w:kern w:val="0"/>
                <w:highlight w:val="none"/>
              </w:rPr>
              <w:t>i</w:t>
            </w:r>
            <w:r>
              <w:rPr>
                <w:rFonts w:hint="default" w:ascii="Times New Roman" w:hAnsi="Times New Roman" w:cs="Times New Roman"/>
                <w:color w:val="auto"/>
                <w:kern w:val="0"/>
                <w:highlight w:val="none"/>
              </w:rPr>
              <w:t>倍频带的叠加声压级，dB；</w:t>
            </w:r>
          </w:p>
          <w:p w14:paraId="675C0E91">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kern w:val="0"/>
                <w:highlight w:val="none"/>
              </w:rPr>
            </w:pPr>
            <w:r>
              <w:rPr>
                <w:rFonts w:hint="default" w:ascii="Times New Roman" w:hAnsi="Times New Roman" w:cs="Times New Roman"/>
                <w:i/>
                <w:color w:val="auto"/>
                <w:kern w:val="0"/>
                <w:highlight w:val="none"/>
              </w:rPr>
              <w:t>L</w:t>
            </w:r>
            <w:r>
              <w:rPr>
                <w:rFonts w:hint="default" w:ascii="Times New Roman" w:hAnsi="Times New Roman" w:cs="Times New Roman"/>
                <w:i/>
                <w:color w:val="auto"/>
                <w:kern w:val="0"/>
                <w:highlight w:val="none"/>
                <w:vertAlign w:val="subscript"/>
              </w:rPr>
              <w:t>P</w:t>
            </w:r>
            <w:r>
              <w:rPr>
                <w:rFonts w:hint="default" w:ascii="Times New Roman" w:hAnsi="Times New Roman" w:cs="Times New Roman"/>
                <w:color w:val="auto"/>
                <w:kern w:val="0"/>
                <w:highlight w:val="none"/>
                <w:vertAlign w:val="subscript"/>
                <w:lang w:val="en-US" w:eastAsia="zh-CN"/>
              </w:rPr>
              <w:t>1</w:t>
            </w:r>
            <w:r>
              <w:rPr>
                <w:rFonts w:hint="default" w:ascii="Times New Roman" w:hAnsi="Times New Roman" w:cs="Times New Roman"/>
                <w:i/>
                <w:color w:val="auto"/>
                <w:kern w:val="0"/>
                <w:highlight w:val="none"/>
                <w:vertAlign w:val="subscript"/>
              </w:rPr>
              <w:t>i</w:t>
            </w:r>
            <w:r>
              <w:rPr>
                <w:rFonts w:hint="eastAsia" w:cs="Times New Roman"/>
                <w:color w:val="auto"/>
                <w:kern w:val="0"/>
                <w:highlight w:val="none"/>
                <w:lang w:val="en-US" w:eastAsia="zh-CN"/>
              </w:rPr>
              <w:t>（</w:t>
            </w:r>
            <w:r>
              <w:rPr>
                <w:rFonts w:hint="default" w:ascii="Times New Roman" w:hAnsi="Times New Roman" w:cs="Times New Roman"/>
                <w:i/>
                <w:color w:val="auto"/>
                <w:kern w:val="0"/>
                <w:highlight w:val="none"/>
              </w:rPr>
              <w:t>T</w:t>
            </w:r>
            <w:r>
              <w:rPr>
                <w:rFonts w:hint="eastAsia" w:cs="Times New Roman"/>
                <w:color w:val="auto"/>
                <w:kern w:val="0"/>
                <w:highlight w:val="none"/>
                <w:lang w:val="en-US" w:eastAsia="zh-CN"/>
              </w:rPr>
              <w:t>）</w:t>
            </w:r>
            <w:r>
              <w:rPr>
                <w:rFonts w:hint="default" w:ascii="Times New Roman" w:hAnsi="Times New Roman" w:cs="Times New Roman"/>
                <w:color w:val="auto"/>
                <w:kern w:val="0"/>
                <w:highlight w:val="none"/>
              </w:rPr>
              <w:t>—靠近围护结构处室</w:t>
            </w:r>
            <w:r>
              <w:rPr>
                <w:rFonts w:hint="default" w:ascii="Times New Roman" w:hAnsi="Times New Roman" w:cs="Times New Roman"/>
                <w:color w:val="auto"/>
                <w:kern w:val="0"/>
                <w:highlight w:val="none"/>
                <w:lang w:val="en-US" w:eastAsia="zh-CN"/>
              </w:rPr>
              <w:t>内</w:t>
            </w:r>
            <w:r>
              <w:rPr>
                <w:rFonts w:hint="default" w:ascii="Times New Roman" w:hAnsi="Times New Roman" w:cs="Times New Roman"/>
                <w:color w:val="auto"/>
                <w:kern w:val="0"/>
                <w:highlight w:val="none"/>
              </w:rPr>
              <w:t>N个噪声源</w:t>
            </w:r>
            <w:r>
              <w:rPr>
                <w:rFonts w:hint="default" w:ascii="Times New Roman" w:hAnsi="Times New Roman" w:cs="Times New Roman"/>
                <w:i/>
                <w:color w:val="auto"/>
                <w:kern w:val="0"/>
                <w:highlight w:val="none"/>
              </w:rPr>
              <w:t>i</w:t>
            </w:r>
            <w:r>
              <w:rPr>
                <w:rFonts w:hint="default" w:ascii="Times New Roman" w:hAnsi="Times New Roman" w:cs="Times New Roman"/>
                <w:color w:val="auto"/>
                <w:kern w:val="0"/>
                <w:highlight w:val="none"/>
              </w:rPr>
              <w:t>倍频带的叠加声压级，dB；</w:t>
            </w:r>
          </w:p>
          <w:p w14:paraId="242685EB">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kern w:val="0"/>
                <w:highlight w:val="none"/>
              </w:rPr>
            </w:pPr>
            <w:r>
              <w:rPr>
                <w:rFonts w:hint="default" w:ascii="Times New Roman" w:hAnsi="Times New Roman" w:cs="Times New Roman"/>
                <w:i/>
                <w:color w:val="auto"/>
                <w:kern w:val="0"/>
                <w:highlight w:val="none"/>
              </w:rPr>
              <w:t>TL</w:t>
            </w:r>
            <w:r>
              <w:rPr>
                <w:rFonts w:hint="default" w:ascii="Times New Roman" w:hAnsi="Times New Roman" w:cs="Times New Roman"/>
                <w:i/>
                <w:color w:val="auto"/>
                <w:kern w:val="0"/>
                <w:highlight w:val="none"/>
                <w:vertAlign w:val="subscript"/>
              </w:rPr>
              <w:t>i</w:t>
            </w:r>
            <w:r>
              <w:rPr>
                <w:rFonts w:hint="default" w:ascii="Times New Roman" w:hAnsi="Times New Roman" w:cs="Times New Roman"/>
                <w:i/>
                <w:color w:val="auto"/>
                <w:kern w:val="0"/>
                <w:highlight w:val="none"/>
              </w:rPr>
              <w:t>—</w:t>
            </w:r>
            <w:r>
              <w:rPr>
                <w:rFonts w:hint="default" w:ascii="Times New Roman" w:hAnsi="Times New Roman" w:cs="Times New Roman"/>
                <w:color w:val="auto"/>
                <w:kern w:val="0"/>
                <w:highlight w:val="none"/>
              </w:rPr>
              <w:t>围护结构</w:t>
            </w:r>
            <w:r>
              <w:rPr>
                <w:rFonts w:hint="default" w:ascii="Times New Roman" w:hAnsi="Times New Roman" w:cs="Times New Roman"/>
                <w:i/>
                <w:color w:val="auto"/>
                <w:kern w:val="0"/>
                <w:highlight w:val="none"/>
              </w:rPr>
              <w:t>i</w:t>
            </w:r>
            <w:r>
              <w:rPr>
                <w:rFonts w:hint="default" w:ascii="Times New Roman" w:hAnsi="Times New Roman" w:cs="Times New Roman"/>
                <w:color w:val="auto"/>
                <w:kern w:val="0"/>
                <w:highlight w:val="none"/>
              </w:rPr>
              <w:t>倍频带的隔声量。</w:t>
            </w:r>
          </w:p>
          <w:p w14:paraId="13E8F869">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 4 \* ROMAN \* MERGEFORMAT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IV</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、将室外声源的声压级和透过面积换算成等效的室外声源，计算出中心位置位于透声面积（S）处的等效声源的倍频带声功率级：</w:t>
            </w:r>
          </w:p>
          <w:p w14:paraId="6F443E21">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position w:val="-14"/>
                <w:sz w:val="24"/>
                <w:szCs w:val="24"/>
                <w:highlight w:val="none"/>
                <w:lang w:eastAsia="zh-CN"/>
              </w:rPr>
              <w:object>
                <v:shape id="_x0000_i1036" o:spt="75" type="#_x0000_t75" style="height:19pt;width:98pt;" o:ole="t" filled="f" o:preferrelative="t" stroked="f" coordsize="21600,21600">
                  <v:path/>
                  <v:fill on="f" focussize="0,0"/>
                  <v:stroke on="f"/>
                  <v:imagedata r:id="rId34" o:title=""/>
                  <o:lock v:ext="edit" aspectratio="t"/>
                  <w10:wrap type="none"/>
                  <w10:anchorlock/>
                </v:shape>
                <o:OLEObject Type="Embed" ProgID="Equation.KSEE3" ShapeID="_x0000_i1036" DrawAspect="Content" ObjectID="_1468075736" r:id="rId33">
                  <o:LockedField>false</o:LockedField>
                </o:OLEObject>
              </w:object>
            </w:r>
          </w:p>
          <w:p w14:paraId="6C469CA0">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式中：</w:t>
            </w:r>
          </w:p>
          <w:p w14:paraId="37B3F4CA">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i/>
                <w:iCs/>
                <w:color w:val="auto"/>
                <w:sz w:val="24"/>
                <w:szCs w:val="24"/>
                <w:highlight w:val="none"/>
                <w:lang w:val="en-US" w:eastAsia="zh-CN"/>
              </w:rPr>
              <w:t>L</w:t>
            </w:r>
            <w:r>
              <w:rPr>
                <w:rFonts w:hint="default" w:ascii="Times New Roman" w:hAnsi="Times New Roman" w:eastAsia="宋体" w:cs="Times New Roman"/>
                <w:i/>
                <w:iCs/>
                <w:color w:val="auto"/>
                <w:sz w:val="24"/>
                <w:szCs w:val="24"/>
                <w:highlight w:val="none"/>
                <w:vertAlign w:val="subscript"/>
                <w:lang w:val="en-US" w:eastAsia="zh-CN"/>
              </w:rPr>
              <w:t>w</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中心位置位于透声面积（S）处的等效声源的倍频带声功率级，dB；</w:t>
            </w:r>
          </w:p>
          <w:p w14:paraId="03CF1E32">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i/>
                <w:iCs/>
                <w:color w:val="auto"/>
                <w:kern w:val="0"/>
                <w:sz w:val="24"/>
                <w:szCs w:val="24"/>
                <w:highlight w:val="none"/>
                <w:lang w:val="en-US" w:eastAsia="zh-CN"/>
              </w:rPr>
              <w:t>L</w:t>
            </w:r>
            <w:r>
              <w:rPr>
                <w:rFonts w:hint="default" w:ascii="Times New Roman" w:hAnsi="Times New Roman" w:eastAsia="宋体" w:cs="Times New Roman"/>
                <w:i/>
                <w:iCs/>
                <w:color w:val="auto"/>
                <w:kern w:val="0"/>
                <w:sz w:val="24"/>
                <w:szCs w:val="24"/>
                <w:highlight w:val="none"/>
                <w:vertAlign w:val="subscript"/>
                <w:lang w:val="en-US" w:eastAsia="zh-CN"/>
              </w:rPr>
              <w:t>p2</w:t>
            </w:r>
            <w:r>
              <w:rPr>
                <w:rFonts w:hint="default" w:ascii="Times New Roman" w:hAnsi="Times New Roman" w:eastAsia="宋体" w:cs="Times New Roman"/>
                <w:i/>
                <w:iCs/>
                <w:color w:val="auto"/>
                <w:kern w:val="0"/>
                <w:sz w:val="24"/>
                <w:szCs w:val="24"/>
                <w:highlight w:val="none"/>
                <w:lang w:val="en-US" w:eastAsia="zh-CN"/>
              </w:rPr>
              <w:t>（T）</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靠近围护结构处室外声源的声压级，dB；</w:t>
            </w:r>
          </w:p>
          <w:p w14:paraId="236409FE">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S</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透声面积，m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p>
          <w:p w14:paraId="44BE617B">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然后按室外声源预测方法计算预测点处的A声级。</w:t>
            </w:r>
          </w:p>
          <w:p w14:paraId="2740A8B7">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设第i个室外声源在预测点产生的A声级为L</w:t>
            </w:r>
            <w:r>
              <w:rPr>
                <w:rFonts w:hint="default" w:ascii="Times New Roman" w:hAnsi="Times New Roman" w:cs="Times New Roman"/>
                <w:color w:val="auto"/>
                <w:kern w:val="0"/>
                <w:highlight w:val="none"/>
                <w:vertAlign w:val="subscript"/>
              </w:rPr>
              <w:t>Ai</w:t>
            </w:r>
            <w:r>
              <w:rPr>
                <w:rFonts w:hint="default" w:ascii="Times New Roman" w:hAnsi="Times New Roman" w:cs="Times New Roman"/>
                <w:color w:val="auto"/>
                <w:kern w:val="0"/>
                <w:highlight w:val="none"/>
              </w:rPr>
              <w:t>，在T时间内该声源工作时间为t</w:t>
            </w:r>
            <w:r>
              <w:rPr>
                <w:rFonts w:hint="default" w:ascii="Times New Roman" w:hAnsi="Times New Roman" w:cs="Times New Roman"/>
                <w:color w:val="auto"/>
                <w:kern w:val="0"/>
                <w:highlight w:val="none"/>
                <w:vertAlign w:val="subscript"/>
              </w:rPr>
              <w:t>i</w:t>
            </w:r>
            <w:r>
              <w:rPr>
                <w:rFonts w:hint="default" w:ascii="Times New Roman" w:hAnsi="Times New Roman" w:cs="Times New Roman"/>
                <w:color w:val="auto"/>
                <w:kern w:val="0"/>
                <w:highlight w:val="none"/>
              </w:rPr>
              <w:t>；第j个等效室外声源在预测点产生的A声级为L</w:t>
            </w:r>
            <w:r>
              <w:rPr>
                <w:rFonts w:hint="default" w:ascii="Times New Roman" w:hAnsi="Times New Roman" w:cs="Times New Roman"/>
                <w:color w:val="auto"/>
                <w:kern w:val="0"/>
                <w:highlight w:val="none"/>
                <w:vertAlign w:val="subscript"/>
              </w:rPr>
              <w:t>Aj</w:t>
            </w:r>
            <w:r>
              <w:rPr>
                <w:rFonts w:hint="default" w:ascii="Times New Roman" w:hAnsi="Times New Roman" w:cs="Times New Roman"/>
                <w:color w:val="auto"/>
                <w:kern w:val="0"/>
                <w:highlight w:val="none"/>
              </w:rPr>
              <w:t>，在T时间内该声源工作时间为t</w:t>
            </w:r>
            <w:r>
              <w:rPr>
                <w:rFonts w:hint="default" w:ascii="Times New Roman" w:hAnsi="Times New Roman" w:cs="Times New Roman"/>
                <w:color w:val="auto"/>
                <w:kern w:val="0"/>
                <w:highlight w:val="none"/>
                <w:vertAlign w:val="subscript"/>
              </w:rPr>
              <w:t>j</w:t>
            </w:r>
            <w:r>
              <w:rPr>
                <w:rFonts w:hint="default" w:ascii="Times New Roman" w:hAnsi="Times New Roman" w:cs="Times New Roman"/>
                <w:color w:val="auto"/>
                <w:kern w:val="0"/>
                <w:highlight w:val="none"/>
              </w:rPr>
              <w:t>，则</w:t>
            </w:r>
            <w:r>
              <w:rPr>
                <w:rFonts w:hint="default" w:ascii="Times New Roman" w:hAnsi="Times New Roman" w:cs="Times New Roman"/>
                <w:color w:val="auto"/>
                <w:kern w:val="0"/>
                <w:highlight w:val="none"/>
                <w:lang w:val="en-US" w:eastAsia="zh-CN"/>
              </w:rPr>
              <w:t>建设</w:t>
            </w:r>
            <w:r>
              <w:rPr>
                <w:rFonts w:hint="default" w:ascii="Times New Roman" w:hAnsi="Times New Roman" w:cs="Times New Roman"/>
                <w:color w:val="auto"/>
                <w:kern w:val="0"/>
                <w:highlight w:val="none"/>
              </w:rPr>
              <w:t>项目声源对预测点产生的贡献值（L</w:t>
            </w:r>
            <w:r>
              <w:rPr>
                <w:rFonts w:hint="default" w:ascii="Times New Roman" w:hAnsi="Times New Roman" w:cs="Times New Roman"/>
                <w:color w:val="auto"/>
                <w:kern w:val="0"/>
                <w:highlight w:val="none"/>
                <w:vertAlign w:val="subscript"/>
              </w:rPr>
              <w:t>eqg</w:t>
            </w:r>
            <w:r>
              <w:rPr>
                <w:rFonts w:hint="default" w:ascii="Times New Roman" w:hAnsi="Times New Roman" w:cs="Times New Roman"/>
                <w:color w:val="auto"/>
                <w:kern w:val="0"/>
                <w:highlight w:val="none"/>
              </w:rPr>
              <w:t>）为：</w:t>
            </w:r>
          </w:p>
          <w:p w14:paraId="573C28C0">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default" w:ascii="Times New Roman" w:hAnsi="Times New Roman" w:cs="Times New Roman"/>
                <w:color w:val="auto"/>
                <w:kern w:val="0"/>
                <w:highlight w:val="none"/>
              </w:rPr>
            </w:pPr>
            <w:r>
              <w:rPr>
                <w:rFonts w:hint="default" w:ascii="Times New Roman" w:hAnsi="Times New Roman" w:eastAsia="宋体" w:cs="Times New Roman"/>
                <w:color w:val="auto"/>
                <w:kern w:val="0"/>
                <w:position w:val="-14"/>
                <w:highlight w:val="none"/>
                <w:lang w:eastAsia="zh-CN"/>
              </w:rPr>
              <w:object>
                <v:shape id="_x0000_i1037" o:spt="75" type="#_x0000_t75" style="height:42.2pt;width:205.35pt;" o:ole="t" filled="f" o:preferrelative="f" stroked="f" coordsize="21600,21600">
                  <v:path/>
                  <v:fill on="f" focussize="0,0"/>
                  <v:stroke on="f"/>
                  <v:imagedata r:id="rId36" o:title=""/>
                  <o:lock v:ext="edit" rotation="t" aspectratio="f"/>
                  <w10:wrap type="none"/>
                  <w10:anchorlock/>
                </v:shape>
                <o:OLEObject Type="Embed" ProgID="Equation.3" ShapeID="_x0000_i1037" DrawAspect="Content" ObjectID="_1468075737" r:id="rId35">
                  <o:LockedField>false</o:LockedField>
                </o:OLEObject>
              </w:object>
            </w:r>
          </w:p>
          <w:p w14:paraId="53B21CAD">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式中：</w:t>
            </w:r>
          </w:p>
          <w:p w14:paraId="6D2BA537">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i/>
                <w:iCs/>
                <w:color w:val="auto"/>
                <w:kern w:val="0"/>
                <w:highlight w:val="none"/>
              </w:rPr>
              <w:t>L</w:t>
            </w:r>
            <w:r>
              <w:rPr>
                <w:rFonts w:hint="default" w:ascii="Times New Roman" w:hAnsi="Times New Roman" w:cs="Times New Roman"/>
                <w:i/>
                <w:iCs/>
                <w:color w:val="auto"/>
                <w:kern w:val="0"/>
                <w:highlight w:val="none"/>
                <w:vertAlign w:val="subscript"/>
              </w:rPr>
              <w:t>eqg</w:t>
            </w:r>
            <w:r>
              <w:rPr>
                <w:rFonts w:hint="default" w:ascii="Times New Roman" w:hAnsi="Times New Roman" w:cs="Times New Roman"/>
                <w:color w:val="auto"/>
                <w:kern w:val="0"/>
                <w:highlight w:val="none"/>
              </w:rPr>
              <w:t>—建设项目声源在预测点</w:t>
            </w:r>
            <w:r>
              <w:rPr>
                <w:rFonts w:hint="default" w:ascii="Times New Roman" w:hAnsi="Times New Roman" w:cs="Times New Roman"/>
                <w:color w:val="auto"/>
                <w:kern w:val="0"/>
                <w:highlight w:val="none"/>
                <w:lang w:val="en-US" w:eastAsia="zh-CN"/>
              </w:rPr>
              <w:t>产生的噪声</w:t>
            </w:r>
            <w:r>
              <w:rPr>
                <w:rFonts w:hint="default" w:ascii="Times New Roman" w:hAnsi="Times New Roman" w:cs="Times New Roman"/>
                <w:color w:val="auto"/>
                <w:kern w:val="0"/>
                <w:highlight w:val="none"/>
              </w:rPr>
              <w:t>贡献值，dB；</w:t>
            </w:r>
          </w:p>
          <w:p w14:paraId="17588EDD">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kern w:val="0"/>
                <w:highlight w:val="none"/>
                <w:lang w:val="en-US" w:eastAsia="zh-CN"/>
              </w:rPr>
            </w:pPr>
            <w:r>
              <w:rPr>
                <w:rFonts w:hint="default" w:ascii="Times New Roman" w:hAnsi="Times New Roman" w:cs="Times New Roman"/>
                <w:i/>
                <w:iCs/>
                <w:color w:val="auto"/>
                <w:kern w:val="0"/>
                <w:highlight w:val="none"/>
                <w:lang w:val="en-US" w:eastAsia="zh-CN"/>
              </w:rPr>
              <w:t>T</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val="en-US" w:eastAsia="zh-CN"/>
              </w:rPr>
              <w:t>用于计算等效声级的时间，s；</w:t>
            </w:r>
          </w:p>
          <w:p w14:paraId="2F093133">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olor w:val="auto"/>
                <w:kern w:val="0"/>
                <w:sz w:val="24"/>
                <w:szCs w:val="24"/>
                <w:highlight w:val="none"/>
                <w:lang w:val="en-US" w:eastAsia="zh-CN" w:bidi="ar-SA"/>
              </w:rPr>
            </w:pPr>
            <w:r>
              <w:rPr>
                <w:rFonts w:hint="default" w:ascii="Times New Roman" w:hAnsi="Times New Roman" w:eastAsia="宋体" w:cs="Times New Roman"/>
                <w:i w:val="0"/>
                <w:iCs w:val="0"/>
                <w:color w:val="auto"/>
                <w:kern w:val="0"/>
                <w:sz w:val="24"/>
                <w:szCs w:val="24"/>
                <w:highlight w:val="none"/>
                <w:lang w:val="en-US" w:eastAsia="zh-CN" w:bidi="ar-SA"/>
              </w:rPr>
              <w:t>N—室外声源个数；</w:t>
            </w:r>
          </w:p>
          <w:p w14:paraId="537E8B65">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kern w:val="0"/>
                <w:highlight w:val="none"/>
                <w:lang w:eastAsia="zh-CN"/>
              </w:rPr>
            </w:pPr>
            <w:r>
              <w:rPr>
                <w:rFonts w:hint="default" w:ascii="Times New Roman" w:hAnsi="Times New Roman" w:cs="Times New Roman"/>
                <w:color w:val="auto"/>
                <w:kern w:val="0"/>
                <w:highlight w:val="none"/>
              </w:rPr>
              <w:t>t</w:t>
            </w:r>
            <w:r>
              <w:rPr>
                <w:rFonts w:hint="default" w:ascii="Times New Roman" w:hAnsi="Times New Roman" w:cs="Times New Roman"/>
                <w:color w:val="auto"/>
                <w:kern w:val="0"/>
                <w:highlight w:val="none"/>
                <w:vertAlign w:val="subscript"/>
              </w:rPr>
              <w:t>i</w:t>
            </w:r>
            <w:r>
              <w:rPr>
                <w:rFonts w:hint="default" w:ascii="Times New Roman" w:hAnsi="Times New Roman" w:cs="Times New Roman"/>
                <w:color w:val="auto"/>
                <w:kern w:val="0"/>
                <w:highlight w:val="none"/>
              </w:rPr>
              <w:t>—在T</w:t>
            </w:r>
            <w:r>
              <w:rPr>
                <w:rFonts w:hint="default" w:ascii="Times New Roman" w:hAnsi="Times New Roman" w:cs="Times New Roman"/>
                <w:color w:val="auto"/>
                <w:kern w:val="0"/>
                <w:highlight w:val="none"/>
                <w:lang w:val="en-US" w:eastAsia="zh-CN"/>
              </w:rPr>
              <w:t>时间内i声源工作</w:t>
            </w:r>
            <w:r>
              <w:rPr>
                <w:rFonts w:hint="default" w:ascii="Times New Roman" w:hAnsi="Times New Roman" w:cs="Times New Roman"/>
                <w:color w:val="auto"/>
                <w:kern w:val="0"/>
                <w:highlight w:val="none"/>
              </w:rPr>
              <w:t>时间，s</w:t>
            </w:r>
            <w:r>
              <w:rPr>
                <w:rFonts w:hint="default" w:ascii="Times New Roman" w:hAnsi="Times New Roman" w:cs="Times New Roman"/>
                <w:color w:val="auto"/>
                <w:kern w:val="0"/>
                <w:highlight w:val="none"/>
                <w:lang w:eastAsia="zh-CN"/>
              </w:rPr>
              <w:t>；</w:t>
            </w:r>
          </w:p>
          <w:p w14:paraId="72927D14">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M</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val="en-US" w:eastAsia="zh-CN"/>
              </w:rPr>
              <w:t>等效室外声源个数；</w:t>
            </w:r>
          </w:p>
          <w:p w14:paraId="03331C6C">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t</w:t>
            </w:r>
            <w:r>
              <w:rPr>
                <w:rFonts w:hint="default" w:ascii="Times New Roman" w:hAnsi="Times New Roman" w:cs="Times New Roman"/>
                <w:color w:val="auto"/>
                <w:kern w:val="0"/>
                <w:highlight w:val="none"/>
                <w:vertAlign w:val="subscript"/>
                <w:lang w:val="en-US" w:eastAsia="zh-CN"/>
              </w:rPr>
              <w:t>j</w:t>
            </w:r>
            <w:r>
              <w:rPr>
                <w:rFonts w:hint="default" w:ascii="Times New Roman" w:hAnsi="Times New Roman" w:cs="Times New Roman"/>
                <w:color w:val="auto"/>
                <w:kern w:val="0"/>
                <w:highlight w:val="none"/>
              </w:rPr>
              <w:t>—在T</w:t>
            </w:r>
            <w:r>
              <w:rPr>
                <w:rFonts w:hint="default" w:ascii="Times New Roman" w:hAnsi="Times New Roman" w:cs="Times New Roman"/>
                <w:color w:val="auto"/>
                <w:kern w:val="0"/>
                <w:highlight w:val="none"/>
                <w:lang w:val="en-US" w:eastAsia="zh-CN"/>
              </w:rPr>
              <w:t>时间内j声源工作</w:t>
            </w:r>
            <w:r>
              <w:rPr>
                <w:rFonts w:hint="default" w:ascii="Times New Roman" w:hAnsi="Times New Roman" w:cs="Times New Roman"/>
                <w:color w:val="auto"/>
                <w:kern w:val="0"/>
                <w:highlight w:val="none"/>
              </w:rPr>
              <w:t>时间，s。</w:t>
            </w:r>
          </w:p>
          <w:p w14:paraId="5CA4D681">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eastAsia" w:ascii="Times New Roman" w:hAnsi="Times New Roman" w:eastAsia="宋体" w:cs="Times New Roman"/>
                <w:color w:val="auto"/>
                <w:kern w:val="0"/>
                <w:highlight w:val="none"/>
                <w:lang w:eastAsia="zh-CN"/>
              </w:rPr>
            </w:pPr>
            <w:r>
              <w:rPr>
                <w:rFonts w:hint="default" w:ascii="Times New Roman" w:hAnsi="Times New Roman" w:cs="Times New Roman"/>
                <w:color w:val="auto"/>
                <w:kern w:val="0"/>
                <w:highlight w:val="none"/>
              </w:rPr>
              <w:fldChar w:fldCharType="begin"/>
            </w:r>
            <w:r>
              <w:rPr>
                <w:rFonts w:hint="default" w:ascii="Times New Roman" w:hAnsi="Times New Roman" w:cs="Times New Roman"/>
                <w:color w:val="auto"/>
                <w:kern w:val="0"/>
                <w:highlight w:val="none"/>
              </w:rPr>
              <w:instrText xml:space="preserve"> = 4 \* GB3 \* MERGEFORMAT </w:instrText>
            </w:r>
            <w:r>
              <w:rPr>
                <w:rFonts w:hint="default" w:ascii="Times New Roman" w:hAnsi="Times New Roman" w:cs="Times New Roman"/>
                <w:color w:val="auto"/>
                <w:kern w:val="0"/>
                <w:highlight w:val="none"/>
              </w:rPr>
              <w:fldChar w:fldCharType="separate"/>
            </w:r>
            <w:r>
              <w:rPr>
                <w:rFonts w:hint="default" w:ascii="Times New Roman" w:hAnsi="Times New Roman" w:cs="Times New Roman"/>
                <w:color w:val="auto"/>
                <w:highlight w:val="none"/>
              </w:rPr>
              <w:t>④</w:t>
            </w:r>
            <w:r>
              <w:rPr>
                <w:rFonts w:hint="default" w:ascii="Times New Roman" w:hAnsi="Times New Roman" w:cs="Times New Roman"/>
                <w:color w:val="auto"/>
                <w:kern w:val="0"/>
                <w:highlight w:val="none"/>
              </w:rPr>
              <w:fldChar w:fldCharType="end"/>
            </w:r>
            <w:r>
              <w:rPr>
                <w:rFonts w:hint="default" w:ascii="Times New Roman" w:hAnsi="Times New Roman" w:cs="Times New Roman"/>
                <w:color w:val="auto"/>
                <w:kern w:val="0"/>
                <w:highlight w:val="none"/>
              </w:rPr>
              <w:t>噪声预测值</w:t>
            </w:r>
          </w:p>
          <w:p w14:paraId="5F19C42E">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cs="Times New Roman"/>
                <w:color w:val="auto"/>
                <w:kern w:val="0"/>
                <w:highlight w:val="none"/>
              </w:rPr>
              <w:t>预测点的噪声预测值（L</w:t>
            </w:r>
            <w:r>
              <w:rPr>
                <w:rFonts w:hint="default" w:ascii="Times New Roman" w:hAnsi="Times New Roman" w:cs="Times New Roman"/>
                <w:color w:val="auto"/>
                <w:kern w:val="0"/>
                <w:highlight w:val="none"/>
                <w:vertAlign w:val="subscript"/>
              </w:rPr>
              <w:t>eq</w:t>
            </w:r>
            <w:r>
              <w:rPr>
                <w:rFonts w:hint="default" w:ascii="Times New Roman" w:hAnsi="Times New Roman" w:cs="Times New Roman"/>
                <w:color w:val="auto"/>
                <w:kern w:val="0"/>
                <w:highlight w:val="none"/>
              </w:rPr>
              <w:t>）计算公式</w:t>
            </w:r>
            <w:r>
              <w:rPr>
                <w:rFonts w:hint="default" w:ascii="Times New Roman" w:hAnsi="Times New Roman" w:cs="Times New Roman"/>
                <w:color w:val="auto"/>
                <w:kern w:val="0"/>
                <w:highlight w:val="none"/>
                <w:lang w:eastAsia="zh-CN"/>
              </w:rPr>
              <w:t>：</w:t>
            </w:r>
          </w:p>
          <w:p w14:paraId="2F8F2D89">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position w:val="-14"/>
                <w:highlight w:val="none"/>
                <w:lang w:eastAsia="zh-CN"/>
              </w:rPr>
              <w:object>
                <v:shape id="_x0000_i1038" o:spt="75" type="#_x0000_t75" style="height:23pt;width:136pt;" o:ole="t" filled="f" o:preferrelative="t" stroked="f" coordsize="21600,21600">
                  <v:path/>
                  <v:fill on="f" focussize="0,0"/>
                  <v:stroke on="f"/>
                  <v:imagedata r:id="rId38" o:title=""/>
                  <o:lock v:ext="edit" aspectratio="t"/>
                  <w10:wrap type="none"/>
                  <w10:anchorlock/>
                </v:shape>
                <o:OLEObject Type="Embed" ProgID="Equation.KSEE3" ShapeID="_x0000_i1038" DrawAspect="Content" ObjectID="_1468075738" r:id="rId37">
                  <o:LockedField>false</o:LockedField>
                </o:OLEObject>
              </w:object>
            </w:r>
          </w:p>
          <w:p w14:paraId="68AFC88C">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式中：</w:t>
            </w:r>
          </w:p>
          <w:p w14:paraId="141ADE72">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auto"/>
                <w:kern w:val="0"/>
                <w:highlight w:val="none"/>
              </w:rPr>
            </w:pPr>
            <w:r>
              <w:rPr>
                <w:rFonts w:hint="default" w:ascii="Times New Roman" w:hAnsi="Times New Roman" w:cs="Times New Roman"/>
                <w:i/>
                <w:iCs/>
                <w:color w:val="auto"/>
                <w:kern w:val="0"/>
                <w:highlight w:val="none"/>
              </w:rPr>
              <w:t>L</w:t>
            </w:r>
            <w:r>
              <w:rPr>
                <w:rFonts w:hint="default" w:ascii="Times New Roman" w:hAnsi="Times New Roman" w:cs="Times New Roman"/>
                <w:i/>
                <w:iCs/>
                <w:color w:val="auto"/>
                <w:kern w:val="0"/>
                <w:highlight w:val="none"/>
                <w:vertAlign w:val="subscript"/>
              </w:rPr>
              <w:t>eq</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val="en-US" w:eastAsia="zh-CN"/>
              </w:rPr>
              <w:t>预测点的噪声预测值</w:t>
            </w:r>
            <w:r>
              <w:rPr>
                <w:rFonts w:hint="default" w:ascii="Times New Roman" w:hAnsi="Times New Roman" w:cs="Times New Roman"/>
                <w:color w:val="auto"/>
                <w:kern w:val="0"/>
                <w:highlight w:val="none"/>
              </w:rPr>
              <w:t>，dB；</w:t>
            </w:r>
          </w:p>
          <w:p w14:paraId="5F43E597">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auto"/>
                <w:kern w:val="0"/>
                <w:highlight w:val="none"/>
                <w:lang w:val="en-US" w:eastAsia="zh-CN"/>
              </w:rPr>
            </w:pPr>
            <w:r>
              <w:rPr>
                <w:rFonts w:hint="default" w:ascii="Times New Roman" w:hAnsi="Times New Roman" w:cs="Times New Roman"/>
                <w:i/>
                <w:iCs/>
                <w:color w:val="auto"/>
                <w:kern w:val="0"/>
                <w:highlight w:val="none"/>
                <w:lang w:val="en-US" w:eastAsia="zh-CN"/>
              </w:rPr>
              <w:t>L</w:t>
            </w:r>
            <w:r>
              <w:rPr>
                <w:rFonts w:hint="default" w:ascii="Times New Roman" w:hAnsi="Times New Roman" w:cs="Times New Roman"/>
                <w:i/>
                <w:iCs/>
                <w:color w:val="auto"/>
                <w:kern w:val="0"/>
                <w:highlight w:val="none"/>
                <w:vertAlign w:val="subscript"/>
                <w:lang w:val="en-US" w:eastAsia="zh-CN"/>
              </w:rPr>
              <w:t>eqg</w:t>
            </w:r>
            <w:r>
              <w:rPr>
                <w:rFonts w:hint="default" w:ascii="Times New Roman" w:hAnsi="Times New Roman" w:cs="Times New Roman"/>
                <w:color w:val="auto"/>
                <w:kern w:val="0"/>
                <w:highlight w:val="none"/>
                <w:lang w:val="en-US" w:eastAsia="zh-CN"/>
              </w:rPr>
              <w:t>—建设项目声源在预测点产生的噪声贡献值，dB；</w:t>
            </w:r>
          </w:p>
          <w:p w14:paraId="3A63F71B">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auto"/>
                <w:kern w:val="0"/>
                <w:highlight w:val="none"/>
                <w:lang w:val="en-US" w:eastAsia="zh-CN"/>
              </w:rPr>
            </w:pPr>
            <w:r>
              <w:rPr>
                <w:rFonts w:hint="default" w:ascii="Times New Roman" w:hAnsi="Times New Roman" w:cs="Times New Roman"/>
                <w:i/>
                <w:iCs/>
                <w:color w:val="auto"/>
                <w:kern w:val="0"/>
                <w:highlight w:val="none"/>
                <w:lang w:val="en-US" w:eastAsia="zh-CN"/>
              </w:rPr>
              <w:t>L</w:t>
            </w:r>
            <w:r>
              <w:rPr>
                <w:rFonts w:hint="default" w:ascii="Times New Roman" w:hAnsi="Times New Roman" w:cs="Times New Roman"/>
                <w:i/>
                <w:iCs/>
                <w:color w:val="auto"/>
                <w:kern w:val="0"/>
                <w:highlight w:val="none"/>
                <w:vertAlign w:val="subscript"/>
                <w:lang w:val="en-US" w:eastAsia="zh-CN"/>
              </w:rPr>
              <w:t>eqb</w:t>
            </w:r>
            <w:r>
              <w:rPr>
                <w:rFonts w:hint="default" w:ascii="Times New Roman" w:hAnsi="Times New Roman" w:cs="Times New Roman"/>
                <w:color w:val="auto"/>
                <w:kern w:val="0"/>
                <w:highlight w:val="none"/>
                <w:lang w:val="en-US" w:eastAsia="zh-CN"/>
              </w:rPr>
              <w:t>—预测点的背景噪声值，dB。</w:t>
            </w:r>
          </w:p>
          <w:p w14:paraId="30FFEA73">
            <w:pPr>
              <w:keepNext w:val="0"/>
              <w:keepLines w:val="0"/>
              <w:pageBreakBefore w:val="0"/>
              <w:widowControl w:val="0"/>
              <w:numPr>
                <w:ilvl w:val="0"/>
                <w:numId w:val="0"/>
              </w:numPr>
              <w:shd w:val="clear"/>
              <w:kinsoku/>
              <w:wordWrap/>
              <w:overflowPunct/>
              <w:topLinePunct w:val="0"/>
              <w:autoSpaceDE w:val="0"/>
              <w:autoSpaceDN w:val="0"/>
              <w:bidi w:val="0"/>
              <w:adjustRightInd w:val="0"/>
              <w:snapToGrid/>
              <w:spacing w:line="360" w:lineRule="auto"/>
              <w:ind w:left="0" w:leftChars="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⑵基础数据</w:t>
            </w:r>
          </w:p>
          <w:p w14:paraId="755812B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项目噪声环境影响预测基础数据表</w:t>
            </w:r>
          </w:p>
          <w:tbl>
            <w:tblPr>
              <w:tblStyle w:val="33"/>
              <w:tblW w:w="7614"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198"/>
              <w:gridCol w:w="1932"/>
              <w:gridCol w:w="2197"/>
              <w:gridCol w:w="2287"/>
            </w:tblGrid>
            <w:tr w14:paraId="07E0CCE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32E6EC5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序号</w:t>
                  </w:r>
                </w:p>
              </w:tc>
              <w:tc>
                <w:tcPr>
                  <w:tcW w:w="1932" w:type="dxa"/>
                  <w:tcBorders>
                    <w:tl2br w:val="nil"/>
                    <w:tr2bl w:val="nil"/>
                  </w:tcBorders>
                  <w:noWrap w:val="0"/>
                  <w:vAlign w:val="center"/>
                </w:tcPr>
                <w:p w14:paraId="5CF3446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名称</w:t>
                  </w:r>
                </w:p>
              </w:tc>
              <w:tc>
                <w:tcPr>
                  <w:tcW w:w="2197" w:type="dxa"/>
                  <w:tcBorders>
                    <w:tl2br w:val="nil"/>
                    <w:tr2bl w:val="nil"/>
                  </w:tcBorders>
                  <w:noWrap w:val="0"/>
                  <w:vAlign w:val="center"/>
                </w:tcPr>
                <w:p w14:paraId="5BF9667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单位</w:t>
                  </w:r>
                </w:p>
              </w:tc>
              <w:tc>
                <w:tcPr>
                  <w:tcW w:w="2287" w:type="dxa"/>
                  <w:tcBorders>
                    <w:tl2br w:val="nil"/>
                    <w:tr2bl w:val="nil"/>
                  </w:tcBorders>
                  <w:noWrap w:val="0"/>
                  <w:vAlign w:val="center"/>
                </w:tcPr>
                <w:p w14:paraId="405F48F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数据</w:t>
                  </w:r>
                </w:p>
              </w:tc>
            </w:tr>
            <w:tr w14:paraId="4C01319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4897E7F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1</w:t>
                  </w:r>
                </w:p>
              </w:tc>
              <w:tc>
                <w:tcPr>
                  <w:tcW w:w="1932" w:type="dxa"/>
                  <w:tcBorders>
                    <w:tl2br w:val="nil"/>
                    <w:tr2bl w:val="nil"/>
                  </w:tcBorders>
                  <w:noWrap w:val="0"/>
                  <w:vAlign w:val="center"/>
                </w:tcPr>
                <w:p w14:paraId="200F9AA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rPr>
                    <w:t>年平均风速</w:t>
                  </w:r>
                </w:p>
              </w:tc>
              <w:tc>
                <w:tcPr>
                  <w:tcW w:w="2197" w:type="dxa"/>
                  <w:tcBorders>
                    <w:tl2br w:val="nil"/>
                    <w:tr2bl w:val="nil"/>
                  </w:tcBorders>
                  <w:noWrap w:val="0"/>
                  <w:vAlign w:val="center"/>
                </w:tcPr>
                <w:p w14:paraId="31AB6E3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lang w:eastAsia="zh-CN"/>
                    </w:rPr>
                    <w:t>/s</w:t>
                  </w:r>
                </w:p>
              </w:tc>
              <w:tc>
                <w:tcPr>
                  <w:tcW w:w="2287" w:type="dxa"/>
                  <w:tcBorders>
                    <w:tl2br w:val="nil"/>
                    <w:tr2bl w:val="nil"/>
                  </w:tcBorders>
                  <w:noWrap w:val="0"/>
                  <w:vAlign w:val="center"/>
                </w:tcPr>
                <w:p w14:paraId="3985FE65">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0</w:t>
                  </w:r>
                </w:p>
              </w:tc>
            </w:tr>
            <w:tr w14:paraId="2468955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189DC2A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2</w:t>
                  </w:r>
                </w:p>
              </w:tc>
              <w:tc>
                <w:tcPr>
                  <w:tcW w:w="1932" w:type="dxa"/>
                  <w:tcBorders>
                    <w:tl2br w:val="nil"/>
                    <w:tr2bl w:val="nil"/>
                  </w:tcBorders>
                  <w:noWrap w:val="0"/>
                  <w:vAlign w:val="center"/>
                </w:tcPr>
                <w:p w14:paraId="4E95A61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rPr>
                    <w:t>主导风向</w:t>
                  </w:r>
                </w:p>
              </w:tc>
              <w:tc>
                <w:tcPr>
                  <w:tcW w:w="2197" w:type="dxa"/>
                  <w:tcBorders>
                    <w:tl2br w:val="nil"/>
                    <w:tr2bl w:val="nil"/>
                  </w:tcBorders>
                  <w:noWrap w:val="0"/>
                  <w:vAlign w:val="center"/>
                </w:tcPr>
                <w:p w14:paraId="2562914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w:t>
                  </w:r>
                </w:p>
              </w:tc>
              <w:tc>
                <w:tcPr>
                  <w:tcW w:w="2287" w:type="dxa"/>
                  <w:tcBorders>
                    <w:tl2br w:val="nil"/>
                    <w:tr2bl w:val="nil"/>
                  </w:tcBorders>
                  <w:noWrap w:val="0"/>
                  <w:vAlign w:val="center"/>
                </w:tcPr>
                <w:p w14:paraId="7473F84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NNW</w:t>
                  </w:r>
                </w:p>
              </w:tc>
            </w:tr>
            <w:tr w14:paraId="7CB1B27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2AADFDB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3</w:t>
                  </w:r>
                </w:p>
              </w:tc>
              <w:tc>
                <w:tcPr>
                  <w:tcW w:w="1932" w:type="dxa"/>
                  <w:tcBorders>
                    <w:tl2br w:val="nil"/>
                    <w:tr2bl w:val="nil"/>
                  </w:tcBorders>
                  <w:noWrap w:val="0"/>
                  <w:vAlign w:val="center"/>
                </w:tcPr>
                <w:p w14:paraId="79E07B7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rPr>
                    <w:t>年平均气温</w:t>
                  </w:r>
                </w:p>
              </w:tc>
              <w:tc>
                <w:tcPr>
                  <w:tcW w:w="2197" w:type="dxa"/>
                  <w:tcBorders>
                    <w:tl2br w:val="nil"/>
                    <w:tr2bl w:val="nil"/>
                  </w:tcBorders>
                  <w:noWrap w:val="0"/>
                  <w:vAlign w:val="center"/>
                </w:tcPr>
                <w:p w14:paraId="0C2CC69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p>
              </w:tc>
              <w:tc>
                <w:tcPr>
                  <w:tcW w:w="2287" w:type="dxa"/>
                  <w:tcBorders>
                    <w:tl2br w:val="nil"/>
                    <w:tr2bl w:val="nil"/>
                  </w:tcBorders>
                  <w:noWrap w:val="0"/>
                  <w:vAlign w:val="center"/>
                </w:tcPr>
                <w:p w14:paraId="711B542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1</w:t>
                  </w:r>
                  <w:r>
                    <w:rPr>
                      <w:rFonts w:hint="eastAsia" w:cs="Times New Roman"/>
                      <w:color w:val="auto"/>
                      <w:sz w:val="21"/>
                      <w:szCs w:val="21"/>
                      <w:highlight w:val="none"/>
                      <w:lang w:val="en-US" w:eastAsia="zh-CN"/>
                    </w:rPr>
                    <w:t>2</w:t>
                  </w:r>
                </w:p>
              </w:tc>
            </w:tr>
            <w:tr w14:paraId="3DC1997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10811B1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4</w:t>
                  </w:r>
                </w:p>
              </w:tc>
              <w:tc>
                <w:tcPr>
                  <w:tcW w:w="1932" w:type="dxa"/>
                  <w:tcBorders>
                    <w:tl2br w:val="nil"/>
                    <w:tr2bl w:val="nil"/>
                  </w:tcBorders>
                  <w:noWrap w:val="0"/>
                  <w:vAlign w:val="center"/>
                </w:tcPr>
                <w:p w14:paraId="0B2A779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rPr>
                    <w:t>年平均相对湿度</w:t>
                  </w:r>
                </w:p>
              </w:tc>
              <w:tc>
                <w:tcPr>
                  <w:tcW w:w="2197" w:type="dxa"/>
                  <w:tcBorders>
                    <w:tl2br w:val="nil"/>
                    <w:tr2bl w:val="nil"/>
                  </w:tcBorders>
                  <w:noWrap w:val="0"/>
                  <w:vAlign w:val="center"/>
                </w:tcPr>
                <w:p w14:paraId="2234729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w:t>
                  </w:r>
                </w:p>
              </w:tc>
              <w:tc>
                <w:tcPr>
                  <w:tcW w:w="2287" w:type="dxa"/>
                  <w:tcBorders>
                    <w:tl2br w:val="nil"/>
                    <w:tr2bl w:val="nil"/>
                  </w:tcBorders>
                  <w:noWrap w:val="0"/>
                  <w:vAlign w:val="center"/>
                </w:tcPr>
                <w:p w14:paraId="3B71B4F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10.9</w:t>
                  </w:r>
                </w:p>
              </w:tc>
            </w:tr>
            <w:tr w14:paraId="140A98C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0C027D2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lang w:eastAsia="zh-CN"/>
                    </w:rPr>
                    <w:t>5</w:t>
                  </w:r>
                </w:p>
              </w:tc>
              <w:tc>
                <w:tcPr>
                  <w:tcW w:w="1932" w:type="dxa"/>
                  <w:tcBorders>
                    <w:tl2br w:val="nil"/>
                    <w:tr2bl w:val="nil"/>
                  </w:tcBorders>
                  <w:noWrap w:val="0"/>
                  <w:vAlign w:val="center"/>
                </w:tcPr>
                <w:p w14:paraId="255DBD9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auto"/>
                      <w:sz w:val="21"/>
                      <w:szCs w:val="21"/>
                      <w:highlight w:val="none"/>
                      <w:lang w:eastAsia="zh-CN"/>
                    </w:rPr>
                  </w:pPr>
                  <w:r>
                    <w:rPr>
                      <w:rFonts w:hint="eastAsia"/>
                      <w:color w:val="auto"/>
                      <w:sz w:val="21"/>
                      <w:szCs w:val="21"/>
                      <w:highlight w:val="none"/>
                    </w:rPr>
                    <w:t>大气压强</w:t>
                  </w:r>
                </w:p>
              </w:tc>
              <w:tc>
                <w:tcPr>
                  <w:tcW w:w="2197" w:type="dxa"/>
                  <w:tcBorders>
                    <w:tl2br w:val="nil"/>
                    <w:tr2bl w:val="nil"/>
                  </w:tcBorders>
                  <w:noWrap w:val="0"/>
                  <w:vAlign w:val="center"/>
                </w:tcPr>
                <w:p w14:paraId="245FECD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hPa</w:t>
                  </w:r>
                </w:p>
              </w:tc>
              <w:tc>
                <w:tcPr>
                  <w:tcW w:w="2287" w:type="dxa"/>
                  <w:tcBorders>
                    <w:tl2br w:val="nil"/>
                    <w:tr2bl w:val="nil"/>
                  </w:tcBorders>
                  <w:noWrap w:val="0"/>
                  <w:vAlign w:val="center"/>
                </w:tcPr>
                <w:p w14:paraId="1FF0F53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1</w:t>
                  </w:r>
                  <w:r>
                    <w:rPr>
                      <w:rFonts w:hint="eastAsia" w:cs="Times New Roman"/>
                      <w:color w:val="auto"/>
                      <w:sz w:val="21"/>
                      <w:szCs w:val="21"/>
                      <w:highlight w:val="none"/>
                      <w:lang w:val="en-US" w:eastAsia="zh-CN"/>
                    </w:rPr>
                    <w:t>011.6</w:t>
                  </w:r>
                </w:p>
              </w:tc>
            </w:tr>
          </w:tbl>
          <w:p w14:paraId="57EFBB54">
            <w:pPr>
              <w:shd w:val="clear"/>
              <w:bidi w:val="0"/>
              <w:rPr>
                <w:rFonts w:hint="eastAsia" w:ascii="Times New Roman" w:hAnsi="Times New Roman" w:eastAsia="宋体" w:cs="Times New Roman"/>
                <w:color w:val="auto"/>
                <w:highlight w:val="none"/>
                <w:lang w:val="en-US" w:eastAsia="zh-CN"/>
              </w:rPr>
            </w:pPr>
          </w:p>
          <w:p w14:paraId="5F4CFAEF">
            <w:pPr>
              <w:shd w:val="clear"/>
              <w:bidi w:val="0"/>
              <w:rPr>
                <w:rFonts w:hint="eastAsia" w:ascii="Times New Roman" w:hAnsi="Times New Roman" w:eastAsia="宋体" w:cs="Times New Roman"/>
                <w:color w:val="auto"/>
                <w:highlight w:val="none"/>
                <w:lang w:val="en-US" w:eastAsia="zh-CN"/>
              </w:rPr>
            </w:pPr>
          </w:p>
          <w:p w14:paraId="6001C51F">
            <w:pPr>
              <w:shd w:val="clear"/>
              <w:bidi w:val="0"/>
              <w:rPr>
                <w:rFonts w:hint="eastAsia" w:ascii="Times New Roman" w:hAnsi="Times New Roman" w:eastAsia="宋体" w:cs="Times New Roman"/>
                <w:color w:val="auto"/>
                <w:highlight w:val="none"/>
                <w:lang w:val="en-US" w:eastAsia="zh-CN"/>
              </w:rPr>
            </w:pPr>
          </w:p>
          <w:p w14:paraId="4FBB687B">
            <w:pPr>
              <w:shd w:val="clear"/>
              <w:bidi w:val="0"/>
              <w:rPr>
                <w:rFonts w:hint="default" w:ascii="Times New Roman" w:hAnsi="Times New Roman" w:cs="Times New Roman"/>
                <w:color w:val="auto"/>
                <w:highlight w:val="none"/>
              </w:rPr>
            </w:pPr>
            <w:r>
              <w:rPr>
                <w:rFonts w:hint="eastAsia" w:ascii="Times New Roman" w:hAnsi="Times New Roman" w:eastAsia="宋体" w:cs="Times New Roman"/>
                <w:color w:val="auto"/>
                <w:highlight w:val="none"/>
                <w:lang w:val="en-US" w:eastAsia="zh-CN"/>
              </w:rPr>
              <w:t>⑶</w:t>
            </w:r>
            <w:r>
              <w:rPr>
                <w:rFonts w:hint="default" w:ascii="Times New Roman" w:hAnsi="Times New Roman" w:cs="Times New Roman"/>
                <w:color w:val="auto"/>
                <w:highlight w:val="none"/>
              </w:rPr>
              <w:t>预测结果</w:t>
            </w:r>
          </w:p>
          <w:p w14:paraId="6497309D">
            <w:pPr>
              <w:shd w:val="clear"/>
              <w:bidi w:val="0"/>
              <w:rPr>
                <w:rFonts w:hint="default" w:ascii="Times New Roman" w:hAnsi="Times New Roman" w:cs="Times New Roman"/>
                <w:color w:val="auto"/>
                <w:highlight w:val="none"/>
                <w:lang w:val="zh-CN"/>
              </w:rPr>
            </w:pPr>
            <w:r>
              <w:rPr>
                <w:rFonts w:hint="default" w:ascii="Times New Roman" w:hAnsi="Times New Roman" w:eastAsia="宋体" w:cs="Times New Roman"/>
                <w:color w:val="auto"/>
                <w:sz w:val="24"/>
                <w:szCs w:val="24"/>
                <w:highlight w:val="none"/>
              </w:rPr>
              <w:t>根据《工业企业厂界环境噪声排放标准》（GB12348-2008），“厂界是指由法律文书（如土地使用证、房产证、租赁合同等）中确定的业主所拥有使用权（或所有权）的场所或建筑物边界。”</w:t>
            </w:r>
            <w:r>
              <w:rPr>
                <w:rFonts w:hint="default" w:ascii="Times New Roman" w:hAnsi="Times New Roman" w:cs="Times New Roman"/>
                <w:color w:val="auto"/>
                <w:highlight w:val="none"/>
              </w:rPr>
              <w:t>按照噪声预测模式，</w:t>
            </w:r>
            <w:r>
              <w:rPr>
                <w:rFonts w:hint="default" w:ascii="Times New Roman" w:hAnsi="Times New Roman" w:cs="Times New Roman"/>
                <w:color w:val="auto"/>
                <w:highlight w:val="none"/>
                <w:lang w:val="en-US" w:eastAsia="zh-CN"/>
              </w:rPr>
              <w:t>采取</w:t>
            </w:r>
            <w:r>
              <w:rPr>
                <w:rFonts w:hint="default" w:ascii="Times New Roman" w:hAnsi="Times New Roman" w:cs="Times New Roman"/>
                <w:b w:val="0"/>
                <w:bCs w:val="0"/>
                <w:color w:val="auto"/>
                <w:highlight w:val="none"/>
              </w:rPr>
              <w:t>基础</w:t>
            </w:r>
            <w:r>
              <w:rPr>
                <w:rFonts w:hint="default" w:ascii="Times New Roman" w:hAnsi="Times New Roman" w:cs="Times New Roman"/>
                <w:b w:val="0"/>
                <w:bCs w:val="0"/>
                <w:color w:val="auto"/>
                <w:highlight w:val="none"/>
                <w:lang w:eastAsia="zh-CN"/>
              </w:rPr>
              <w:t>减振</w:t>
            </w:r>
            <w:r>
              <w:rPr>
                <w:rFonts w:hint="default" w:ascii="Times New Roman" w:hAnsi="Times New Roman" w:cs="Times New Roman"/>
                <w:b w:val="0"/>
                <w:bCs w:val="0"/>
                <w:color w:val="auto"/>
                <w:highlight w:val="none"/>
              </w:rPr>
              <w:t>、</w:t>
            </w:r>
            <w:r>
              <w:rPr>
                <w:rFonts w:hint="default" w:ascii="Times New Roman" w:hAnsi="Times New Roman" w:cs="Times New Roman"/>
                <w:b w:val="0"/>
                <w:bCs w:val="0"/>
                <w:color w:val="auto"/>
                <w:highlight w:val="none"/>
                <w:lang w:val="en-US" w:eastAsia="zh-CN"/>
              </w:rPr>
              <w:t>厂房隔声</w:t>
            </w:r>
            <w:r>
              <w:rPr>
                <w:rFonts w:hint="default" w:ascii="Times New Roman" w:hAnsi="Times New Roman" w:cs="Times New Roman"/>
                <w:b w:val="0"/>
                <w:bCs w:val="0"/>
                <w:color w:val="auto"/>
                <w:highlight w:val="none"/>
              </w:rPr>
              <w:t>等措施</w:t>
            </w:r>
            <w:r>
              <w:rPr>
                <w:rFonts w:hint="default" w:ascii="Times New Roman" w:hAnsi="Times New Roman" w:cs="Times New Roman"/>
                <w:color w:val="auto"/>
                <w:highlight w:val="none"/>
                <w:lang w:val="zh-CN"/>
              </w:rPr>
              <w:t>后，厂界</w:t>
            </w:r>
            <w:r>
              <w:rPr>
                <w:rFonts w:hint="eastAsia" w:cs="Times New Roman"/>
                <w:color w:val="auto"/>
                <w:highlight w:val="none"/>
                <w:lang w:val="zh-CN"/>
              </w:rPr>
              <w:t>噪声情况</w:t>
            </w:r>
            <w:r>
              <w:rPr>
                <w:rFonts w:hint="default" w:ascii="Times New Roman" w:hAnsi="Times New Roman" w:cs="Times New Roman"/>
                <w:color w:val="auto"/>
                <w:highlight w:val="none"/>
                <w:lang w:val="zh-CN"/>
              </w:rPr>
              <w:t>见下表。</w:t>
            </w:r>
          </w:p>
          <w:p w14:paraId="267A007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zh-CN" w:eastAsia="zh-CN"/>
              </w:rPr>
            </w:pPr>
            <w:r>
              <w:rPr>
                <w:rFonts w:hint="default" w:ascii="Times New Roman" w:hAnsi="Times New Roman" w:eastAsia="宋体" w:cs="Times New Roman"/>
                <w:b/>
                <w:bCs/>
                <w:color w:val="auto"/>
                <w:spacing w:val="0"/>
                <w:sz w:val="21"/>
                <w:szCs w:val="21"/>
                <w:highlight w:val="none"/>
                <w:lang w:val="zh-CN" w:eastAsia="zh-CN"/>
              </w:rPr>
              <w:t>噪声</w:t>
            </w:r>
            <w:r>
              <w:rPr>
                <w:rFonts w:hint="eastAsia" w:cs="Times New Roman"/>
                <w:b/>
                <w:bCs/>
                <w:color w:val="auto"/>
                <w:spacing w:val="0"/>
                <w:sz w:val="21"/>
                <w:szCs w:val="21"/>
                <w:highlight w:val="none"/>
                <w:lang w:val="zh-CN" w:eastAsia="zh-CN"/>
              </w:rPr>
              <w:t>预测结果</w:t>
            </w:r>
            <w:r>
              <w:rPr>
                <w:rFonts w:hint="default" w:ascii="Times New Roman" w:hAnsi="Times New Roman" w:eastAsia="宋体" w:cs="Times New Roman"/>
                <w:b/>
                <w:bCs/>
                <w:color w:val="auto"/>
                <w:spacing w:val="0"/>
                <w:sz w:val="21"/>
                <w:szCs w:val="21"/>
                <w:highlight w:val="none"/>
                <w:lang w:val="zh-CN" w:eastAsia="zh-CN"/>
              </w:rPr>
              <w:t>一览表</w:t>
            </w:r>
          </w:p>
          <w:tbl>
            <w:tblPr>
              <w:tblStyle w:val="33"/>
              <w:tblW w:w="7684"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277"/>
              <w:gridCol w:w="662"/>
              <w:gridCol w:w="1305"/>
              <w:gridCol w:w="1225"/>
              <w:gridCol w:w="1225"/>
              <w:gridCol w:w="1122"/>
              <w:gridCol w:w="868"/>
            </w:tblGrid>
            <w:tr w14:paraId="4ACAA7B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6" w:hRule="atLeast"/>
                <w:jc w:val="center"/>
              </w:trPr>
              <w:tc>
                <w:tcPr>
                  <w:tcW w:w="1277" w:type="dxa"/>
                  <w:tcBorders>
                    <w:tl2br w:val="nil"/>
                    <w:tr2bl w:val="nil"/>
                  </w:tcBorders>
                  <w:noWrap w:val="0"/>
                  <w:vAlign w:val="center"/>
                </w:tcPr>
                <w:p w14:paraId="03CC5FB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eastAsia" w:ascii="Times New Roman" w:hAnsi="Times New Roman" w:eastAsia="宋体" w:cs="Times New Roman"/>
                      <w:b w:val="0"/>
                      <w:bCs w:val="0"/>
                      <w:caps w:val="0"/>
                      <w:smallCaps w:val="0"/>
                      <w:snapToGrid w:val="0"/>
                      <w:color w:val="auto"/>
                      <w:sz w:val="21"/>
                      <w:szCs w:val="21"/>
                      <w:highlight w:val="none"/>
                      <w:lang w:val="en-US" w:eastAsia="zh-CN"/>
                    </w:rPr>
                    <w:t>厂界</w:t>
                  </w:r>
                </w:p>
              </w:tc>
              <w:tc>
                <w:tcPr>
                  <w:tcW w:w="662" w:type="dxa"/>
                  <w:tcBorders>
                    <w:tl2br w:val="nil"/>
                    <w:tr2bl w:val="nil"/>
                  </w:tcBorders>
                  <w:noWrap w:val="0"/>
                  <w:vAlign w:val="center"/>
                </w:tcPr>
                <w:p w14:paraId="3937ED3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时段</w:t>
                  </w:r>
                </w:p>
              </w:tc>
              <w:tc>
                <w:tcPr>
                  <w:tcW w:w="1305" w:type="dxa"/>
                  <w:tcBorders>
                    <w:tl2br w:val="nil"/>
                    <w:tr2bl w:val="nil"/>
                  </w:tcBorders>
                  <w:noWrap w:val="0"/>
                  <w:vAlign w:val="center"/>
                </w:tcPr>
                <w:p w14:paraId="0030AFA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贡献值</w:t>
                  </w:r>
                </w:p>
                <w:p w14:paraId="7837940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dB（A）</w:t>
                  </w:r>
                </w:p>
              </w:tc>
              <w:tc>
                <w:tcPr>
                  <w:tcW w:w="1225" w:type="dxa"/>
                  <w:tcBorders>
                    <w:tl2br w:val="nil"/>
                    <w:tr2bl w:val="nil"/>
                  </w:tcBorders>
                  <w:noWrap w:val="0"/>
                  <w:vAlign w:val="center"/>
                </w:tcPr>
                <w:p w14:paraId="4952114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背景值dB（A）</w:t>
                  </w:r>
                </w:p>
              </w:tc>
              <w:tc>
                <w:tcPr>
                  <w:tcW w:w="1225" w:type="dxa"/>
                  <w:tcBorders>
                    <w:tl2br w:val="nil"/>
                    <w:tr2bl w:val="nil"/>
                  </w:tcBorders>
                  <w:noWrap w:val="0"/>
                  <w:vAlign w:val="center"/>
                </w:tcPr>
                <w:p w14:paraId="2C228C2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预测值</w:t>
                  </w:r>
                </w:p>
                <w:p w14:paraId="6A2328E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dB（A）</w:t>
                  </w:r>
                </w:p>
              </w:tc>
              <w:tc>
                <w:tcPr>
                  <w:tcW w:w="1122" w:type="dxa"/>
                  <w:tcBorders>
                    <w:tl2br w:val="nil"/>
                    <w:tr2bl w:val="nil"/>
                  </w:tcBorders>
                  <w:noWrap w:val="0"/>
                  <w:vAlign w:val="center"/>
                </w:tcPr>
                <w:p w14:paraId="6A1AB4A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标准限值</w:t>
                  </w:r>
                </w:p>
                <w:p w14:paraId="08C0762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cs="Times New Roman"/>
                      <w:b w:val="0"/>
                      <w:bCs w:val="0"/>
                      <w:caps w:val="0"/>
                      <w:smallCaps w:val="0"/>
                      <w:snapToGrid w:val="0"/>
                      <w:color w:val="auto"/>
                      <w:kern w:val="0"/>
                      <w:sz w:val="21"/>
                      <w:szCs w:val="21"/>
                      <w:highlight w:val="none"/>
                      <w:lang w:val="en-US" w:eastAsia="zh-CN"/>
                    </w:rPr>
                    <w:t>dB</w:t>
                  </w:r>
                  <w:r>
                    <w:rPr>
                      <w:rFonts w:hint="eastAsia" w:cs="Times New Roman"/>
                      <w:b w:val="0"/>
                      <w:bCs w:val="0"/>
                      <w:caps w:val="0"/>
                      <w:smallCaps w:val="0"/>
                      <w:snapToGrid w:val="0"/>
                      <w:color w:val="auto"/>
                      <w:kern w:val="0"/>
                      <w:sz w:val="21"/>
                      <w:szCs w:val="21"/>
                      <w:highlight w:val="none"/>
                      <w:lang w:val="en-US" w:eastAsia="zh-CN"/>
                    </w:rPr>
                    <w:t>（</w:t>
                  </w:r>
                  <w:r>
                    <w:rPr>
                      <w:rFonts w:hint="default" w:ascii="Times New Roman" w:hAnsi="Times New Roman" w:cs="Times New Roman"/>
                      <w:b w:val="0"/>
                      <w:bCs w:val="0"/>
                      <w:caps w:val="0"/>
                      <w:smallCaps w:val="0"/>
                      <w:snapToGrid w:val="0"/>
                      <w:color w:val="auto"/>
                      <w:kern w:val="0"/>
                      <w:sz w:val="21"/>
                      <w:szCs w:val="21"/>
                      <w:highlight w:val="none"/>
                      <w:lang w:val="en-US" w:eastAsia="zh-CN"/>
                    </w:rPr>
                    <w:t>A</w:t>
                  </w:r>
                  <w:r>
                    <w:rPr>
                      <w:rFonts w:hint="eastAsia" w:cs="Times New Roman"/>
                      <w:b w:val="0"/>
                      <w:bCs w:val="0"/>
                      <w:caps w:val="0"/>
                      <w:smallCaps w:val="0"/>
                      <w:snapToGrid w:val="0"/>
                      <w:color w:val="auto"/>
                      <w:kern w:val="0"/>
                      <w:sz w:val="21"/>
                      <w:szCs w:val="21"/>
                      <w:highlight w:val="none"/>
                      <w:lang w:val="en-US" w:eastAsia="zh-CN"/>
                    </w:rPr>
                    <w:t>）</w:t>
                  </w:r>
                </w:p>
              </w:tc>
              <w:tc>
                <w:tcPr>
                  <w:tcW w:w="868" w:type="dxa"/>
                  <w:tcBorders>
                    <w:tl2br w:val="nil"/>
                    <w:tr2bl w:val="nil"/>
                  </w:tcBorders>
                  <w:noWrap w:val="0"/>
                  <w:vAlign w:val="center"/>
                </w:tcPr>
                <w:p w14:paraId="2C183E2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达标情况</w:t>
                  </w:r>
                </w:p>
              </w:tc>
            </w:tr>
            <w:tr w14:paraId="168A62F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shd w:val="clear" w:color="auto" w:fill="auto"/>
                  <w:noWrap w:val="0"/>
                  <w:vAlign w:val="center"/>
                </w:tcPr>
                <w:p w14:paraId="2FA30E33">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eastAsia" w:ascii="Times New Roman" w:hAnsi="Times New Roman" w:cs="Times New Roman"/>
                      <w:b w:val="0"/>
                      <w:bCs/>
                      <w:snapToGrid w:val="0"/>
                      <w:color w:val="auto"/>
                      <w:kern w:val="0"/>
                      <w:sz w:val="21"/>
                      <w:szCs w:val="21"/>
                      <w:highlight w:val="none"/>
                      <w:vertAlign w:val="baseline"/>
                      <w:lang w:eastAsia="zh-CN"/>
                    </w:rPr>
                    <w:t>东厂界</w:t>
                  </w:r>
                </w:p>
              </w:tc>
              <w:tc>
                <w:tcPr>
                  <w:tcW w:w="662" w:type="dxa"/>
                  <w:tcBorders>
                    <w:tl2br w:val="nil"/>
                    <w:tr2bl w:val="nil"/>
                  </w:tcBorders>
                  <w:noWrap w:val="0"/>
                  <w:vAlign w:val="center"/>
                </w:tcPr>
                <w:p w14:paraId="75005F7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昼</w:t>
                  </w:r>
                </w:p>
              </w:tc>
              <w:tc>
                <w:tcPr>
                  <w:tcW w:w="1305" w:type="dxa"/>
                  <w:tcBorders>
                    <w:tl2br w:val="nil"/>
                    <w:tr2bl w:val="nil"/>
                  </w:tcBorders>
                  <w:noWrap w:val="0"/>
                  <w:vAlign w:val="bottom"/>
                </w:tcPr>
                <w:p w14:paraId="2166058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33.3 </w:t>
                  </w:r>
                </w:p>
              </w:tc>
              <w:tc>
                <w:tcPr>
                  <w:tcW w:w="1225" w:type="dxa"/>
                  <w:tcBorders>
                    <w:tl2br w:val="nil"/>
                    <w:tr2bl w:val="nil"/>
                  </w:tcBorders>
                  <w:noWrap w:val="0"/>
                  <w:vAlign w:val="center"/>
                </w:tcPr>
                <w:p w14:paraId="79970DE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52</w:t>
                  </w:r>
                </w:p>
              </w:tc>
              <w:tc>
                <w:tcPr>
                  <w:tcW w:w="1225" w:type="dxa"/>
                  <w:tcBorders>
                    <w:tl2br w:val="nil"/>
                    <w:tr2bl w:val="nil"/>
                  </w:tcBorders>
                  <w:noWrap w:val="0"/>
                  <w:vAlign w:val="center"/>
                </w:tcPr>
                <w:p w14:paraId="115DB1F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52.1 </w:t>
                  </w:r>
                </w:p>
              </w:tc>
              <w:tc>
                <w:tcPr>
                  <w:tcW w:w="1122" w:type="dxa"/>
                  <w:tcBorders>
                    <w:tl2br w:val="nil"/>
                    <w:tr2bl w:val="nil"/>
                  </w:tcBorders>
                  <w:noWrap w:val="0"/>
                  <w:vAlign w:val="center"/>
                </w:tcPr>
                <w:p w14:paraId="6F4B28F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60</w:t>
                  </w:r>
                </w:p>
              </w:tc>
              <w:tc>
                <w:tcPr>
                  <w:tcW w:w="868" w:type="dxa"/>
                  <w:vMerge w:val="restart"/>
                  <w:tcBorders>
                    <w:tl2br w:val="nil"/>
                    <w:tr2bl w:val="nil"/>
                  </w:tcBorders>
                  <w:noWrap w:val="0"/>
                  <w:vAlign w:val="center"/>
                </w:tcPr>
                <w:p w14:paraId="13F5673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达标</w:t>
                  </w:r>
                </w:p>
              </w:tc>
            </w:tr>
            <w:tr w14:paraId="1E0BC82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continue"/>
                  <w:tcBorders>
                    <w:tl2br w:val="nil"/>
                    <w:tr2bl w:val="nil"/>
                  </w:tcBorders>
                  <w:noWrap w:val="0"/>
                  <w:vAlign w:val="center"/>
                </w:tcPr>
                <w:p w14:paraId="6A87176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auto"/>
                      <w:sz w:val="21"/>
                      <w:szCs w:val="21"/>
                      <w:highlight w:val="none"/>
                    </w:rPr>
                  </w:pPr>
                </w:p>
              </w:tc>
              <w:tc>
                <w:tcPr>
                  <w:tcW w:w="662" w:type="dxa"/>
                  <w:tcBorders>
                    <w:tl2br w:val="nil"/>
                    <w:tr2bl w:val="nil"/>
                  </w:tcBorders>
                  <w:noWrap w:val="0"/>
                  <w:vAlign w:val="center"/>
                </w:tcPr>
                <w:p w14:paraId="33C7340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default" w:ascii="Times New Roman" w:hAnsi="Times New Roman" w:cs="Times New Roman"/>
                      <w:b w:val="0"/>
                      <w:bCs w:val="0"/>
                      <w:caps w:val="0"/>
                      <w:smallCaps w:val="0"/>
                      <w:snapToGrid w:val="0"/>
                      <w:color w:val="auto"/>
                      <w:sz w:val="21"/>
                      <w:szCs w:val="21"/>
                      <w:highlight w:val="none"/>
                      <w:lang w:val="en-US" w:eastAsia="zh-CN"/>
                    </w:rPr>
                    <w:t>夜</w:t>
                  </w:r>
                </w:p>
              </w:tc>
              <w:tc>
                <w:tcPr>
                  <w:tcW w:w="1305" w:type="dxa"/>
                  <w:tcBorders>
                    <w:tl2br w:val="nil"/>
                    <w:tr2bl w:val="nil"/>
                  </w:tcBorders>
                  <w:noWrap w:val="0"/>
                  <w:vAlign w:val="bottom"/>
                </w:tcPr>
                <w:p w14:paraId="24B7C81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33.3 </w:t>
                  </w:r>
                </w:p>
              </w:tc>
              <w:tc>
                <w:tcPr>
                  <w:tcW w:w="1225" w:type="dxa"/>
                  <w:tcBorders>
                    <w:tl2br w:val="nil"/>
                    <w:tr2bl w:val="nil"/>
                  </w:tcBorders>
                  <w:noWrap w:val="0"/>
                  <w:vAlign w:val="center"/>
                </w:tcPr>
                <w:p w14:paraId="13DA706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46</w:t>
                  </w:r>
                </w:p>
              </w:tc>
              <w:tc>
                <w:tcPr>
                  <w:tcW w:w="1225" w:type="dxa"/>
                  <w:tcBorders>
                    <w:tl2br w:val="nil"/>
                    <w:tr2bl w:val="nil"/>
                  </w:tcBorders>
                  <w:noWrap w:val="0"/>
                  <w:vAlign w:val="center"/>
                </w:tcPr>
                <w:p w14:paraId="6FD3882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46.2 </w:t>
                  </w:r>
                </w:p>
              </w:tc>
              <w:tc>
                <w:tcPr>
                  <w:tcW w:w="1122" w:type="dxa"/>
                  <w:tcBorders>
                    <w:tl2br w:val="nil"/>
                    <w:tr2bl w:val="nil"/>
                  </w:tcBorders>
                  <w:noWrap w:val="0"/>
                  <w:vAlign w:val="center"/>
                </w:tcPr>
                <w:p w14:paraId="2EA26B8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50</w:t>
                  </w:r>
                </w:p>
              </w:tc>
              <w:tc>
                <w:tcPr>
                  <w:tcW w:w="868" w:type="dxa"/>
                  <w:vMerge w:val="continue"/>
                  <w:tcBorders>
                    <w:tl2br w:val="nil"/>
                    <w:tr2bl w:val="nil"/>
                  </w:tcBorders>
                  <w:noWrap w:val="0"/>
                  <w:vAlign w:val="center"/>
                </w:tcPr>
                <w:p w14:paraId="3AB8E57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r w14:paraId="256AB5E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shd w:val="clear" w:color="auto" w:fill="auto"/>
                  <w:noWrap w:val="0"/>
                  <w:vAlign w:val="center"/>
                </w:tcPr>
                <w:p w14:paraId="322DAAF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r>
                    <w:rPr>
                      <w:rFonts w:hint="eastAsia" w:ascii="Times New Roman" w:hAnsi="Times New Roman" w:cs="Times New Roman"/>
                      <w:b w:val="0"/>
                      <w:bCs/>
                      <w:snapToGrid w:val="0"/>
                      <w:color w:val="auto"/>
                      <w:kern w:val="0"/>
                      <w:sz w:val="21"/>
                      <w:szCs w:val="21"/>
                      <w:highlight w:val="none"/>
                      <w:vertAlign w:val="baseline"/>
                      <w:lang w:eastAsia="zh-CN"/>
                    </w:rPr>
                    <w:t>西厂界</w:t>
                  </w:r>
                </w:p>
              </w:tc>
              <w:tc>
                <w:tcPr>
                  <w:tcW w:w="662" w:type="dxa"/>
                  <w:tcBorders>
                    <w:tl2br w:val="nil"/>
                    <w:tr2bl w:val="nil"/>
                  </w:tcBorders>
                  <w:noWrap w:val="0"/>
                  <w:vAlign w:val="center"/>
                </w:tcPr>
                <w:p w14:paraId="2574E4FD">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昼</w:t>
                  </w:r>
                </w:p>
              </w:tc>
              <w:tc>
                <w:tcPr>
                  <w:tcW w:w="1305" w:type="dxa"/>
                  <w:tcBorders>
                    <w:tl2br w:val="nil"/>
                    <w:tr2bl w:val="nil"/>
                  </w:tcBorders>
                  <w:noWrap w:val="0"/>
                  <w:vAlign w:val="bottom"/>
                </w:tcPr>
                <w:p w14:paraId="25FD983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43.5 </w:t>
                  </w:r>
                </w:p>
              </w:tc>
              <w:tc>
                <w:tcPr>
                  <w:tcW w:w="1225" w:type="dxa"/>
                  <w:tcBorders>
                    <w:tl2br w:val="nil"/>
                    <w:tr2bl w:val="nil"/>
                  </w:tcBorders>
                  <w:noWrap w:val="0"/>
                  <w:vAlign w:val="center"/>
                </w:tcPr>
                <w:p w14:paraId="3C41353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53</w:t>
                  </w:r>
                </w:p>
              </w:tc>
              <w:tc>
                <w:tcPr>
                  <w:tcW w:w="1225" w:type="dxa"/>
                  <w:tcBorders>
                    <w:tl2br w:val="nil"/>
                    <w:tr2bl w:val="nil"/>
                  </w:tcBorders>
                  <w:noWrap w:val="0"/>
                  <w:vAlign w:val="center"/>
                </w:tcPr>
                <w:p w14:paraId="7F12761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53.5 </w:t>
                  </w:r>
                </w:p>
              </w:tc>
              <w:tc>
                <w:tcPr>
                  <w:tcW w:w="1122" w:type="dxa"/>
                  <w:tcBorders>
                    <w:tl2br w:val="nil"/>
                    <w:tr2bl w:val="nil"/>
                  </w:tcBorders>
                  <w:noWrap w:val="0"/>
                  <w:vAlign w:val="center"/>
                </w:tcPr>
                <w:p w14:paraId="55AF101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60</w:t>
                  </w:r>
                </w:p>
              </w:tc>
              <w:tc>
                <w:tcPr>
                  <w:tcW w:w="868" w:type="dxa"/>
                  <w:vMerge w:val="continue"/>
                  <w:tcBorders>
                    <w:tl2br w:val="nil"/>
                    <w:tr2bl w:val="nil"/>
                  </w:tcBorders>
                  <w:noWrap w:val="0"/>
                  <w:vAlign w:val="center"/>
                </w:tcPr>
                <w:p w14:paraId="687373F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r w14:paraId="6D7004F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continue"/>
                  <w:tcBorders>
                    <w:tl2br w:val="nil"/>
                    <w:tr2bl w:val="nil"/>
                  </w:tcBorders>
                  <w:noWrap w:val="0"/>
                  <w:vAlign w:val="center"/>
                </w:tcPr>
                <w:p w14:paraId="6C35742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auto"/>
                      <w:sz w:val="21"/>
                      <w:szCs w:val="21"/>
                      <w:highlight w:val="none"/>
                    </w:rPr>
                  </w:pPr>
                </w:p>
              </w:tc>
              <w:tc>
                <w:tcPr>
                  <w:tcW w:w="662" w:type="dxa"/>
                  <w:tcBorders>
                    <w:tl2br w:val="nil"/>
                    <w:tr2bl w:val="nil"/>
                  </w:tcBorders>
                  <w:noWrap w:val="0"/>
                  <w:vAlign w:val="center"/>
                </w:tcPr>
                <w:p w14:paraId="7AA3B1B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default" w:ascii="Times New Roman" w:hAnsi="Times New Roman" w:cs="Times New Roman"/>
                      <w:b w:val="0"/>
                      <w:bCs w:val="0"/>
                      <w:caps w:val="0"/>
                      <w:smallCaps w:val="0"/>
                      <w:snapToGrid w:val="0"/>
                      <w:color w:val="auto"/>
                      <w:sz w:val="21"/>
                      <w:szCs w:val="21"/>
                      <w:highlight w:val="none"/>
                      <w:lang w:val="en-US" w:eastAsia="zh-CN"/>
                    </w:rPr>
                    <w:t>夜</w:t>
                  </w:r>
                </w:p>
              </w:tc>
              <w:tc>
                <w:tcPr>
                  <w:tcW w:w="1305" w:type="dxa"/>
                  <w:tcBorders>
                    <w:tl2br w:val="nil"/>
                    <w:tr2bl w:val="nil"/>
                  </w:tcBorders>
                  <w:noWrap w:val="0"/>
                  <w:vAlign w:val="bottom"/>
                </w:tcPr>
                <w:p w14:paraId="436F6E5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43.5 </w:t>
                  </w:r>
                </w:p>
              </w:tc>
              <w:tc>
                <w:tcPr>
                  <w:tcW w:w="1225" w:type="dxa"/>
                  <w:tcBorders>
                    <w:tl2br w:val="nil"/>
                    <w:tr2bl w:val="nil"/>
                  </w:tcBorders>
                  <w:noWrap w:val="0"/>
                  <w:vAlign w:val="center"/>
                </w:tcPr>
                <w:p w14:paraId="7D337E9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47</w:t>
                  </w:r>
                </w:p>
              </w:tc>
              <w:tc>
                <w:tcPr>
                  <w:tcW w:w="1225" w:type="dxa"/>
                  <w:tcBorders>
                    <w:tl2br w:val="nil"/>
                    <w:tr2bl w:val="nil"/>
                  </w:tcBorders>
                  <w:noWrap w:val="0"/>
                  <w:vAlign w:val="center"/>
                </w:tcPr>
                <w:p w14:paraId="55D5012D">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48.6 </w:t>
                  </w:r>
                </w:p>
              </w:tc>
              <w:tc>
                <w:tcPr>
                  <w:tcW w:w="1122" w:type="dxa"/>
                  <w:tcBorders>
                    <w:tl2br w:val="nil"/>
                    <w:tr2bl w:val="nil"/>
                  </w:tcBorders>
                  <w:noWrap w:val="0"/>
                  <w:vAlign w:val="center"/>
                </w:tcPr>
                <w:p w14:paraId="7C64B58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50</w:t>
                  </w:r>
                </w:p>
              </w:tc>
              <w:tc>
                <w:tcPr>
                  <w:tcW w:w="868" w:type="dxa"/>
                  <w:vMerge w:val="continue"/>
                  <w:tcBorders>
                    <w:tl2br w:val="nil"/>
                    <w:tr2bl w:val="nil"/>
                  </w:tcBorders>
                  <w:noWrap w:val="0"/>
                  <w:vAlign w:val="center"/>
                </w:tcPr>
                <w:p w14:paraId="1ACB4AD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r w14:paraId="6AF5131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shd w:val="clear" w:color="auto" w:fill="auto"/>
                  <w:noWrap w:val="0"/>
                  <w:vAlign w:val="center"/>
                </w:tcPr>
                <w:p w14:paraId="02672DFB">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eastAsia" w:ascii="Times New Roman" w:hAnsi="Times New Roman" w:cs="Times New Roman"/>
                      <w:b w:val="0"/>
                      <w:bCs/>
                      <w:snapToGrid w:val="0"/>
                      <w:color w:val="auto"/>
                      <w:kern w:val="0"/>
                      <w:sz w:val="21"/>
                      <w:szCs w:val="21"/>
                      <w:highlight w:val="none"/>
                      <w:vertAlign w:val="baseline"/>
                      <w:lang w:eastAsia="zh-CN"/>
                    </w:rPr>
                    <w:t>南厂界</w:t>
                  </w:r>
                </w:p>
              </w:tc>
              <w:tc>
                <w:tcPr>
                  <w:tcW w:w="662" w:type="dxa"/>
                  <w:tcBorders>
                    <w:tl2br w:val="nil"/>
                    <w:tr2bl w:val="nil"/>
                  </w:tcBorders>
                  <w:noWrap w:val="0"/>
                  <w:vAlign w:val="center"/>
                </w:tcPr>
                <w:p w14:paraId="6B237C4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昼</w:t>
                  </w:r>
                </w:p>
              </w:tc>
              <w:tc>
                <w:tcPr>
                  <w:tcW w:w="1305" w:type="dxa"/>
                  <w:tcBorders>
                    <w:tl2br w:val="nil"/>
                    <w:tr2bl w:val="nil"/>
                  </w:tcBorders>
                  <w:noWrap w:val="0"/>
                  <w:vAlign w:val="bottom"/>
                </w:tcPr>
                <w:p w14:paraId="1922AB5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11.9 </w:t>
                  </w:r>
                </w:p>
              </w:tc>
              <w:tc>
                <w:tcPr>
                  <w:tcW w:w="1225" w:type="dxa"/>
                  <w:tcBorders>
                    <w:tl2br w:val="nil"/>
                    <w:tr2bl w:val="nil"/>
                  </w:tcBorders>
                  <w:noWrap w:val="0"/>
                  <w:vAlign w:val="center"/>
                </w:tcPr>
                <w:p w14:paraId="270C754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54</w:t>
                  </w:r>
                </w:p>
              </w:tc>
              <w:tc>
                <w:tcPr>
                  <w:tcW w:w="1225" w:type="dxa"/>
                  <w:tcBorders>
                    <w:tl2br w:val="nil"/>
                    <w:tr2bl w:val="nil"/>
                  </w:tcBorders>
                  <w:noWrap w:val="0"/>
                  <w:vAlign w:val="center"/>
                </w:tcPr>
                <w:p w14:paraId="69BD3FA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54.0 </w:t>
                  </w:r>
                </w:p>
              </w:tc>
              <w:tc>
                <w:tcPr>
                  <w:tcW w:w="1122" w:type="dxa"/>
                  <w:tcBorders>
                    <w:tl2br w:val="nil"/>
                    <w:tr2bl w:val="nil"/>
                  </w:tcBorders>
                  <w:noWrap w:val="0"/>
                  <w:vAlign w:val="center"/>
                </w:tcPr>
                <w:p w14:paraId="6A973C7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60</w:t>
                  </w:r>
                </w:p>
              </w:tc>
              <w:tc>
                <w:tcPr>
                  <w:tcW w:w="868" w:type="dxa"/>
                  <w:vMerge w:val="continue"/>
                  <w:tcBorders>
                    <w:tl2br w:val="nil"/>
                    <w:tr2bl w:val="nil"/>
                  </w:tcBorders>
                  <w:noWrap w:val="0"/>
                  <w:vAlign w:val="center"/>
                </w:tcPr>
                <w:p w14:paraId="75B4B0E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r w14:paraId="41E667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continue"/>
                  <w:tcBorders>
                    <w:tl2br w:val="nil"/>
                    <w:tr2bl w:val="nil"/>
                  </w:tcBorders>
                  <w:noWrap w:val="0"/>
                  <w:vAlign w:val="center"/>
                </w:tcPr>
                <w:p w14:paraId="3DF956F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auto"/>
                      <w:sz w:val="21"/>
                      <w:szCs w:val="21"/>
                      <w:highlight w:val="none"/>
                    </w:rPr>
                  </w:pPr>
                </w:p>
              </w:tc>
              <w:tc>
                <w:tcPr>
                  <w:tcW w:w="662" w:type="dxa"/>
                  <w:tcBorders>
                    <w:tl2br w:val="nil"/>
                    <w:tr2bl w:val="nil"/>
                  </w:tcBorders>
                  <w:noWrap w:val="0"/>
                  <w:vAlign w:val="center"/>
                </w:tcPr>
                <w:p w14:paraId="0470EF8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default" w:ascii="Times New Roman" w:hAnsi="Times New Roman" w:cs="Times New Roman"/>
                      <w:b w:val="0"/>
                      <w:bCs w:val="0"/>
                      <w:caps w:val="0"/>
                      <w:smallCaps w:val="0"/>
                      <w:snapToGrid w:val="0"/>
                      <w:color w:val="auto"/>
                      <w:sz w:val="21"/>
                      <w:szCs w:val="21"/>
                      <w:highlight w:val="none"/>
                      <w:lang w:val="en-US" w:eastAsia="zh-CN"/>
                    </w:rPr>
                    <w:t>夜</w:t>
                  </w:r>
                </w:p>
              </w:tc>
              <w:tc>
                <w:tcPr>
                  <w:tcW w:w="1305" w:type="dxa"/>
                  <w:tcBorders>
                    <w:tl2br w:val="nil"/>
                    <w:tr2bl w:val="nil"/>
                  </w:tcBorders>
                  <w:noWrap w:val="0"/>
                  <w:vAlign w:val="bottom"/>
                </w:tcPr>
                <w:p w14:paraId="34FF23E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11.9 </w:t>
                  </w:r>
                </w:p>
              </w:tc>
              <w:tc>
                <w:tcPr>
                  <w:tcW w:w="1225" w:type="dxa"/>
                  <w:tcBorders>
                    <w:tl2br w:val="nil"/>
                    <w:tr2bl w:val="nil"/>
                  </w:tcBorders>
                  <w:noWrap w:val="0"/>
                  <w:vAlign w:val="center"/>
                </w:tcPr>
                <w:p w14:paraId="1851900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47</w:t>
                  </w:r>
                </w:p>
              </w:tc>
              <w:tc>
                <w:tcPr>
                  <w:tcW w:w="1225" w:type="dxa"/>
                  <w:tcBorders>
                    <w:tl2br w:val="nil"/>
                    <w:tr2bl w:val="nil"/>
                  </w:tcBorders>
                  <w:noWrap w:val="0"/>
                  <w:vAlign w:val="center"/>
                </w:tcPr>
                <w:p w14:paraId="1DDEB48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47.0 </w:t>
                  </w:r>
                </w:p>
              </w:tc>
              <w:tc>
                <w:tcPr>
                  <w:tcW w:w="1122" w:type="dxa"/>
                  <w:tcBorders>
                    <w:tl2br w:val="nil"/>
                    <w:tr2bl w:val="nil"/>
                  </w:tcBorders>
                  <w:noWrap w:val="0"/>
                  <w:vAlign w:val="center"/>
                </w:tcPr>
                <w:p w14:paraId="1F4C395E">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50</w:t>
                  </w:r>
                </w:p>
              </w:tc>
              <w:tc>
                <w:tcPr>
                  <w:tcW w:w="868" w:type="dxa"/>
                  <w:vMerge w:val="continue"/>
                  <w:tcBorders>
                    <w:tl2br w:val="nil"/>
                    <w:tr2bl w:val="nil"/>
                  </w:tcBorders>
                  <w:noWrap w:val="0"/>
                  <w:vAlign w:val="center"/>
                </w:tcPr>
                <w:p w14:paraId="463A4A8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r w14:paraId="501F29F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noWrap w:val="0"/>
                  <w:vAlign w:val="center"/>
                </w:tcPr>
                <w:p w14:paraId="6FC17A58">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eastAsia" w:ascii="Times New Roman" w:hAnsi="Times New Roman" w:cs="Times New Roman"/>
                      <w:b w:val="0"/>
                      <w:bCs/>
                      <w:snapToGrid w:val="0"/>
                      <w:color w:val="auto"/>
                      <w:kern w:val="0"/>
                      <w:sz w:val="21"/>
                      <w:szCs w:val="21"/>
                      <w:highlight w:val="none"/>
                      <w:vertAlign w:val="baseline"/>
                      <w:lang w:eastAsia="zh-CN"/>
                    </w:rPr>
                    <w:t>北厂界</w:t>
                  </w:r>
                </w:p>
              </w:tc>
              <w:tc>
                <w:tcPr>
                  <w:tcW w:w="662" w:type="dxa"/>
                  <w:tcBorders>
                    <w:tl2br w:val="nil"/>
                    <w:tr2bl w:val="nil"/>
                  </w:tcBorders>
                  <w:noWrap w:val="0"/>
                  <w:vAlign w:val="center"/>
                </w:tcPr>
                <w:p w14:paraId="0728BB4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z w:val="21"/>
                      <w:szCs w:val="21"/>
                      <w:highlight w:val="none"/>
                      <w:lang w:val="en-US" w:eastAsia="zh-CN"/>
                    </w:rPr>
                    <w:t>昼</w:t>
                  </w:r>
                </w:p>
              </w:tc>
              <w:tc>
                <w:tcPr>
                  <w:tcW w:w="1305" w:type="dxa"/>
                  <w:tcBorders>
                    <w:tl2br w:val="nil"/>
                    <w:tr2bl w:val="nil"/>
                  </w:tcBorders>
                  <w:noWrap w:val="0"/>
                  <w:vAlign w:val="bottom"/>
                </w:tcPr>
                <w:p w14:paraId="1B4413A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31.5 </w:t>
                  </w:r>
                </w:p>
              </w:tc>
              <w:tc>
                <w:tcPr>
                  <w:tcW w:w="1225" w:type="dxa"/>
                  <w:tcBorders>
                    <w:tl2br w:val="nil"/>
                    <w:tr2bl w:val="nil"/>
                  </w:tcBorders>
                  <w:noWrap w:val="0"/>
                  <w:vAlign w:val="center"/>
                </w:tcPr>
                <w:p w14:paraId="4EFE572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53</w:t>
                  </w:r>
                </w:p>
              </w:tc>
              <w:tc>
                <w:tcPr>
                  <w:tcW w:w="1225" w:type="dxa"/>
                  <w:tcBorders>
                    <w:tl2br w:val="nil"/>
                    <w:tr2bl w:val="nil"/>
                  </w:tcBorders>
                  <w:noWrap w:val="0"/>
                  <w:vAlign w:val="center"/>
                </w:tcPr>
                <w:p w14:paraId="0E22854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53.0 </w:t>
                  </w:r>
                </w:p>
              </w:tc>
              <w:tc>
                <w:tcPr>
                  <w:tcW w:w="1122" w:type="dxa"/>
                  <w:tcBorders>
                    <w:tl2br w:val="nil"/>
                    <w:tr2bl w:val="nil"/>
                  </w:tcBorders>
                  <w:noWrap w:val="0"/>
                  <w:vAlign w:val="center"/>
                </w:tcPr>
                <w:p w14:paraId="0E49100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60</w:t>
                  </w:r>
                </w:p>
              </w:tc>
              <w:tc>
                <w:tcPr>
                  <w:tcW w:w="868" w:type="dxa"/>
                  <w:vMerge w:val="continue"/>
                  <w:tcBorders>
                    <w:tl2br w:val="nil"/>
                    <w:tr2bl w:val="nil"/>
                  </w:tcBorders>
                  <w:noWrap w:val="0"/>
                  <w:vAlign w:val="center"/>
                </w:tcPr>
                <w:p w14:paraId="79190B7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r w14:paraId="774E4AF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1" w:hRule="atLeast"/>
                <w:jc w:val="center"/>
              </w:trPr>
              <w:tc>
                <w:tcPr>
                  <w:tcW w:w="1277" w:type="dxa"/>
                  <w:vMerge w:val="continue"/>
                  <w:tcBorders>
                    <w:tl2br w:val="nil"/>
                    <w:tr2bl w:val="nil"/>
                  </w:tcBorders>
                  <w:noWrap w:val="0"/>
                  <w:vAlign w:val="center"/>
                </w:tcPr>
                <w:p w14:paraId="5782669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auto"/>
                      <w:sz w:val="21"/>
                      <w:szCs w:val="21"/>
                      <w:highlight w:val="none"/>
                    </w:rPr>
                  </w:pPr>
                </w:p>
              </w:tc>
              <w:tc>
                <w:tcPr>
                  <w:tcW w:w="662" w:type="dxa"/>
                  <w:tcBorders>
                    <w:tl2br w:val="nil"/>
                    <w:tr2bl w:val="nil"/>
                  </w:tcBorders>
                  <w:noWrap w:val="0"/>
                  <w:vAlign w:val="center"/>
                </w:tcPr>
                <w:p w14:paraId="437900E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kern w:val="2"/>
                      <w:sz w:val="21"/>
                      <w:szCs w:val="21"/>
                      <w:highlight w:val="none"/>
                      <w:lang w:val="en-US" w:eastAsia="zh-CN" w:bidi="ar-SA"/>
                    </w:rPr>
                  </w:pPr>
                  <w:r>
                    <w:rPr>
                      <w:rFonts w:hint="default" w:ascii="Times New Roman" w:hAnsi="Times New Roman" w:cs="Times New Roman"/>
                      <w:b w:val="0"/>
                      <w:bCs w:val="0"/>
                      <w:caps w:val="0"/>
                      <w:smallCaps w:val="0"/>
                      <w:snapToGrid w:val="0"/>
                      <w:color w:val="auto"/>
                      <w:sz w:val="21"/>
                      <w:szCs w:val="21"/>
                      <w:highlight w:val="none"/>
                      <w:lang w:val="en-US" w:eastAsia="zh-CN"/>
                    </w:rPr>
                    <w:t>夜</w:t>
                  </w:r>
                </w:p>
              </w:tc>
              <w:tc>
                <w:tcPr>
                  <w:tcW w:w="1305" w:type="dxa"/>
                  <w:tcBorders>
                    <w:tl2br w:val="nil"/>
                    <w:tr2bl w:val="nil"/>
                  </w:tcBorders>
                  <w:noWrap w:val="0"/>
                  <w:vAlign w:val="bottom"/>
                </w:tcPr>
                <w:p w14:paraId="5735C3C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31.5 </w:t>
                  </w:r>
                </w:p>
              </w:tc>
              <w:tc>
                <w:tcPr>
                  <w:tcW w:w="1225" w:type="dxa"/>
                  <w:tcBorders>
                    <w:tl2br w:val="nil"/>
                    <w:tr2bl w:val="nil"/>
                  </w:tcBorders>
                  <w:noWrap w:val="0"/>
                  <w:vAlign w:val="center"/>
                </w:tcPr>
                <w:p w14:paraId="3D9B246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46</w:t>
                  </w:r>
                </w:p>
              </w:tc>
              <w:tc>
                <w:tcPr>
                  <w:tcW w:w="1225" w:type="dxa"/>
                  <w:tcBorders>
                    <w:tl2br w:val="nil"/>
                    <w:tr2bl w:val="nil"/>
                  </w:tcBorders>
                  <w:noWrap w:val="0"/>
                  <w:vAlign w:val="center"/>
                </w:tcPr>
                <w:p w14:paraId="7B74389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auto"/>
                      <w:kern w:val="2"/>
                      <w:sz w:val="21"/>
                      <w:szCs w:val="21"/>
                      <w:highlight w:val="none"/>
                      <w:lang w:val="en-US" w:eastAsia="zh-CN" w:bidi="ar-SA"/>
                    </w:rPr>
                  </w:pPr>
                  <w:r>
                    <w:rPr>
                      <w:rFonts w:hint="default" w:cs="Times New Roman"/>
                      <w:b w:val="0"/>
                      <w:bCs w:val="0"/>
                      <w:caps w:val="0"/>
                      <w:smallCaps w:val="0"/>
                      <w:snapToGrid w:val="0"/>
                      <w:color w:val="auto"/>
                      <w:kern w:val="2"/>
                      <w:sz w:val="21"/>
                      <w:szCs w:val="21"/>
                      <w:highlight w:val="none"/>
                      <w:lang w:val="en-US" w:eastAsia="zh-CN" w:bidi="ar-SA"/>
                    </w:rPr>
                    <w:t xml:space="preserve">46.2 </w:t>
                  </w:r>
                </w:p>
              </w:tc>
              <w:tc>
                <w:tcPr>
                  <w:tcW w:w="1122" w:type="dxa"/>
                  <w:tcBorders>
                    <w:tl2br w:val="nil"/>
                    <w:tr2bl w:val="nil"/>
                  </w:tcBorders>
                  <w:noWrap w:val="0"/>
                  <w:vAlign w:val="center"/>
                </w:tcPr>
                <w:p w14:paraId="7DC1BCB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auto"/>
                      <w:kern w:val="2"/>
                      <w:sz w:val="21"/>
                      <w:szCs w:val="21"/>
                      <w:highlight w:val="none"/>
                      <w:lang w:val="en-US" w:eastAsia="zh-CN" w:bidi="ar-SA"/>
                    </w:rPr>
                  </w:pPr>
                  <w:r>
                    <w:rPr>
                      <w:rFonts w:hint="eastAsia" w:cs="Times New Roman"/>
                      <w:b w:val="0"/>
                      <w:bCs w:val="0"/>
                      <w:caps w:val="0"/>
                      <w:smallCaps w:val="0"/>
                      <w:snapToGrid w:val="0"/>
                      <w:color w:val="auto"/>
                      <w:kern w:val="2"/>
                      <w:sz w:val="21"/>
                      <w:szCs w:val="21"/>
                      <w:highlight w:val="none"/>
                      <w:lang w:val="en-US" w:eastAsia="zh-CN" w:bidi="ar-SA"/>
                    </w:rPr>
                    <w:t>50</w:t>
                  </w:r>
                </w:p>
              </w:tc>
              <w:tc>
                <w:tcPr>
                  <w:tcW w:w="868" w:type="dxa"/>
                  <w:vMerge w:val="continue"/>
                  <w:tcBorders>
                    <w:tl2br w:val="nil"/>
                    <w:tr2bl w:val="nil"/>
                  </w:tcBorders>
                  <w:noWrap w:val="0"/>
                  <w:vAlign w:val="center"/>
                </w:tcPr>
                <w:p w14:paraId="57B5902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auto"/>
                      <w:sz w:val="21"/>
                      <w:szCs w:val="21"/>
                      <w:highlight w:val="none"/>
                      <w:lang w:val="en-US" w:eastAsia="zh-CN"/>
                    </w:rPr>
                  </w:pPr>
                </w:p>
              </w:tc>
            </w:tr>
          </w:tbl>
          <w:p w14:paraId="2AF9AAA0">
            <w:pPr>
              <w:keepNext w:val="0"/>
              <w:keepLines w:val="0"/>
              <w:pageBreakBefore w:val="0"/>
              <w:widowControl w:val="0"/>
              <w:shd w:val="clear"/>
              <w:kinsoku/>
              <w:wordWrap/>
              <w:overflowPunct/>
              <w:topLinePunct w:val="0"/>
              <w:autoSpaceDE/>
              <w:autoSpaceDN/>
              <w:bidi w:val="0"/>
              <w:adjustRightInd/>
              <w:snapToGrid/>
              <w:spacing w:line="460" w:lineRule="exact"/>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3.2达标情况分析</w:t>
            </w:r>
          </w:p>
          <w:p w14:paraId="0B3F8FEA">
            <w:pPr>
              <w:keepNext w:val="0"/>
              <w:keepLines w:val="0"/>
              <w:widowControl/>
              <w:suppressLineNumbers w:val="0"/>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本项目噪声源主要为设备运行过程产生的噪声，在对设备采取基础减振、厂房隔声等降噪措施后</w:t>
            </w:r>
            <w:r>
              <w:rPr>
                <w:rFonts w:hint="default" w:ascii="Times New Roman" w:hAnsi="Times New Roman" w:cs="Times New Roman"/>
                <w:color w:val="auto"/>
                <w:sz w:val="24"/>
                <w:szCs w:val="24"/>
                <w:highlight w:val="none"/>
                <w:lang w:val="en-GB"/>
              </w:rPr>
              <w:t>，</w:t>
            </w:r>
            <w:r>
              <w:rPr>
                <w:rFonts w:hint="default" w:ascii="Times New Roman" w:hAnsi="Times New Roman" w:cs="Times New Roman"/>
                <w:caps w:val="0"/>
                <w:smallCaps w:val="0"/>
                <w:color w:val="auto"/>
                <w:kern w:val="0"/>
                <w:sz w:val="24"/>
                <w:szCs w:val="24"/>
                <w:highlight w:val="none"/>
              </w:rPr>
              <w:t>本项目</w:t>
            </w:r>
            <w:r>
              <w:rPr>
                <w:rFonts w:hint="default" w:ascii="Times New Roman" w:hAnsi="Times New Roman" w:cs="Times New Roman"/>
                <w:caps w:val="0"/>
                <w:smallCaps w:val="0"/>
                <w:color w:val="auto"/>
                <w:kern w:val="0"/>
                <w:sz w:val="24"/>
                <w:szCs w:val="24"/>
                <w:highlight w:val="none"/>
                <w:lang w:eastAsia="zh-CN"/>
              </w:rPr>
              <w:t>建成后四周</w:t>
            </w:r>
            <w:r>
              <w:rPr>
                <w:rFonts w:hint="default" w:ascii="Times New Roman" w:hAnsi="Times New Roman" w:cs="Times New Roman"/>
                <w:caps w:val="0"/>
                <w:smallCaps w:val="0"/>
                <w:color w:val="auto"/>
                <w:kern w:val="0"/>
                <w:sz w:val="24"/>
                <w:szCs w:val="24"/>
                <w:highlight w:val="none"/>
              </w:rPr>
              <w:t>厂界噪声</w:t>
            </w:r>
            <w:r>
              <w:rPr>
                <w:rFonts w:hint="eastAsia" w:ascii="Times New Roman" w:hAnsi="Times New Roman" w:cs="Times New Roman"/>
                <w:caps w:val="0"/>
                <w:smallCaps w:val="0"/>
                <w:color w:val="auto"/>
                <w:kern w:val="0"/>
                <w:sz w:val="24"/>
                <w:szCs w:val="24"/>
                <w:highlight w:val="none"/>
                <w:lang w:eastAsia="zh-CN"/>
              </w:rPr>
              <w:t>贡献值为</w:t>
            </w:r>
            <w:r>
              <w:rPr>
                <w:rFonts w:hint="eastAsia" w:cs="Times New Roman"/>
                <w:caps w:val="0"/>
                <w:smallCaps w:val="0"/>
                <w:color w:val="auto"/>
                <w:kern w:val="0"/>
                <w:sz w:val="24"/>
                <w:szCs w:val="24"/>
                <w:highlight w:val="none"/>
                <w:lang w:val="en-US" w:eastAsia="zh-CN"/>
              </w:rPr>
              <w:t>11.6</w:t>
            </w:r>
            <w:r>
              <w:rPr>
                <w:rFonts w:hint="eastAsia" w:ascii="Times New Roman" w:hAnsi="Times New Roman" w:cs="Times New Roman"/>
                <w:caps w:val="0"/>
                <w:smallCaps w:val="0"/>
                <w:color w:val="auto"/>
                <w:kern w:val="0"/>
                <w:sz w:val="24"/>
                <w:szCs w:val="24"/>
                <w:highlight w:val="none"/>
                <w:lang w:val="en-US" w:eastAsia="zh-CN"/>
              </w:rPr>
              <w:t>-</w:t>
            </w:r>
            <w:r>
              <w:rPr>
                <w:rFonts w:hint="eastAsia" w:cs="Times New Roman"/>
                <w:caps w:val="0"/>
                <w:smallCaps w:val="0"/>
                <w:color w:val="auto"/>
                <w:kern w:val="0"/>
                <w:sz w:val="24"/>
                <w:szCs w:val="24"/>
                <w:highlight w:val="none"/>
                <w:lang w:val="en-US" w:eastAsia="zh-CN"/>
              </w:rPr>
              <w:t>43.5</w:t>
            </w:r>
            <w:r>
              <w:rPr>
                <w:rFonts w:hint="eastAsia" w:ascii="Times New Roman" w:hAnsi="Times New Roman" w:cs="Times New Roman"/>
                <w:caps w:val="0"/>
                <w:smallCaps w:val="0"/>
                <w:color w:val="auto"/>
                <w:kern w:val="0"/>
                <w:sz w:val="24"/>
                <w:szCs w:val="24"/>
                <w:highlight w:val="none"/>
                <w:lang w:val="en-US" w:eastAsia="zh-CN"/>
              </w:rPr>
              <w:t>dB（A），</w:t>
            </w:r>
            <w:r>
              <w:rPr>
                <w:rFonts w:hint="eastAsia" w:cs="Times New Roman"/>
                <w:caps w:val="0"/>
                <w:smallCaps w:val="0"/>
                <w:color w:val="auto"/>
                <w:kern w:val="0"/>
                <w:sz w:val="24"/>
                <w:szCs w:val="24"/>
                <w:highlight w:val="none"/>
                <w:lang w:val="en-US" w:eastAsia="zh-CN"/>
              </w:rPr>
              <w:t>昼间噪声</w:t>
            </w:r>
            <w:r>
              <w:rPr>
                <w:rFonts w:hint="eastAsia" w:ascii="Times New Roman" w:hAnsi="Times New Roman" w:cs="Times New Roman"/>
                <w:caps w:val="0"/>
                <w:smallCaps w:val="0"/>
                <w:color w:val="auto"/>
                <w:kern w:val="0"/>
                <w:sz w:val="24"/>
                <w:szCs w:val="24"/>
                <w:highlight w:val="none"/>
                <w:lang w:val="en-US" w:eastAsia="zh-CN"/>
              </w:rPr>
              <w:t>预测值为5</w:t>
            </w:r>
            <w:r>
              <w:rPr>
                <w:rFonts w:hint="eastAsia" w:cs="Times New Roman"/>
                <w:caps w:val="0"/>
                <w:smallCaps w:val="0"/>
                <w:color w:val="auto"/>
                <w:kern w:val="0"/>
                <w:sz w:val="24"/>
                <w:szCs w:val="24"/>
                <w:highlight w:val="none"/>
                <w:lang w:val="en-US" w:eastAsia="zh-CN"/>
              </w:rPr>
              <w:t>2.1</w:t>
            </w:r>
            <w:r>
              <w:rPr>
                <w:rFonts w:hint="eastAsia" w:ascii="Times New Roman" w:hAnsi="Times New Roman" w:cs="Times New Roman"/>
                <w:caps w:val="0"/>
                <w:smallCaps w:val="0"/>
                <w:color w:val="auto"/>
                <w:kern w:val="0"/>
                <w:sz w:val="24"/>
                <w:szCs w:val="24"/>
                <w:highlight w:val="none"/>
                <w:lang w:val="en-US" w:eastAsia="zh-CN"/>
              </w:rPr>
              <w:t>-</w:t>
            </w:r>
            <w:r>
              <w:rPr>
                <w:rFonts w:hint="eastAsia" w:cs="Times New Roman"/>
                <w:caps w:val="0"/>
                <w:smallCaps w:val="0"/>
                <w:color w:val="auto"/>
                <w:kern w:val="0"/>
                <w:sz w:val="24"/>
                <w:szCs w:val="24"/>
                <w:highlight w:val="none"/>
                <w:lang w:val="en-US" w:eastAsia="zh-CN"/>
              </w:rPr>
              <w:t>54.0</w:t>
            </w:r>
            <w:r>
              <w:rPr>
                <w:rFonts w:hint="eastAsia" w:ascii="Times New Roman" w:hAnsi="Times New Roman" w:cs="Times New Roman"/>
                <w:caps w:val="0"/>
                <w:smallCaps w:val="0"/>
                <w:color w:val="auto"/>
                <w:kern w:val="0"/>
                <w:sz w:val="24"/>
                <w:szCs w:val="24"/>
                <w:highlight w:val="none"/>
                <w:lang w:val="en-US" w:eastAsia="zh-CN"/>
              </w:rPr>
              <w:t>dB（A）</w:t>
            </w:r>
            <w:r>
              <w:rPr>
                <w:rFonts w:hint="eastAsia" w:cs="Times New Roman"/>
                <w:caps w:val="0"/>
                <w:smallCaps w:val="0"/>
                <w:color w:val="auto"/>
                <w:kern w:val="0"/>
                <w:sz w:val="24"/>
                <w:szCs w:val="24"/>
                <w:highlight w:val="none"/>
                <w:lang w:val="en-US" w:eastAsia="zh-CN"/>
              </w:rPr>
              <w:t>，</w:t>
            </w:r>
            <w:r>
              <w:rPr>
                <w:rFonts w:hint="eastAsia" w:ascii="Times New Roman" w:hAnsi="Times New Roman" w:cs="Times New Roman"/>
                <w:caps w:val="0"/>
                <w:smallCaps w:val="0"/>
                <w:color w:val="auto"/>
                <w:kern w:val="0"/>
                <w:sz w:val="24"/>
                <w:szCs w:val="24"/>
                <w:highlight w:val="none"/>
                <w:lang w:val="en-US" w:eastAsia="zh-CN"/>
              </w:rPr>
              <w:t>夜间</w:t>
            </w:r>
            <w:r>
              <w:rPr>
                <w:rFonts w:hint="default" w:ascii="Times New Roman" w:hAnsi="Times New Roman" w:cs="Times New Roman"/>
                <w:caps w:val="0"/>
                <w:smallCaps w:val="0"/>
                <w:color w:val="auto"/>
                <w:kern w:val="0"/>
                <w:sz w:val="24"/>
                <w:szCs w:val="24"/>
                <w:highlight w:val="none"/>
              </w:rPr>
              <w:t>噪声</w:t>
            </w:r>
            <w:r>
              <w:rPr>
                <w:rFonts w:hint="eastAsia" w:cs="Times New Roman"/>
                <w:caps w:val="0"/>
                <w:smallCaps w:val="0"/>
                <w:color w:val="auto"/>
                <w:kern w:val="0"/>
                <w:sz w:val="24"/>
                <w:szCs w:val="24"/>
                <w:highlight w:val="none"/>
                <w:lang w:eastAsia="zh-CN"/>
              </w:rPr>
              <w:t>预测</w:t>
            </w:r>
            <w:r>
              <w:rPr>
                <w:rFonts w:hint="eastAsia" w:ascii="Times New Roman" w:hAnsi="Times New Roman" w:cs="Times New Roman"/>
                <w:caps w:val="0"/>
                <w:smallCaps w:val="0"/>
                <w:color w:val="auto"/>
                <w:kern w:val="0"/>
                <w:sz w:val="24"/>
                <w:szCs w:val="24"/>
                <w:highlight w:val="none"/>
                <w:lang w:eastAsia="zh-CN"/>
              </w:rPr>
              <w:t>值</w:t>
            </w:r>
            <w:r>
              <w:rPr>
                <w:rFonts w:hint="eastAsia" w:cs="Times New Roman"/>
                <w:caps w:val="0"/>
                <w:smallCaps w:val="0"/>
                <w:color w:val="auto"/>
                <w:kern w:val="0"/>
                <w:sz w:val="24"/>
                <w:szCs w:val="24"/>
                <w:highlight w:val="none"/>
                <w:lang w:eastAsia="zh-CN"/>
              </w:rPr>
              <w:t>为</w:t>
            </w:r>
            <w:r>
              <w:rPr>
                <w:rFonts w:hint="eastAsia" w:ascii="Times New Roman" w:hAnsi="Times New Roman" w:cs="Times New Roman"/>
                <w:caps w:val="0"/>
                <w:smallCaps w:val="0"/>
                <w:color w:val="auto"/>
                <w:kern w:val="0"/>
                <w:sz w:val="24"/>
                <w:szCs w:val="24"/>
                <w:highlight w:val="none"/>
                <w:lang w:val="en-US" w:eastAsia="zh-CN"/>
              </w:rPr>
              <w:t>4</w:t>
            </w:r>
            <w:r>
              <w:rPr>
                <w:rFonts w:hint="eastAsia" w:cs="Times New Roman"/>
                <w:caps w:val="0"/>
                <w:smallCaps w:val="0"/>
                <w:color w:val="auto"/>
                <w:kern w:val="0"/>
                <w:sz w:val="24"/>
                <w:szCs w:val="24"/>
                <w:highlight w:val="none"/>
                <w:lang w:val="en-US" w:eastAsia="zh-CN"/>
              </w:rPr>
              <w:t>6.2</w:t>
            </w:r>
            <w:r>
              <w:rPr>
                <w:rFonts w:hint="eastAsia" w:ascii="Times New Roman" w:hAnsi="Times New Roman" w:cs="Times New Roman"/>
                <w:caps w:val="0"/>
                <w:smallCaps w:val="0"/>
                <w:color w:val="auto"/>
                <w:kern w:val="0"/>
                <w:sz w:val="24"/>
                <w:szCs w:val="24"/>
                <w:highlight w:val="none"/>
                <w:lang w:val="en-US" w:eastAsia="zh-CN"/>
              </w:rPr>
              <w:t>-</w:t>
            </w:r>
            <w:r>
              <w:rPr>
                <w:rFonts w:hint="eastAsia" w:cs="Times New Roman"/>
                <w:caps w:val="0"/>
                <w:smallCaps w:val="0"/>
                <w:color w:val="auto"/>
                <w:kern w:val="0"/>
                <w:sz w:val="24"/>
                <w:szCs w:val="24"/>
                <w:highlight w:val="none"/>
                <w:lang w:val="en-US" w:eastAsia="zh-CN"/>
              </w:rPr>
              <w:t>48.6</w:t>
            </w:r>
            <w:r>
              <w:rPr>
                <w:rFonts w:hint="eastAsia" w:ascii="Times New Roman" w:hAnsi="Times New Roman" w:cs="Times New Roman"/>
                <w:caps w:val="0"/>
                <w:smallCaps w:val="0"/>
                <w:color w:val="auto"/>
                <w:kern w:val="0"/>
                <w:sz w:val="24"/>
                <w:szCs w:val="24"/>
                <w:highlight w:val="none"/>
                <w:lang w:val="en-US" w:eastAsia="zh-CN"/>
              </w:rPr>
              <w:t>dB（A），可以</w:t>
            </w:r>
            <w:r>
              <w:rPr>
                <w:rFonts w:hint="default" w:ascii="Times New Roman" w:hAnsi="Times New Roman" w:cs="Times New Roman"/>
                <w:caps w:val="0"/>
                <w:smallCaps w:val="0"/>
                <w:color w:val="auto"/>
                <w:kern w:val="0"/>
                <w:sz w:val="24"/>
                <w:szCs w:val="24"/>
                <w:highlight w:val="none"/>
              </w:rPr>
              <w:t>满足</w:t>
            </w:r>
            <w:r>
              <w:rPr>
                <w:rFonts w:hint="default" w:ascii="Times New Roman" w:hAnsi="Times New Roman" w:cs="Times New Roman"/>
                <w:caps w:val="0"/>
                <w:smallCaps w:val="0"/>
                <w:snapToGrid w:val="0"/>
                <w:color w:val="auto"/>
                <w:kern w:val="0"/>
                <w:sz w:val="24"/>
                <w:szCs w:val="24"/>
                <w:highlight w:val="none"/>
                <w:lang w:bidi="ar"/>
              </w:rPr>
              <w:t>《工业企业厂界环境噪声排放标准》（GB12348-2008）</w:t>
            </w:r>
            <w:r>
              <w:rPr>
                <w:rFonts w:hint="eastAsia" w:cs="Times New Roman"/>
                <w:caps w:val="0"/>
                <w:smallCaps w:val="0"/>
                <w:snapToGrid w:val="0"/>
                <w:color w:val="auto"/>
                <w:kern w:val="0"/>
                <w:sz w:val="24"/>
                <w:szCs w:val="24"/>
                <w:highlight w:val="none"/>
                <w:lang w:val="en-US" w:eastAsia="zh-CN" w:bidi="ar"/>
              </w:rPr>
              <w:t>2</w:t>
            </w:r>
            <w:r>
              <w:rPr>
                <w:rFonts w:hint="default" w:ascii="Times New Roman" w:hAnsi="Times New Roman" w:cs="Times New Roman"/>
                <w:caps w:val="0"/>
                <w:smallCaps w:val="0"/>
                <w:snapToGrid w:val="0"/>
                <w:color w:val="auto"/>
                <w:kern w:val="0"/>
                <w:sz w:val="24"/>
                <w:szCs w:val="24"/>
                <w:highlight w:val="none"/>
                <w:lang w:bidi="ar"/>
              </w:rPr>
              <w:t>类标准：</w:t>
            </w:r>
            <w:r>
              <w:rPr>
                <w:rFonts w:hint="default" w:ascii="Times New Roman" w:hAnsi="Times New Roman" w:cs="Times New Roman"/>
                <w:caps w:val="0"/>
                <w:smallCaps w:val="0"/>
                <w:color w:val="auto"/>
                <w:kern w:val="24"/>
                <w:sz w:val="24"/>
                <w:szCs w:val="24"/>
                <w:highlight w:val="none"/>
                <w:lang w:bidi="ar"/>
              </w:rPr>
              <w:t>昼间6</w:t>
            </w:r>
            <w:r>
              <w:rPr>
                <w:rFonts w:hint="eastAsia" w:cs="Times New Roman"/>
                <w:caps w:val="0"/>
                <w:smallCaps w:val="0"/>
                <w:color w:val="auto"/>
                <w:kern w:val="24"/>
                <w:sz w:val="24"/>
                <w:szCs w:val="24"/>
                <w:highlight w:val="none"/>
                <w:lang w:val="en-US" w:eastAsia="zh-CN" w:bidi="ar"/>
              </w:rPr>
              <w:t>0</w:t>
            </w:r>
            <w:r>
              <w:rPr>
                <w:rFonts w:hint="default" w:ascii="Times New Roman" w:hAnsi="Times New Roman" w:cs="Times New Roman"/>
                <w:caps w:val="0"/>
                <w:smallCaps w:val="0"/>
                <w:snapToGrid w:val="0"/>
                <w:color w:val="auto"/>
                <w:kern w:val="0"/>
                <w:sz w:val="24"/>
                <w:szCs w:val="24"/>
                <w:highlight w:val="none"/>
                <w:lang w:bidi="ar"/>
              </w:rPr>
              <w:t>dB（A）</w:t>
            </w:r>
            <w:r>
              <w:rPr>
                <w:rFonts w:hint="default" w:ascii="Times New Roman" w:hAnsi="Times New Roman" w:cs="Times New Roman"/>
                <w:caps w:val="0"/>
                <w:smallCaps w:val="0"/>
                <w:snapToGrid w:val="0"/>
                <w:color w:val="auto"/>
                <w:kern w:val="0"/>
                <w:sz w:val="24"/>
                <w:szCs w:val="24"/>
                <w:highlight w:val="none"/>
                <w:lang w:eastAsia="zh-CN" w:bidi="ar"/>
              </w:rPr>
              <w:t>、夜间</w:t>
            </w:r>
            <w:r>
              <w:rPr>
                <w:rFonts w:hint="default" w:ascii="Times New Roman" w:hAnsi="Times New Roman" w:cs="Times New Roman"/>
                <w:caps w:val="0"/>
                <w:smallCaps w:val="0"/>
                <w:snapToGrid w:val="0"/>
                <w:color w:val="auto"/>
                <w:kern w:val="0"/>
                <w:sz w:val="24"/>
                <w:szCs w:val="24"/>
                <w:highlight w:val="none"/>
                <w:lang w:val="en-US" w:eastAsia="zh-CN" w:bidi="ar"/>
              </w:rPr>
              <w:t>5</w:t>
            </w:r>
            <w:r>
              <w:rPr>
                <w:rFonts w:hint="eastAsia" w:cs="Times New Roman"/>
                <w:caps w:val="0"/>
                <w:smallCaps w:val="0"/>
                <w:color w:val="auto"/>
                <w:kern w:val="24"/>
                <w:sz w:val="24"/>
                <w:szCs w:val="24"/>
                <w:highlight w:val="none"/>
                <w:lang w:val="en-US" w:eastAsia="zh-CN" w:bidi="ar"/>
              </w:rPr>
              <w:t>0</w:t>
            </w:r>
            <w:r>
              <w:rPr>
                <w:rFonts w:hint="default" w:ascii="Times New Roman" w:hAnsi="Times New Roman" w:cs="Times New Roman"/>
                <w:caps w:val="0"/>
                <w:smallCaps w:val="0"/>
                <w:snapToGrid w:val="0"/>
                <w:color w:val="auto"/>
                <w:kern w:val="0"/>
                <w:sz w:val="24"/>
                <w:szCs w:val="24"/>
                <w:highlight w:val="none"/>
                <w:lang w:bidi="ar"/>
              </w:rPr>
              <w:t>dB（A）的限值要求</w:t>
            </w:r>
            <w:r>
              <w:rPr>
                <w:rFonts w:hint="default" w:ascii="Times New Roman" w:hAnsi="Times New Roman" w:cs="Times New Roman"/>
                <w:caps w:val="0"/>
                <w:smallCaps w:val="0"/>
                <w:color w:val="auto"/>
                <w:sz w:val="24"/>
                <w:szCs w:val="24"/>
                <w:highlight w:val="none"/>
              </w:rPr>
              <w:t>。</w:t>
            </w:r>
            <w:r>
              <w:rPr>
                <w:rFonts w:hint="eastAsia" w:ascii="宋体" w:hAnsi="宋体" w:cs="宋体"/>
                <w:b w:val="0"/>
                <w:bCs w:val="0"/>
                <w:i w:val="0"/>
                <w:iCs w:val="0"/>
                <w:color w:val="auto"/>
                <w:kern w:val="0"/>
                <w:sz w:val="24"/>
                <w:szCs w:val="24"/>
                <w:highlight w:val="none"/>
                <w:u w:val="none"/>
                <w:lang w:val="en-US" w:eastAsia="zh-CN" w:bidi="ar"/>
              </w:rPr>
              <w:t>因此，</w:t>
            </w:r>
            <w:r>
              <w:rPr>
                <w:rFonts w:hint="eastAsia"/>
                <w:color w:val="auto"/>
                <w:highlight w:val="none"/>
                <w:lang w:val="en-US" w:eastAsia="zh-CN"/>
              </w:rPr>
              <w:t>项目的实施</w:t>
            </w:r>
            <w:r>
              <w:rPr>
                <w:color w:val="auto"/>
                <w:highlight w:val="none"/>
              </w:rPr>
              <w:t>对</w:t>
            </w:r>
            <w:r>
              <w:rPr>
                <w:rFonts w:hint="eastAsia"/>
                <w:color w:val="auto"/>
                <w:highlight w:val="none"/>
                <w:lang w:val="en-US" w:eastAsia="zh-CN"/>
              </w:rPr>
              <w:t>周边声环境</w:t>
            </w:r>
            <w:r>
              <w:rPr>
                <w:color w:val="auto"/>
                <w:highlight w:val="none"/>
              </w:rPr>
              <w:t>影响</w:t>
            </w:r>
            <w:r>
              <w:rPr>
                <w:rFonts w:hint="eastAsia" w:ascii="Times New Roman" w:eastAsia="宋体"/>
                <w:color w:val="auto"/>
                <w:highlight w:val="none"/>
                <w:lang w:val="en-US" w:eastAsia="zh-CN"/>
              </w:rPr>
              <w:t>较</w:t>
            </w:r>
            <w:r>
              <w:rPr>
                <w:color w:val="auto"/>
                <w:highlight w:val="none"/>
              </w:rPr>
              <w:t>小</w:t>
            </w:r>
            <w:r>
              <w:rPr>
                <w:rFonts w:hint="eastAsia"/>
                <w:color w:val="auto"/>
                <w:highlight w:val="none"/>
                <w:lang w:val="en-US" w:eastAsia="zh-CN"/>
              </w:rPr>
              <w:t>，不会对项目周边声环境造成明显不利影响。</w:t>
            </w:r>
          </w:p>
          <w:p w14:paraId="408D7887">
            <w:pPr>
              <w:keepNext w:val="0"/>
              <w:keepLines w:val="0"/>
              <w:pageBreakBefore w:val="0"/>
              <w:widowControl w:val="0"/>
              <w:numPr>
                <w:ilvl w:val="0"/>
                <w:numId w:val="0"/>
              </w:numPr>
              <w:shd w:val="clear"/>
              <w:kinsoku/>
              <w:wordWrap/>
              <w:overflowPunct/>
              <w:topLinePunct w:val="0"/>
              <w:autoSpaceDE/>
              <w:autoSpaceDN/>
              <w:bidi w:val="0"/>
              <w:adjustRightInd/>
              <w:snapToGrid/>
              <w:spacing w:line="460" w:lineRule="exact"/>
              <w:ind w:firstLine="482" w:firstLineChars="20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3.3监测计划</w:t>
            </w:r>
          </w:p>
          <w:p w14:paraId="27195908">
            <w:pPr>
              <w:pStyle w:val="11"/>
              <w:shd w:val="clear"/>
              <w:rPr>
                <w:rFonts w:hint="default" w:ascii="Times New Roman" w:hAnsi="Times New Roman" w:cs="Times New Roman"/>
                <w:color w:val="auto"/>
                <w:kern w:val="1"/>
                <w:sz w:val="24"/>
                <w:szCs w:val="24"/>
                <w:highlight w:val="none"/>
                <w:lang w:val="en-US" w:eastAsia="zh-CN" w:bidi="ar"/>
              </w:rPr>
            </w:pPr>
            <w:r>
              <w:rPr>
                <w:rFonts w:hint="default" w:ascii="Times New Roman" w:hAnsi="Times New Roman" w:cs="Times New Roman"/>
                <w:snapToGrid w:val="0"/>
                <w:color w:val="auto"/>
                <w:kern w:val="0"/>
                <w:sz w:val="24"/>
                <w:szCs w:val="24"/>
                <w:highlight w:val="none"/>
                <w:lang w:bidi="ar"/>
              </w:rPr>
              <w:t>根据本建设项目性质与实际情况，</w:t>
            </w:r>
            <w:r>
              <w:rPr>
                <w:rFonts w:hint="default" w:ascii="Times New Roman" w:hAnsi="Times New Roman" w:eastAsia="宋体" w:cs="Times New Roman"/>
                <w:b w:val="0"/>
                <w:bCs/>
                <w:i w:val="0"/>
                <w:snapToGrid w:val="0"/>
                <w:color w:val="auto"/>
                <w:kern w:val="0"/>
                <w:sz w:val="24"/>
                <w:szCs w:val="24"/>
                <w:highlight w:val="none"/>
                <w:lang w:val="en-US" w:eastAsia="zh-CN" w:bidi="ar"/>
              </w:rPr>
              <w:t>按照《</w: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begin"/>
            </w:r>
            <w:r>
              <w:rPr>
                <w:rFonts w:hint="default" w:ascii="Times New Roman" w:hAnsi="Times New Roman" w:eastAsia="宋体" w:cs="Times New Roman"/>
                <w:b w:val="0"/>
                <w:bCs/>
                <w:i w:val="0"/>
                <w:snapToGrid w:val="0"/>
                <w:color w:val="auto"/>
                <w:kern w:val="0"/>
                <w:sz w:val="24"/>
                <w:szCs w:val="24"/>
                <w:highlight w:val="none"/>
                <w:lang w:val="en-US" w:eastAsia="zh-CN" w:bidi="ar"/>
              </w:rPr>
              <w:instrText xml:space="preserve"> HYPERLINK "http://www.mee.gov.cn/ywgz/fgbz/bz/bzwb/shjbh/xgbzh/201705/W020170511332490849000.pdf" </w:instrTex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separate"/>
            </w:r>
            <w:r>
              <w:rPr>
                <w:rFonts w:hint="default" w:ascii="Times New Roman" w:hAnsi="Times New Roman" w:eastAsia="宋体" w:cs="Times New Roman"/>
                <w:b w:val="0"/>
                <w:bCs/>
                <w:i w:val="0"/>
                <w:snapToGrid w:val="0"/>
                <w:color w:val="auto"/>
                <w:kern w:val="0"/>
                <w:sz w:val="24"/>
                <w:szCs w:val="24"/>
                <w:highlight w:val="none"/>
                <w:lang w:val="en-US" w:eastAsia="zh-CN" w:bidi="ar"/>
              </w:rPr>
              <w:t>排污单位自行监测技术指南</w:t>
            </w:r>
            <w:r>
              <w:rPr>
                <w:rFonts w:hint="eastAsia" w:cs="Times New Roman"/>
                <w:b w:val="0"/>
                <w:bCs/>
                <w:i w:val="0"/>
                <w:snapToGrid w:val="0"/>
                <w:color w:val="auto"/>
                <w:kern w:val="0"/>
                <w:sz w:val="24"/>
                <w:szCs w:val="24"/>
                <w:highlight w:val="none"/>
                <w:lang w:val="en-US" w:eastAsia="zh-CN" w:bidi="ar"/>
              </w:rPr>
              <w:t xml:space="preserve"> </w:t>
            </w:r>
            <w:r>
              <w:rPr>
                <w:rFonts w:hint="default" w:ascii="Times New Roman" w:hAnsi="Times New Roman" w:eastAsia="宋体" w:cs="Times New Roman"/>
                <w:b w:val="0"/>
                <w:bCs/>
                <w:i w:val="0"/>
                <w:snapToGrid w:val="0"/>
                <w:color w:val="auto"/>
                <w:kern w:val="0"/>
                <w:sz w:val="24"/>
                <w:szCs w:val="24"/>
                <w:highlight w:val="none"/>
                <w:lang w:val="en-US" w:eastAsia="zh-CN" w:bidi="ar"/>
              </w:rPr>
              <w:t>总则</w: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end"/>
            </w:r>
            <w:r>
              <w:rPr>
                <w:rFonts w:hint="default" w:ascii="Times New Roman" w:hAnsi="Times New Roman" w:eastAsia="宋体" w:cs="Times New Roman"/>
                <w:b w:val="0"/>
                <w:bCs/>
                <w:i w:val="0"/>
                <w:snapToGrid w:val="0"/>
                <w:color w:val="auto"/>
                <w:kern w:val="0"/>
                <w:sz w:val="24"/>
                <w:szCs w:val="24"/>
                <w:highlight w:val="none"/>
                <w:lang w:val="en-US" w:eastAsia="zh-CN" w:bidi="ar"/>
              </w:rPr>
              <w:t>》（HJ819-2017）</w:t>
            </w:r>
            <w:r>
              <w:rPr>
                <w:rFonts w:hint="eastAsia" w:cs="Times New Roman"/>
                <w:b w:val="0"/>
                <w:bCs/>
                <w:i w:val="0"/>
                <w:snapToGrid w:val="0"/>
                <w:color w:val="auto"/>
                <w:kern w:val="0"/>
                <w:sz w:val="24"/>
                <w:szCs w:val="24"/>
                <w:highlight w:val="none"/>
                <w:lang w:val="en-US" w:eastAsia="zh-CN" w:bidi="ar"/>
              </w:rPr>
              <w:t>和</w:t>
            </w:r>
            <w:r>
              <w:rPr>
                <w:rFonts w:hint="eastAsia"/>
                <w:color w:val="auto"/>
                <w:highlight w:val="none"/>
                <w:lang w:eastAsia="zh-CN"/>
              </w:rPr>
              <w:t>《</w:t>
            </w:r>
            <w:r>
              <w:rPr>
                <w:rFonts w:hint="eastAsia"/>
                <w:color w:val="auto"/>
                <w:highlight w:val="none"/>
                <w:lang w:val="en-US" w:eastAsia="zh-CN"/>
              </w:rPr>
              <w:t>排污许可证申请与核发技术规范 工业噪声</w:t>
            </w:r>
            <w:r>
              <w:rPr>
                <w:rFonts w:hint="eastAsia"/>
                <w:color w:val="auto"/>
                <w:highlight w:val="none"/>
                <w:lang w:eastAsia="zh-CN"/>
              </w:rPr>
              <w:t>》（</w:t>
            </w:r>
            <w:r>
              <w:rPr>
                <w:rFonts w:hint="eastAsia"/>
                <w:color w:val="auto"/>
                <w:highlight w:val="none"/>
                <w:lang w:val="en-US" w:eastAsia="zh-CN"/>
              </w:rPr>
              <w:t>HJ1301-2023）</w:t>
            </w:r>
            <w:r>
              <w:rPr>
                <w:rFonts w:hint="default" w:ascii="Times New Roman" w:hAnsi="Times New Roman" w:cs="Times New Roman"/>
                <w:color w:val="auto"/>
                <w:kern w:val="1"/>
                <w:sz w:val="24"/>
                <w:szCs w:val="24"/>
                <w:highlight w:val="none"/>
                <w:lang w:val="en-US" w:eastAsia="zh-CN" w:bidi="ar"/>
              </w:rPr>
              <w:t>要求，企业投入运营后噪声监测情况见下表。</w:t>
            </w:r>
          </w:p>
          <w:p w14:paraId="2D7F0B5C">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zh-CN" w:eastAsia="zh-CN"/>
              </w:rPr>
            </w:pPr>
            <w:r>
              <w:rPr>
                <w:rFonts w:hint="default" w:ascii="Times New Roman" w:hAnsi="Times New Roman" w:eastAsia="宋体" w:cs="Times New Roman"/>
                <w:b/>
                <w:bCs/>
                <w:color w:val="auto"/>
                <w:spacing w:val="0"/>
                <w:sz w:val="21"/>
                <w:szCs w:val="21"/>
                <w:highlight w:val="none"/>
                <w:lang w:val="zh-CN" w:eastAsia="zh-CN"/>
              </w:rPr>
              <w:t>项目厂界噪声监测计划表</w:t>
            </w:r>
          </w:p>
          <w:tbl>
            <w:tblPr>
              <w:tblStyle w:val="32"/>
              <w:tblW w:w="7778"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1493"/>
              <w:gridCol w:w="1768"/>
              <w:gridCol w:w="1199"/>
              <w:gridCol w:w="3318"/>
            </w:tblGrid>
            <w:tr w14:paraId="30FEA05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58" w:hRule="atLeast"/>
                <w:jc w:val="center"/>
              </w:trPr>
              <w:tc>
                <w:tcPr>
                  <w:tcW w:w="1493" w:type="dxa"/>
                  <w:tcBorders>
                    <w:tl2br w:val="nil"/>
                    <w:tr2bl w:val="nil"/>
                  </w:tcBorders>
                  <w:noWrap w:val="0"/>
                  <w:tcMar>
                    <w:top w:w="15" w:type="dxa"/>
                    <w:left w:w="15" w:type="dxa"/>
                    <w:bottom w:w="15" w:type="dxa"/>
                    <w:right w:w="15" w:type="dxa"/>
                  </w:tcMar>
                  <w:vAlign w:val="center"/>
                </w:tcPr>
                <w:p w14:paraId="57CDE3F5">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监测点位</w:t>
                  </w:r>
                </w:p>
              </w:tc>
              <w:tc>
                <w:tcPr>
                  <w:tcW w:w="1768" w:type="dxa"/>
                  <w:tcBorders>
                    <w:tl2br w:val="nil"/>
                    <w:tr2bl w:val="nil"/>
                  </w:tcBorders>
                  <w:noWrap w:val="0"/>
                  <w:tcMar>
                    <w:top w:w="15" w:type="dxa"/>
                    <w:left w:w="15" w:type="dxa"/>
                    <w:bottom w:w="15" w:type="dxa"/>
                    <w:right w:w="15" w:type="dxa"/>
                  </w:tcMar>
                  <w:vAlign w:val="center"/>
                </w:tcPr>
                <w:p w14:paraId="5731113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监测指标</w:t>
                  </w:r>
                </w:p>
              </w:tc>
              <w:tc>
                <w:tcPr>
                  <w:tcW w:w="1199" w:type="dxa"/>
                  <w:tcBorders>
                    <w:tl2br w:val="nil"/>
                    <w:tr2bl w:val="nil"/>
                  </w:tcBorders>
                  <w:noWrap w:val="0"/>
                  <w:tcMar>
                    <w:top w:w="15" w:type="dxa"/>
                    <w:left w:w="15" w:type="dxa"/>
                    <w:bottom w:w="15" w:type="dxa"/>
                    <w:right w:w="15" w:type="dxa"/>
                  </w:tcMar>
                  <w:vAlign w:val="center"/>
                </w:tcPr>
                <w:p w14:paraId="2C0AAAA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监测频次</w:t>
                  </w:r>
                </w:p>
              </w:tc>
              <w:tc>
                <w:tcPr>
                  <w:tcW w:w="3318" w:type="dxa"/>
                  <w:tcBorders>
                    <w:tl2br w:val="nil"/>
                    <w:tr2bl w:val="nil"/>
                  </w:tcBorders>
                  <w:noWrap w:val="0"/>
                  <w:tcMar>
                    <w:top w:w="15" w:type="dxa"/>
                    <w:left w:w="15" w:type="dxa"/>
                    <w:bottom w:w="15" w:type="dxa"/>
                    <w:right w:w="15" w:type="dxa"/>
                  </w:tcMar>
                  <w:vAlign w:val="center"/>
                </w:tcPr>
                <w:p w14:paraId="7718164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执行排放标准</w:t>
                  </w:r>
                </w:p>
              </w:tc>
            </w:tr>
            <w:tr w14:paraId="0CA76BD6">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672" w:hRule="atLeast"/>
                <w:jc w:val="center"/>
              </w:trPr>
              <w:tc>
                <w:tcPr>
                  <w:tcW w:w="1493" w:type="dxa"/>
                  <w:tcBorders>
                    <w:tl2br w:val="nil"/>
                    <w:tr2bl w:val="nil"/>
                  </w:tcBorders>
                  <w:noWrap w:val="0"/>
                  <w:tcMar>
                    <w:top w:w="15" w:type="dxa"/>
                    <w:left w:w="15" w:type="dxa"/>
                    <w:bottom w:w="15" w:type="dxa"/>
                    <w:right w:w="15" w:type="dxa"/>
                  </w:tcMar>
                  <w:vAlign w:val="center"/>
                </w:tcPr>
                <w:p w14:paraId="1C12807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厂</w:t>
                  </w:r>
                  <w:r>
                    <w:rPr>
                      <w:rFonts w:hint="default" w:ascii="Times New Roman" w:hAnsi="Times New Roman" w:cs="Times New Roman"/>
                      <w:color w:val="auto"/>
                      <w:sz w:val="21"/>
                      <w:szCs w:val="21"/>
                      <w:highlight w:val="none"/>
                    </w:rPr>
                    <w:t>界外1m处</w:t>
                  </w:r>
                </w:p>
              </w:tc>
              <w:tc>
                <w:tcPr>
                  <w:tcW w:w="1768" w:type="dxa"/>
                  <w:tcBorders>
                    <w:tl2br w:val="nil"/>
                    <w:tr2bl w:val="nil"/>
                  </w:tcBorders>
                  <w:noWrap w:val="0"/>
                  <w:tcMar>
                    <w:top w:w="15" w:type="dxa"/>
                    <w:left w:w="15" w:type="dxa"/>
                    <w:bottom w:w="15" w:type="dxa"/>
                    <w:right w:w="15" w:type="dxa"/>
                  </w:tcMar>
                  <w:vAlign w:val="center"/>
                </w:tcPr>
                <w:p w14:paraId="4863681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等效连续A声级</w:t>
                  </w:r>
                </w:p>
              </w:tc>
              <w:tc>
                <w:tcPr>
                  <w:tcW w:w="1199" w:type="dxa"/>
                  <w:tcBorders>
                    <w:tl2br w:val="nil"/>
                    <w:tr2bl w:val="nil"/>
                  </w:tcBorders>
                  <w:noWrap w:val="0"/>
                  <w:tcMar>
                    <w:top w:w="15" w:type="dxa"/>
                    <w:left w:w="15" w:type="dxa"/>
                    <w:bottom w:w="15" w:type="dxa"/>
                    <w:right w:w="15" w:type="dxa"/>
                  </w:tcMar>
                  <w:vAlign w:val="center"/>
                </w:tcPr>
                <w:p w14:paraId="29AB319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/季度</w:t>
                  </w:r>
                </w:p>
              </w:tc>
              <w:tc>
                <w:tcPr>
                  <w:tcW w:w="3318" w:type="dxa"/>
                  <w:tcBorders>
                    <w:tl2br w:val="nil"/>
                    <w:tr2bl w:val="nil"/>
                  </w:tcBorders>
                  <w:noWrap w:val="0"/>
                  <w:tcMar>
                    <w:top w:w="15" w:type="dxa"/>
                    <w:left w:w="15" w:type="dxa"/>
                    <w:bottom w:w="15" w:type="dxa"/>
                    <w:right w:w="15" w:type="dxa"/>
                  </w:tcMar>
                  <w:vAlign w:val="center"/>
                </w:tcPr>
                <w:p w14:paraId="339313C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《工业企业厂界环境噪声排放标准》（GB12348-2008）中</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类标准</w:t>
                  </w:r>
                </w:p>
              </w:tc>
            </w:tr>
          </w:tbl>
          <w:p w14:paraId="5372D3F5">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4、固体废物</w:t>
            </w:r>
          </w:p>
          <w:p w14:paraId="2B75996B">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4.1一般工业固体废物</w:t>
            </w:r>
          </w:p>
          <w:p w14:paraId="4DCBCACE">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4.1.1一般工业固体废物基本情况</w:t>
            </w:r>
          </w:p>
          <w:p w14:paraId="07843651">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本项目</w:t>
            </w:r>
            <w:r>
              <w:rPr>
                <w:rFonts w:hint="eastAsia"/>
                <w:color w:val="auto"/>
                <w:highlight w:val="none"/>
                <w:lang w:val="en-US" w:eastAsia="zh-CN"/>
              </w:rPr>
              <w:t>一般固体废物基本情况如下</w:t>
            </w:r>
            <w:r>
              <w:rPr>
                <w:rFonts w:hint="eastAsia" w:ascii="Times New Roman" w:hAnsi="Times New Roman" w:eastAsia="宋体" w:cs="Times New Roman"/>
                <w:color w:val="auto"/>
                <w:sz w:val="24"/>
                <w:szCs w:val="24"/>
                <w:highlight w:val="none"/>
                <w:lang w:val="en-US" w:eastAsia="zh-CN"/>
              </w:rPr>
              <w:t>：</w:t>
            </w:r>
          </w:p>
          <w:p w14:paraId="54C7C21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w:t>
            </w:r>
            <w:r>
              <w:rPr>
                <w:rFonts w:hint="default" w:ascii="Times New Roman" w:hAnsi="Times New Roman" w:eastAsia="宋体" w:cs="Times New Roman"/>
                <w:b/>
                <w:bCs/>
                <w:color w:val="auto"/>
                <w:spacing w:val="0"/>
                <w:sz w:val="21"/>
                <w:szCs w:val="21"/>
                <w:highlight w:val="none"/>
                <w:lang w:val="en-US" w:eastAsia="zh-CN"/>
              </w:rPr>
              <w:t>一般</w:t>
            </w:r>
            <w:r>
              <w:rPr>
                <w:rFonts w:hint="eastAsia" w:ascii="Times New Roman" w:hAnsi="Times New Roman" w:eastAsia="宋体" w:cs="Times New Roman"/>
                <w:b/>
                <w:bCs/>
                <w:color w:val="auto"/>
                <w:spacing w:val="0"/>
                <w:sz w:val="21"/>
                <w:szCs w:val="21"/>
                <w:highlight w:val="none"/>
                <w:lang w:val="en-US" w:eastAsia="zh-CN"/>
              </w:rPr>
              <w:t>工业</w:t>
            </w:r>
            <w:r>
              <w:rPr>
                <w:rFonts w:hint="default" w:ascii="Times New Roman" w:hAnsi="Times New Roman" w:eastAsia="宋体" w:cs="Times New Roman"/>
                <w:b/>
                <w:bCs/>
                <w:color w:val="auto"/>
                <w:spacing w:val="0"/>
                <w:sz w:val="21"/>
                <w:szCs w:val="21"/>
                <w:highlight w:val="none"/>
                <w:lang w:val="en-US" w:eastAsia="zh-CN"/>
              </w:rPr>
              <w:t>固体废物产生量及处置一览表</w:t>
            </w:r>
          </w:p>
          <w:tbl>
            <w:tblPr>
              <w:tblStyle w:val="32"/>
              <w:tblW w:w="775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79"/>
              <w:gridCol w:w="780"/>
              <w:gridCol w:w="870"/>
              <w:gridCol w:w="1050"/>
              <w:gridCol w:w="930"/>
              <w:gridCol w:w="3448"/>
            </w:tblGrid>
            <w:tr w14:paraId="611A620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57" w:hRule="atLeast"/>
                <w:jc w:val="center"/>
              </w:trPr>
              <w:tc>
                <w:tcPr>
                  <w:tcW w:w="679" w:type="dxa"/>
                  <w:tcBorders>
                    <w:tl2br w:val="nil"/>
                    <w:tr2bl w:val="nil"/>
                  </w:tcBorders>
                  <w:noWrap w:val="0"/>
                  <w:vAlign w:val="center"/>
                </w:tcPr>
                <w:p w14:paraId="3E9AA731">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序号</w:t>
                  </w:r>
                </w:p>
              </w:tc>
              <w:tc>
                <w:tcPr>
                  <w:tcW w:w="780" w:type="dxa"/>
                  <w:tcBorders>
                    <w:tl2br w:val="nil"/>
                    <w:tr2bl w:val="nil"/>
                  </w:tcBorders>
                  <w:noWrap w:val="0"/>
                  <w:vAlign w:val="center"/>
                </w:tcPr>
                <w:p w14:paraId="29A7E44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产污环节</w:t>
                  </w:r>
                </w:p>
              </w:tc>
              <w:tc>
                <w:tcPr>
                  <w:tcW w:w="870" w:type="dxa"/>
                  <w:tcBorders>
                    <w:tl2br w:val="nil"/>
                    <w:tr2bl w:val="nil"/>
                  </w:tcBorders>
                  <w:noWrap w:val="0"/>
                  <w:vAlign w:val="center"/>
                </w:tcPr>
                <w:p w14:paraId="65C4960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固废名称</w:t>
                  </w:r>
                </w:p>
              </w:tc>
              <w:tc>
                <w:tcPr>
                  <w:tcW w:w="1050" w:type="dxa"/>
                  <w:tcBorders>
                    <w:tl2br w:val="nil"/>
                    <w:tr2bl w:val="nil"/>
                  </w:tcBorders>
                  <w:noWrap w:val="0"/>
                  <w:vAlign w:val="center"/>
                </w:tcPr>
                <w:p w14:paraId="4ACDD3B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废物代码</w:t>
                  </w:r>
                </w:p>
              </w:tc>
              <w:tc>
                <w:tcPr>
                  <w:tcW w:w="930" w:type="dxa"/>
                  <w:tcBorders>
                    <w:tl2br w:val="nil"/>
                    <w:tr2bl w:val="nil"/>
                  </w:tcBorders>
                  <w:noWrap w:val="0"/>
                  <w:vAlign w:val="center"/>
                </w:tcPr>
                <w:p w14:paraId="488E8F3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产生量（t/a）</w:t>
                  </w:r>
                </w:p>
              </w:tc>
              <w:tc>
                <w:tcPr>
                  <w:tcW w:w="3448" w:type="dxa"/>
                  <w:tcBorders>
                    <w:tl2br w:val="nil"/>
                    <w:tr2bl w:val="nil"/>
                  </w:tcBorders>
                  <w:noWrap w:val="0"/>
                  <w:vAlign w:val="center"/>
                </w:tcPr>
                <w:p w14:paraId="5D732C7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收集、处置方式</w:t>
                  </w:r>
                </w:p>
              </w:tc>
            </w:tr>
            <w:tr w14:paraId="195ACA6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99" w:hRule="atLeast"/>
                <w:jc w:val="center"/>
              </w:trPr>
              <w:tc>
                <w:tcPr>
                  <w:tcW w:w="679" w:type="dxa"/>
                  <w:tcBorders>
                    <w:tl2br w:val="nil"/>
                    <w:tr2bl w:val="nil"/>
                  </w:tcBorders>
                  <w:noWrap w:val="0"/>
                  <w:vAlign w:val="center"/>
                </w:tcPr>
                <w:p w14:paraId="265A06F5">
                  <w:pPr>
                    <w:pStyle w:val="15"/>
                    <w:keepNext w:val="0"/>
                    <w:keepLines w:val="0"/>
                    <w:pageBreakBefore w:val="0"/>
                    <w:numPr>
                      <w:ilvl w:val="0"/>
                      <w:numId w:val="15"/>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eastAsia="宋体"/>
                      <w:color w:val="auto"/>
                      <w:sz w:val="21"/>
                      <w:szCs w:val="21"/>
                      <w:highlight w:val="none"/>
                      <w:lang w:val="en-US" w:eastAsia="zh-CN"/>
                    </w:rPr>
                  </w:pPr>
                </w:p>
              </w:tc>
              <w:tc>
                <w:tcPr>
                  <w:tcW w:w="780" w:type="dxa"/>
                  <w:vMerge w:val="restart"/>
                  <w:tcBorders>
                    <w:tl2br w:val="nil"/>
                    <w:tr2bl w:val="nil"/>
                  </w:tcBorders>
                  <w:noWrap w:val="0"/>
                  <w:vAlign w:val="center"/>
                </w:tcPr>
                <w:p w14:paraId="303C4176">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布袋除尘器</w:t>
                  </w:r>
                </w:p>
              </w:tc>
              <w:tc>
                <w:tcPr>
                  <w:tcW w:w="870" w:type="dxa"/>
                  <w:tcBorders>
                    <w:tl2br w:val="nil"/>
                    <w:tr2bl w:val="nil"/>
                  </w:tcBorders>
                  <w:shd w:val="clear" w:color="auto" w:fill="auto"/>
                  <w:noWrap w:val="0"/>
                  <w:vAlign w:val="center"/>
                </w:tcPr>
                <w:p w14:paraId="502AAACB">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废布袋</w:t>
                  </w:r>
                </w:p>
              </w:tc>
              <w:tc>
                <w:tcPr>
                  <w:tcW w:w="1050" w:type="dxa"/>
                  <w:tcBorders>
                    <w:tl2br w:val="nil"/>
                    <w:tr2bl w:val="nil"/>
                  </w:tcBorders>
                  <w:noWrap w:val="0"/>
                  <w:vAlign w:val="center"/>
                </w:tcPr>
                <w:p w14:paraId="4A4DBE90">
                  <w:pPr>
                    <w:pStyle w:val="50"/>
                    <w:shd w:val="clear"/>
                    <w:spacing w:line="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rPr>
                    <w:t>900-009-S59</w:t>
                  </w:r>
                </w:p>
              </w:tc>
              <w:tc>
                <w:tcPr>
                  <w:tcW w:w="930" w:type="dxa"/>
                  <w:tcBorders>
                    <w:tl2br w:val="nil"/>
                    <w:tr2bl w:val="nil"/>
                  </w:tcBorders>
                  <w:noWrap w:val="0"/>
                  <w:vAlign w:val="center"/>
                </w:tcPr>
                <w:p w14:paraId="0158183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w:t>
                  </w:r>
                </w:p>
              </w:tc>
              <w:tc>
                <w:tcPr>
                  <w:tcW w:w="3448" w:type="dxa"/>
                  <w:tcBorders>
                    <w:tl2br w:val="nil"/>
                    <w:tr2bl w:val="nil"/>
                  </w:tcBorders>
                  <w:noWrap w:val="0"/>
                  <w:vAlign w:val="center"/>
                </w:tcPr>
                <w:p w14:paraId="7D79DF77">
                  <w:pPr>
                    <w:shd w:val="clear"/>
                    <w:spacing w:line="0" w:lineRule="atLeast"/>
                    <w:ind w:left="0" w:leftChars="0" w:right="0" w:rightChars="0" w:firstLine="0" w:firstLineChars="0"/>
                    <w:jc w:val="center"/>
                    <w:rPr>
                      <w:rFonts w:hint="default"/>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更换后，直接外售废品回收站</w:t>
                  </w:r>
                </w:p>
              </w:tc>
            </w:tr>
            <w:tr w14:paraId="630892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9" w:hRule="atLeast"/>
                <w:jc w:val="center"/>
              </w:trPr>
              <w:tc>
                <w:tcPr>
                  <w:tcW w:w="679" w:type="dxa"/>
                  <w:tcBorders>
                    <w:tl2br w:val="nil"/>
                    <w:tr2bl w:val="nil"/>
                  </w:tcBorders>
                  <w:noWrap w:val="0"/>
                  <w:vAlign w:val="center"/>
                </w:tcPr>
                <w:p w14:paraId="7A352279">
                  <w:pPr>
                    <w:keepNext w:val="0"/>
                    <w:keepLines w:val="0"/>
                    <w:pageBreakBefore w:val="0"/>
                    <w:numPr>
                      <w:ilvl w:val="0"/>
                      <w:numId w:val="15"/>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780" w:type="dxa"/>
                  <w:vMerge w:val="continue"/>
                  <w:tcBorders>
                    <w:tl2br w:val="nil"/>
                    <w:tr2bl w:val="nil"/>
                  </w:tcBorders>
                  <w:noWrap w:val="0"/>
                  <w:vAlign w:val="center"/>
                </w:tcPr>
                <w:p w14:paraId="2EBFD1A2">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color w:val="auto"/>
                      <w:sz w:val="21"/>
                      <w:szCs w:val="21"/>
                      <w:highlight w:val="none"/>
                      <w:lang w:val="en-US" w:eastAsia="zh-CN"/>
                    </w:rPr>
                  </w:pPr>
                </w:p>
              </w:tc>
              <w:tc>
                <w:tcPr>
                  <w:tcW w:w="870" w:type="dxa"/>
                  <w:tcBorders>
                    <w:tl2br w:val="nil"/>
                    <w:tr2bl w:val="nil"/>
                  </w:tcBorders>
                  <w:shd w:val="clear" w:color="auto" w:fill="auto"/>
                  <w:noWrap w:val="0"/>
                  <w:vAlign w:val="center"/>
                </w:tcPr>
                <w:p w14:paraId="65550C26">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除尘灰</w:t>
                  </w:r>
                </w:p>
              </w:tc>
              <w:tc>
                <w:tcPr>
                  <w:tcW w:w="1050" w:type="dxa"/>
                  <w:tcBorders>
                    <w:tl2br w:val="nil"/>
                    <w:tr2bl w:val="nil"/>
                  </w:tcBorders>
                  <w:noWrap w:val="0"/>
                  <w:vAlign w:val="center"/>
                </w:tcPr>
                <w:p w14:paraId="2E682EFB">
                  <w:pPr>
                    <w:pStyle w:val="50"/>
                    <w:shd w:val="clear"/>
                    <w:spacing w:line="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color w:val="auto"/>
                      <w:sz w:val="21"/>
                      <w:szCs w:val="21"/>
                      <w:highlight w:val="none"/>
                      <w:lang w:bidi="ar"/>
                    </w:rPr>
                    <w:t>900-099-S</w:t>
                  </w:r>
                  <w:r>
                    <w:rPr>
                      <w:rFonts w:hint="eastAsia"/>
                      <w:color w:val="auto"/>
                      <w:sz w:val="21"/>
                      <w:szCs w:val="21"/>
                      <w:highlight w:val="none"/>
                      <w:lang w:val="en-US" w:eastAsia="zh-CN" w:bidi="ar"/>
                    </w:rPr>
                    <w:t>59</w:t>
                  </w:r>
                </w:p>
              </w:tc>
              <w:tc>
                <w:tcPr>
                  <w:tcW w:w="930" w:type="dxa"/>
                  <w:tcBorders>
                    <w:tl2br w:val="nil"/>
                    <w:tr2bl w:val="nil"/>
                  </w:tcBorders>
                  <w:noWrap w:val="0"/>
                  <w:vAlign w:val="center"/>
                </w:tcPr>
                <w:p w14:paraId="4CF55FD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107.791</w:t>
                  </w:r>
                </w:p>
              </w:tc>
              <w:tc>
                <w:tcPr>
                  <w:tcW w:w="3448" w:type="dxa"/>
                  <w:tcBorders>
                    <w:tl2br w:val="nil"/>
                    <w:tr2bl w:val="nil"/>
                  </w:tcBorders>
                  <w:noWrap w:val="0"/>
                  <w:vAlign w:val="center"/>
                </w:tcPr>
                <w:p w14:paraId="49255E9B">
                  <w:pPr>
                    <w:shd w:val="clear"/>
                    <w:spacing w:line="0" w:lineRule="atLeast"/>
                    <w:ind w:left="0" w:leftChars="0" w:right="0" w:rightChars="0" w:firstLine="0" w:firstLineChars="0"/>
                    <w:jc w:val="center"/>
                    <w:rPr>
                      <w:rFonts w:hint="eastAsia" w:eastAsia="宋体"/>
                      <w:color w:val="auto"/>
                      <w:sz w:val="21"/>
                      <w:szCs w:val="21"/>
                      <w:highlight w:val="none"/>
                      <w:lang w:val="en-US" w:eastAsia="zh-CN"/>
                    </w:rPr>
                  </w:pPr>
                  <w:r>
                    <w:rPr>
                      <w:rFonts w:hint="eastAsia" w:cs="Times New Roman"/>
                      <w:b w:val="0"/>
                      <w:bCs/>
                      <w:color w:val="auto"/>
                      <w:sz w:val="21"/>
                      <w:szCs w:val="21"/>
                      <w:highlight w:val="none"/>
                      <w:lang w:eastAsia="zh-CN"/>
                    </w:rPr>
                    <w:t>集中收集，暂存于一般固废暂存间，定期外售水泥厂</w:t>
                  </w:r>
                </w:p>
              </w:tc>
            </w:tr>
            <w:tr w14:paraId="49D0F7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9" w:hRule="atLeast"/>
                <w:jc w:val="center"/>
              </w:trPr>
              <w:tc>
                <w:tcPr>
                  <w:tcW w:w="679" w:type="dxa"/>
                  <w:tcBorders>
                    <w:tl2br w:val="nil"/>
                    <w:tr2bl w:val="nil"/>
                  </w:tcBorders>
                  <w:noWrap w:val="0"/>
                  <w:vAlign w:val="center"/>
                </w:tcPr>
                <w:p w14:paraId="19A44ADF">
                  <w:pPr>
                    <w:keepNext w:val="0"/>
                    <w:keepLines w:val="0"/>
                    <w:pageBreakBefore w:val="0"/>
                    <w:numPr>
                      <w:ilvl w:val="0"/>
                      <w:numId w:val="15"/>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780" w:type="dxa"/>
                  <w:tcBorders>
                    <w:tl2br w:val="nil"/>
                    <w:tr2bl w:val="nil"/>
                  </w:tcBorders>
                  <w:noWrap w:val="0"/>
                  <w:vAlign w:val="center"/>
                </w:tcPr>
                <w:p w14:paraId="7156CF06">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洗车平台</w:t>
                  </w:r>
                </w:p>
              </w:tc>
              <w:tc>
                <w:tcPr>
                  <w:tcW w:w="870" w:type="dxa"/>
                  <w:tcBorders>
                    <w:tl2br w:val="nil"/>
                    <w:tr2bl w:val="nil"/>
                  </w:tcBorders>
                  <w:shd w:val="clear" w:color="auto" w:fill="auto"/>
                  <w:noWrap w:val="0"/>
                  <w:vAlign w:val="center"/>
                </w:tcPr>
                <w:p w14:paraId="5CB0021A">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沉淀池</w:t>
                  </w:r>
                  <w:r>
                    <w:rPr>
                      <w:rFonts w:hint="default" w:ascii="Times New Roman" w:hAnsi="Times New Roman" w:cs="Times New Roman"/>
                      <w:color w:val="auto"/>
                      <w:sz w:val="21"/>
                      <w:szCs w:val="21"/>
                      <w:highlight w:val="none"/>
                      <w:lang w:val="en-US" w:eastAsia="zh-CN"/>
                    </w:rPr>
                    <w:t>污泥</w:t>
                  </w:r>
                </w:p>
              </w:tc>
              <w:tc>
                <w:tcPr>
                  <w:tcW w:w="1050" w:type="dxa"/>
                  <w:tcBorders>
                    <w:tl2br w:val="nil"/>
                    <w:tr2bl w:val="nil"/>
                  </w:tcBorders>
                  <w:noWrap w:val="0"/>
                  <w:vAlign w:val="center"/>
                </w:tcPr>
                <w:p w14:paraId="314EEF5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color w:val="auto"/>
                      <w:sz w:val="21"/>
                      <w:szCs w:val="21"/>
                      <w:highlight w:val="none"/>
                      <w:lang w:bidi="ar"/>
                    </w:rPr>
                    <w:t>900-099-S</w:t>
                  </w:r>
                  <w:r>
                    <w:rPr>
                      <w:rFonts w:hint="eastAsia"/>
                      <w:color w:val="auto"/>
                      <w:sz w:val="21"/>
                      <w:szCs w:val="21"/>
                      <w:highlight w:val="none"/>
                      <w:lang w:val="en-US" w:eastAsia="zh-CN" w:bidi="ar"/>
                    </w:rPr>
                    <w:t>59</w:t>
                  </w:r>
                </w:p>
              </w:tc>
              <w:tc>
                <w:tcPr>
                  <w:tcW w:w="930" w:type="dxa"/>
                  <w:tcBorders>
                    <w:tl2br w:val="nil"/>
                    <w:tr2bl w:val="nil"/>
                  </w:tcBorders>
                  <w:noWrap w:val="0"/>
                  <w:vAlign w:val="center"/>
                </w:tcPr>
                <w:p w14:paraId="500537B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w:t>
                  </w:r>
                </w:p>
              </w:tc>
              <w:tc>
                <w:tcPr>
                  <w:tcW w:w="3448" w:type="dxa"/>
                  <w:tcBorders>
                    <w:tl2br w:val="nil"/>
                    <w:tr2bl w:val="nil"/>
                  </w:tcBorders>
                  <w:noWrap w:val="0"/>
                  <w:vAlign w:val="center"/>
                </w:tcPr>
                <w:p w14:paraId="4E67CD02">
                  <w:pPr>
                    <w:shd w:val="clear"/>
                    <w:spacing w:line="0" w:lineRule="atLeast"/>
                    <w:ind w:left="0" w:leftChars="0" w:right="0" w:rightChars="0" w:firstLine="0" w:firstLineChars="0"/>
                    <w:jc w:val="center"/>
                    <w:rPr>
                      <w:rFonts w:hint="eastAsia"/>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定期清理，清理后直接</w:t>
                  </w:r>
                  <w:r>
                    <w:rPr>
                      <w:rFonts w:hint="default" w:ascii="Times New Roman" w:hAnsi="Times New Roman" w:eastAsia="宋体" w:cs="Times New Roman"/>
                      <w:b w:val="0"/>
                      <w:bCs/>
                      <w:color w:val="auto"/>
                      <w:sz w:val="21"/>
                      <w:szCs w:val="21"/>
                      <w:highlight w:val="none"/>
                      <w:lang w:val="en-US" w:eastAsia="zh-CN"/>
                    </w:rPr>
                    <w:t>作外售</w:t>
                  </w:r>
                  <w:r>
                    <w:rPr>
                      <w:rFonts w:hint="eastAsia" w:ascii="Times New Roman" w:hAnsi="Times New Roman" w:eastAsia="宋体" w:cs="Times New Roman"/>
                      <w:b w:val="0"/>
                      <w:bCs/>
                      <w:color w:val="auto"/>
                      <w:sz w:val="21"/>
                      <w:szCs w:val="21"/>
                      <w:highlight w:val="none"/>
                      <w:lang w:val="en-US" w:eastAsia="zh-CN"/>
                    </w:rPr>
                    <w:t>水泥厂</w:t>
                  </w:r>
                </w:p>
              </w:tc>
            </w:tr>
            <w:tr w14:paraId="47A70E0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9" w:hRule="atLeast"/>
                <w:jc w:val="center"/>
              </w:trPr>
              <w:tc>
                <w:tcPr>
                  <w:tcW w:w="679" w:type="dxa"/>
                  <w:tcBorders>
                    <w:tl2br w:val="nil"/>
                    <w:tr2bl w:val="nil"/>
                  </w:tcBorders>
                  <w:noWrap w:val="0"/>
                  <w:vAlign w:val="center"/>
                </w:tcPr>
                <w:p w14:paraId="286E2009">
                  <w:pPr>
                    <w:keepNext w:val="0"/>
                    <w:keepLines w:val="0"/>
                    <w:pageBreakBefore w:val="0"/>
                    <w:numPr>
                      <w:ilvl w:val="0"/>
                      <w:numId w:val="15"/>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auto"/>
                      <w:sz w:val="21"/>
                      <w:szCs w:val="21"/>
                      <w:highlight w:val="none"/>
                      <w:lang w:eastAsia="zh-CN"/>
                    </w:rPr>
                  </w:pPr>
                </w:p>
              </w:tc>
              <w:tc>
                <w:tcPr>
                  <w:tcW w:w="780" w:type="dxa"/>
                  <w:tcBorders>
                    <w:tl2br w:val="nil"/>
                    <w:tr2bl w:val="nil"/>
                  </w:tcBorders>
                  <w:noWrap w:val="0"/>
                  <w:vAlign w:val="center"/>
                </w:tcPr>
                <w:p w14:paraId="47D40C7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筛下料</w:t>
                  </w:r>
                </w:p>
              </w:tc>
              <w:tc>
                <w:tcPr>
                  <w:tcW w:w="870" w:type="dxa"/>
                  <w:tcBorders>
                    <w:tl2br w:val="nil"/>
                    <w:tr2bl w:val="nil"/>
                  </w:tcBorders>
                  <w:shd w:val="clear" w:color="auto" w:fill="auto"/>
                  <w:noWrap w:val="0"/>
                  <w:vAlign w:val="center"/>
                </w:tcPr>
                <w:p w14:paraId="69D3DFA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olor w:val="auto"/>
                      <w:sz w:val="21"/>
                      <w:szCs w:val="21"/>
                      <w:highlight w:val="none"/>
                      <w:lang w:val="en-US" w:eastAsia="zh-CN"/>
                    </w:rPr>
                    <w:t>土渣</w:t>
                  </w:r>
                </w:p>
              </w:tc>
              <w:tc>
                <w:tcPr>
                  <w:tcW w:w="1050" w:type="dxa"/>
                  <w:tcBorders>
                    <w:tl2br w:val="nil"/>
                    <w:tr2bl w:val="nil"/>
                  </w:tcBorders>
                  <w:noWrap w:val="0"/>
                  <w:vAlign w:val="center"/>
                </w:tcPr>
                <w:p w14:paraId="23DD89D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color w:val="auto"/>
                      <w:sz w:val="21"/>
                      <w:szCs w:val="21"/>
                      <w:highlight w:val="none"/>
                      <w:lang w:bidi="ar"/>
                    </w:rPr>
                    <w:t>900-099-S</w:t>
                  </w:r>
                  <w:r>
                    <w:rPr>
                      <w:rFonts w:hint="eastAsia"/>
                      <w:color w:val="auto"/>
                      <w:sz w:val="21"/>
                      <w:szCs w:val="21"/>
                      <w:highlight w:val="none"/>
                      <w:lang w:val="en-US" w:eastAsia="zh-CN" w:bidi="ar"/>
                    </w:rPr>
                    <w:t>59</w:t>
                  </w:r>
                </w:p>
              </w:tc>
              <w:tc>
                <w:tcPr>
                  <w:tcW w:w="930" w:type="dxa"/>
                  <w:tcBorders>
                    <w:tl2br w:val="nil"/>
                    <w:tr2bl w:val="nil"/>
                  </w:tcBorders>
                  <w:noWrap w:val="0"/>
                  <w:vAlign w:val="center"/>
                </w:tcPr>
                <w:p w14:paraId="0E49E44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29891.041</w:t>
                  </w:r>
                </w:p>
              </w:tc>
              <w:tc>
                <w:tcPr>
                  <w:tcW w:w="3448" w:type="dxa"/>
                  <w:tcBorders>
                    <w:tl2br w:val="nil"/>
                    <w:tr2bl w:val="nil"/>
                  </w:tcBorders>
                  <w:noWrap w:val="0"/>
                  <w:vAlign w:val="center"/>
                </w:tcPr>
                <w:p w14:paraId="4406D9C5">
                  <w:pPr>
                    <w:shd w:val="clear"/>
                    <w:spacing w:line="0" w:lineRule="atLeast"/>
                    <w:ind w:left="0" w:leftChars="0" w:right="0" w:rightChars="0" w:firstLine="0" w:firstLineChars="0"/>
                    <w:jc w:val="center"/>
                    <w:rPr>
                      <w:rFonts w:hint="eastAsia"/>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土渣暂存于预处理车间土渣储存区，定期外售水泥厂</w:t>
                  </w:r>
                </w:p>
              </w:tc>
            </w:tr>
          </w:tbl>
          <w:p w14:paraId="308C84D7">
            <w:pPr>
              <w:pStyle w:val="65"/>
              <w:keepNext w:val="0"/>
              <w:keepLines w:val="0"/>
              <w:pageBreakBefore w:val="0"/>
              <w:shd w:val="clear"/>
              <w:kinsoku/>
              <w:wordWrap/>
              <w:overflowPunct/>
              <w:topLinePunct w:val="0"/>
              <w:autoSpaceDE/>
              <w:autoSpaceDN/>
              <w:bidi w:val="0"/>
              <w:snapToGrid w:val="0"/>
              <w:spacing w:line="478" w:lineRule="exact"/>
              <w:ind w:firstLine="480" w:firstLineChars="200"/>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本次技改完成后，全厂一般固体废物种类、产生量变化情况如下：</w:t>
            </w:r>
          </w:p>
          <w:p w14:paraId="5180A10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本次技改后全厂一般废物变化情况（单位：t/a）</w:t>
            </w:r>
          </w:p>
          <w:tbl>
            <w:tblPr>
              <w:tblStyle w:val="33"/>
              <w:tblW w:w="779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1"/>
              <w:gridCol w:w="2418"/>
              <w:gridCol w:w="1520"/>
              <w:gridCol w:w="1761"/>
              <w:gridCol w:w="1298"/>
            </w:tblGrid>
            <w:tr w14:paraId="29A1062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9" w:hRule="atLeast"/>
                <w:jc w:val="center"/>
              </w:trPr>
              <w:tc>
                <w:tcPr>
                  <w:tcW w:w="801" w:type="dxa"/>
                  <w:vMerge w:val="restart"/>
                  <w:tcBorders>
                    <w:tl2br w:val="nil"/>
                    <w:tr2bl w:val="nil"/>
                  </w:tcBorders>
                  <w:vAlign w:val="center"/>
                </w:tcPr>
                <w:p w14:paraId="42FC575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序号</w:t>
                  </w:r>
                </w:p>
              </w:tc>
              <w:tc>
                <w:tcPr>
                  <w:tcW w:w="2418" w:type="dxa"/>
                  <w:vMerge w:val="restart"/>
                  <w:tcBorders>
                    <w:tl2br w:val="nil"/>
                    <w:tr2bl w:val="nil"/>
                  </w:tcBorders>
                  <w:vAlign w:val="center"/>
                </w:tcPr>
                <w:p w14:paraId="6BC0A66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名称</w:t>
                  </w:r>
                </w:p>
              </w:tc>
              <w:tc>
                <w:tcPr>
                  <w:tcW w:w="3281" w:type="dxa"/>
                  <w:gridSpan w:val="2"/>
                  <w:tcBorders>
                    <w:tl2br w:val="nil"/>
                    <w:tr2bl w:val="nil"/>
                  </w:tcBorders>
                  <w:vAlign w:val="center"/>
                </w:tcPr>
                <w:p w14:paraId="342BA0C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产生量</w:t>
                  </w:r>
                </w:p>
              </w:tc>
              <w:tc>
                <w:tcPr>
                  <w:tcW w:w="1298" w:type="dxa"/>
                  <w:vMerge w:val="restart"/>
                  <w:tcBorders>
                    <w:tl2br w:val="nil"/>
                    <w:tr2bl w:val="nil"/>
                  </w:tcBorders>
                  <w:vAlign w:val="center"/>
                </w:tcPr>
                <w:p w14:paraId="02CCA4B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增减量</w:t>
                  </w:r>
                </w:p>
              </w:tc>
            </w:tr>
            <w:tr w14:paraId="4AEA3C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vMerge w:val="continue"/>
                  <w:tcBorders>
                    <w:tl2br w:val="nil"/>
                    <w:tr2bl w:val="nil"/>
                  </w:tcBorders>
                  <w:vAlign w:val="center"/>
                </w:tcPr>
                <w:p w14:paraId="758B521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highlight w:val="none"/>
                      <w:vertAlign w:val="baseline"/>
                      <w:lang w:val="en-US" w:eastAsia="zh-CN"/>
                    </w:rPr>
                  </w:pPr>
                </w:p>
              </w:tc>
              <w:tc>
                <w:tcPr>
                  <w:tcW w:w="2418" w:type="dxa"/>
                  <w:vMerge w:val="continue"/>
                  <w:tcBorders>
                    <w:tl2br w:val="nil"/>
                    <w:tr2bl w:val="nil"/>
                  </w:tcBorders>
                  <w:vAlign w:val="center"/>
                </w:tcPr>
                <w:p w14:paraId="54156CA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highlight w:val="none"/>
                      <w:vertAlign w:val="baseline"/>
                      <w:lang w:val="en-US" w:eastAsia="zh-CN"/>
                    </w:rPr>
                  </w:pPr>
                </w:p>
              </w:tc>
              <w:tc>
                <w:tcPr>
                  <w:tcW w:w="1520" w:type="dxa"/>
                  <w:tcBorders>
                    <w:tl2br w:val="nil"/>
                    <w:tr2bl w:val="nil"/>
                  </w:tcBorders>
                  <w:shd w:val="clear" w:color="auto" w:fill="auto"/>
                  <w:vAlign w:val="center"/>
                </w:tcPr>
                <w:p w14:paraId="1C4F8BD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现有工程</w:t>
                  </w:r>
                </w:p>
              </w:tc>
              <w:tc>
                <w:tcPr>
                  <w:tcW w:w="1761" w:type="dxa"/>
                  <w:tcBorders>
                    <w:tl2br w:val="nil"/>
                    <w:tr2bl w:val="nil"/>
                  </w:tcBorders>
                  <w:shd w:val="clear" w:color="auto" w:fill="auto"/>
                  <w:vAlign w:val="center"/>
                </w:tcPr>
                <w:p w14:paraId="715212F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本次技改完毕</w:t>
                  </w:r>
                </w:p>
              </w:tc>
              <w:tc>
                <w:tcPr>
                  <w:tcW w:w="1298" w:type="dxa"/>
                  <w:vMerge w:val="continue"/>
                  <w:tcBorders>
                    <w:tl2br w:val="nil"/>
                    <w:tr2bl w:val="nil"/>
                  </w:tcBorders>
                  <w:shd w:val="clear" w:color="auto" w:fill="auto"/>
                  <w:vAlign w:val="center"/>
                </w:tcPr>
                <w:p w14:paraId="7C57203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067CB2E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6C07071E">
                  <w:pPr>
                    <w:pStyle w:val="15"/>
                    <w:keepNext w:val="0"/>
                    <w:keepLines w:val="0"/>
                    <w:pageBreakBefore w:val="0"/>
                    <w:widowControl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2418" w:type="dxa"/>
                  <w:tcBorders>
                    <w:tl2br w:val="nil"/>
                    <w:tr2bl w:val="nil"/>
                  </w:tcBorders>
                  <w:vAlign w:val="center"/>
                </w:tcPr>
                <w:p w14:paraId="62FF96C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auto"/>
                      <w:kern w:val="0"/>
                      <w:sz w:val="21"/>
                      <w:szCs w:val="21"/>
                      <w:highlight w:val="no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尾矿砂</w:t>
                  </w:r>
                </w:p>
              </w:tc>
              <w:tc>
                <w:tcPr>
                  <w:tcW w:w="1520" w:type="dxa"/>
                  <w:tcBorders>
                    <w:tl2br w:val="nil"/>
                    <w:tr2bl w:val="nil"/>
                  </w:tcBorders>
                  <w:vAlign w:val="center"/>
                </w:tcPr>
                <w:p w14:paraId="77DF4AB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19787.3</w:t>
                  </w:r>
                </w:p>
              </w:tc>
              <w:tc>
                <w:tcPr>
                  <w:tcW w:w="1761" w:type="dxa"/>
                  <w:tcBorders>
                    <w:tl2br w:val="nil"/>
                    <w:tr2bl w:val="nil"/>
                  </w:tcBorders>
                  <w:vAlign w:val="center"/>
                </w:tcPr>
                <w:p w14:paraId="0A5458BD">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19787.3</w:t>
                  </w:r>
                </w:p>
              </w:tc>
              <w:tc>
                <w:tcPr>
                  <w:tcW w:w="1298" w:type="dxa"/>
                  <w:tcBorders>
                    <w:tl2br w:val="nil"/>
                    <w:tr2bl w:val="nil"/>
                  </w:tcBorders>
                  <w:vAlign w:val="center"/>
                </w:tcPr>
                <w:p w14:paraId="2D8945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w:t>
                  </w:r>
                </w:p>
              </w:tc>
            </w:tr>
            <w:tr w14:paraId="1A19EE0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43BB912A">
                  <w:pPr>
                    <w:pStyle w:val="15"/>
                    <w:keepNext w:val="0"/>
                    <w:keepLines w:val="0"/>
                    <w:pageBreakBefore w:val="0"/>
                    <w:widowControl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2418" w:type="dxa"/>
                  <w:tcBorders>
                    <w:tl2br w:val="nil"/>
                    <w:tr2bl w:val="nil"/>
                  </w:tcBorders>
                  <w:vAlign w:val="center"/>
                </w:tcPr>
                <w:p w14:paraId="65000C6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auto"/>
                      <w:kern w:val="0"/>
                      <w:sz w:val="21"/>
                      <w:szCs w:val="21"/>
                      <w:highlight w:val="no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除尘灰</w:t>
                  </w:r>
                </w:p>
              </w:tc>
              <w:tc>
                <w:tcPr>
                  <w:tcW w:w="1520" w:type="dxa"/>
                  <w:tcBorders>
                    <w:tl2br w:val="nil"/>
                    <w:tr2bl w:val="nil"/>
                  </w:tcBorders>
                  <w:vAlign w:val="center"/>
                </w:tcPr>
                <w:p w14:paraId="6642927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92.7</w:t>
                  </w:r>
                </w:p>
              </w:tc>
              <w:tc>
                <w:tcPr>
                  <w:tcW w:w="1761" w:type="dxa"/>
                  <w:tcBorders>
                    <w:tl2br w:val="nil"/>
                    <w:tr2bl w:val="nil"/>
                  </w:tcBorders>
                  <w:vAlign w:val="center"/>
                </w:tcPr>
                <w:p w14:paraId="01183B5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 xml:space="preserve">199.891 </w:t>
                  </w:r>
                </w:p>
              </w:tc>
              <w:tc>
                <w:tcPr>
                  <w:tcW w:w="1298" w:type="dxa"/>
                  <w:tcBorders>
                    <w:tl2br w:val="nil"/>
                    <w:tr2bl w:val="nil"/>
                  </w:tcBorders>
                  <w:vAlign w:val="center"/>
                </w:tcPr>
                <w:p w14:paraId="689CF8B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r>
                    <w:rPr>
                      <w:rFonts w:hint="eastAsia" w:cs="Times New Roman"/>
                      <w:color w:val="auto"/>
                      <w:kern w:val="2"/>
                      <w:sz w:val="21"/>
                      <w:szCs w:val="21"/>
                      <w:highlight w:val="none"/>
                      <w:lang w:val="en-US" w:eastAsia="zh-CN" w:bidi="ar-SA"/>
                    </w:rPr>
                    <w:t>107.791</w:t>
                  </w:r>
                </w:p>
              </w:tc>
            </w:tr>
            <w:tr w14:paraId="6A475DF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141D7139">
                  <w:pPr>
                    <w:pStyle w:val="15"/>
                    <w:keepNext w:val="0"/>
                    <w:keepLines w:val="0"/>
                    <w:pageBreakBefore w:val="0"/>
                    <w:widowControl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2418" w:type="dxa"/>
                  <w:tcBorders>
                    <w:tl2br w:val="nil"/>
                    <w:tr2bl w:val="nil"/>
                  </w:tcBorders>
                  <w:vAlign w:val="center"/>
                </w:tcPr>
                <w:p w14:paraId="35023FB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w w:val="100"/>
                      <w:kern w:val="2"/>
                      <w:sz w:val="21"/>
                      <w:szCs w:val="21"/>
                      <w:highlight w:val="none"/>
                      <w:vertAlign w:val="baseli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洗车平台污泥</w:t>
                  </w:r>
                </w:p>
              </w:tc>
              <w:tc>
                <w:tcPr>
                  <w:tcW w:w="1520" w:type="dxa"/>
                  <w:tcBorders>
                    <w:tl2br w:val="nil"/>
                    <w:tr2bl w:val="nil"/>
                  </w:tcBorders>
                  <w:vAlign w:val="center"/>
                </w:tcPr>
                <w:p w14:paraId="7AF53C8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w w:val="100"/>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10</w:t>
                  </w:r>
                </w:p>
              </w:tc>
              <w:tc>
                <w:tcPr>
                  <w:tcW w:w="1761" w:type="dxa"/>
                  <w:tcBorders>
                    <w:tl2br w:val="nil"/>
                    <w:tr2bl w:val="nil"/>
                  </w:tcBorders>
                  <w:vAlign w:val="center"/>
                </w:tcPr>
                <w:p w14:paraId="259CE6AC">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12.5</w:t>
                  </w:r>
                </w:p>
              </w:tc>
              <w:tc>
                <w:tcPr>
                  <w:tcW w:w="1298" w:type="dxa"/>
                  <w:tcBorders>
                    <w:tl2br w:val="nil"/>
                    <w:tr2bl w:val="nil"/>
                  </w:tcBorders>
                  <w:vAlign w:val="center"/>
                </w:tcPr>
                <w:p w14:paraId="3CE9E0D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+2.5</w:t>
                  </w:r>
                </w:p>
              </w:tc>
            </w:tr>
            <w:tr w14:paraId="4BC7655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53CD2F2B">
                  <w:pPr>
                    <w:pStyle w:val="15"/>
                    <w:keepNext w:val="0"/>
                    <w:keepLines w:val="0"/>
                    <w:pageBreakBefore w:val="0"/>
                    <w:widowControl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2418" w:type="dxa"/>
                  <w:tcBorders>
                    <w:tl2br w:val="nil"/>
                    <w:tr2bl w:val="nil"/>
                  </w:tcBorders>
                  <w:vAlign w:val="center"/>
                </w:tcPr>
                <w:p w14:paraId="464B706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w w:val="100"/>
                      <w:kern w:val="2"/>
                      <w:sz w:val="21"/>
                      <w:szCs w:val="21"/>
                      <w:highlight w:val="none"/>
                      <w:vertAlign w:val="baseli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废布袋</w:t>
                  </w:r>
                </w:p>
              </w:tc>
              <w:tc>
                <w:tcPr>
                  <w:tcW w:w="1520" w:type="dxa"/>
                  <w:tcBorders>
                    <w:tl2br w:val="nil"/>
                    <w:tr2bl w:val="nil"/>
                  </w:tcBorders>
                  <w:vAlign w:val="center"/>
                </w:tcPr>
                <w:p w14:paraId="44D5510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w w:val="100"/>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0.1</w:t>
                  </w:r>
                </w:p>
              </w:tc>
              <w:tc>
                <w:tcPr>
                  <w:tcW w:w="1761" w:type="dxa"/>
                  <w:tcBorders>
                    <w:tl2br w:val="nil"/>
                    <w:tr2bl w:val="nil"/>
                  </w:tcBorders>
                  <w:vAlign w:val="center"/>
                </w:tcPr>
                <w:p w14:paraId="33CE394B">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0.2</w:t>
                  </w:r>
                </w:p>
              </w:tc>
              <w:tc>
                <w:tcPr>
                  <w:tcW w:w="1298" w:type="dxa"/>
                  <w:tcBorders>
                    <w:tl2br w:val="nil"/>
                    <w:tr2bl w:val="nil"/>
                  </w:tcBorders>
                  <w:vAlign w:val="center"/>
                </w:tcPr>
                <w:p w14:paraId="42A1B50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+0.1</w:t>
                  </w:r>
                </w:p>
              </w:tc>
            </w:tr>
            <w:tr w14:paraId="5EC53D3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32251B1C">
                  <w:pPr>
                    <w:pStyle w:val="15"/>
                    <w:keepNext w:val="0"/>
                    <w:keepLines w:val="0"/>
                    <w:pageBreakBefore w:val="0"/>
                    <w:widowControl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2418" w:type="dxa"/>
                  <w:tcBorders>
                    <w:tl2br w:val="nil"/>
                    <w:tr2bl w:val="nil"/>
                  </w:tcBorders>
                  <w:shd w:val="clear" w:color="auto" w:fill="auto"/>
                  <w:vAlign w:val="center"/>
                </w:tcPr>
                <w:p w14:paraId="2F6EA7F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auto"/>
                      <w:w w:val="100"/>
                      <w:kern w:val="2"/>
                      <w:sz w:val="21"/>
                      <w:szCs w:val="21"/>
                      <w:highlight w:val="no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铁精粉</w:t>
                  </w:r>
                </w:p>
              </w:tc>
              <w:tc>
                <w:tcPr>
                  <w:tcW w:w="1520" w:type="dxa"/>
                  <w:tcBorders>
                    <w:tl2br w:val="nil"/>
                    <w:tr2bl w:val="nil"/>
                  </w:tcBorders>
                  <w:shd w:val="clear" w:color="auto" w:fill="auto"/>
                  <w:vAlign w:val="center"/>
                </w:tcPr>
                <w:p w14:paraId="3DBFCD4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120</w:t>
                  </w:r>
                </w:p>
              </w:tc>
              <w:tc>
                <w:tcPr>
                  <w:tcW w:w="1761" w:type="dxa"/>
                  <w:tcBorders>
                    <w:tl2br w:val="nil"/>
                    <w:tr2bl w:val="nil"/>
                  </w:tcBorders>
                  <w:vAlign w:val="center"/>
                </w:tcPr>
                <w:p w14:paraId="332373E4">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120</w:t>
                  </w:r>
                </w:p>
              </w:tc>
              <w:tc>
                <w:tcPr>
                  <w:tcW w:w="1298" w:type="dxa"/>
                  <w:tcBorders>
                    <w:tl2br w:val="nil"/>
                    <w:tr2bl w:val="nil"/>
                  </w:tcBorders>
                  <w:vAlign w:val="center"/>
                </w:tcPr>
                <w:p w14:paraId="0CD39D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w:t>
                  </w:r>
                </w:p>
              </w:tc>
            </w:tr>
            <w:tr w14:paraId="0A1397C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1" w:hRule="atLeast"/>
                <w:jc w:val="center"/>
              </w:trPr>
              <w:tc>
                <w:tcPr>
                  <w:tcW w:w="801" w:type="dxa"/>
                  <w:tcBorders>
                    <w:tl2br w:val="nil"/>
                    <w:tr2bl w:val="nil"/>
                  </w:tcBorders>
                  <w:vAlign w:val="center"/>
                </w:tcPr>
                <w:p w14:paraId="1FE2C260">
                  <w:pPr>
                    <w:pStyle w:val="15"/>
                    <w:keepNext w:val="0"/>
                    <w:keepLines w:val="0"/>
                    <w:pageBreakBefore w:val="0"/>
                    <w:widowControl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2418" w:type="dxa"/>
                  <w:tcBorders>
                    <w:tl2br w:val="nil"/>
                    <w:tr2bl w:val="nil"/>
                  </w:tcBorders>
                  <w:shd w:val="clear" w:color="auto" w:fill="auto"/>
                  <w:vAlign w:val="center"/>
                </w:tcPr>
                <w:p w14:paraId="53CF4A9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auto"/>
                      <w:w w:val="100"/>
                      <w:kern w:val="2"/>
                      <w:sz w:val="21"/>
                      <w:szCs w:val="21"/>
                      <w:highlight w:val="none"/>
                      <w:lang w:val="en-US" w:eastAsia="zh-CN" w:bidi="ar-SA"/>
                    </w:rPr>
                  </w:pPr>
                  <w:r>
                    <w:rPr>
                      <w:rFonts w:hint="eastAsia" w:ascii="Times New Roman" w:hAnsi="Times New Roman" w:eastAsia="宋体" w:cs="Times New Roman"/>
                      <w:b w:val="0"/>
                      <w:bCs w:val="0"/>
                      <w:color w:val="auto"/>
                      <w:w w:val="100"/>
                      <w:kern w:val="2"/>
                      <w:sz w:val="21"/>
                      <w:szCs w:val="21"/>
                      <w:highlight w:val="none"/>
                      <w:lang w:val="en-US" w:eastAsia="zh-CN" w:bidi="ar-SA"/>
                    </w:rPr>
                    <w:t>土渣</w:t>
                  </w:r>
                </w:p>
              </w:tc>
              <w:tc>
                <w:tcPr>
                  <w:tcW w:w="1520" w:type="dxa"/>
                  <w:tcBorders>
                    <w:tl2br w:val="nil"/>
                    <w:tr2bl w:val="nil"/>
                  </w:tcBorders>
                  <w:shd w:val="clear" w:color="auto" w:fill="auto"/>
                  <w:vAlign w:val="center"/>
                </w:tcPr>
                <w:p w14:paraId="29F9D97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w:t>
                  </w:r>
                </w:p>
              </w:tc>
              <w:tc>
                <w:tcPr>
                  <w:tcW w:w="1761" w:type="dxa"/>
                  <w:tcBorders>
                    <w:tl2br w:val="nil"/>
                    <w:tr2bl w:val="nil"/>
                  </w:tcBorders>
                  <w:vAlign w:val="center"/>
                </w:tcPr>
                <w:p w14:paraId="4E6A0AE8">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29891.041</w:t>
                  </w:r>
                </w:p>
              </w:tc>
              <w:tc>
                <w:tcPr>
                  <w:tcW w:w="1298" w:type="dxa"/>
                  <w:tcBorders>
                    <w:tl2br w:val="nil"/>
                    <w:tr2bl w:val="nil"/>
                  </w:tcBorders>
                  <w:vAlign w:val="center"/>
                </w:tcPr>
                <w:p w14:paraId="073BF5A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29891.041</w:t>
                  </w:r>
                </w:p>
              </w:tc>
            </w:tr>
          </w:tbl>
          <w:p w14:paraId="54CA87DE">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一般固体废物收集及存储：</w:t>
            </w:r>
            <w:r>
              <w:rPr>
                <w:rFonts w:hint="eastAsia" w:ascii="Times New Roman" w:hAnsi="Times New Roman" w:cs="Times New Roman"/>
                <w:color w:val="auto"/>
                <w:kern w:val="0"/>
                <w:sz w:val="24"/>
                <w:szCs w:val="24"/>
                <w:highlight w:val="none"/>
                <w:lang w:val="en-US" w:eastAsia="zh-CN" w:bidi="ar"/>
              </w:rPr>
              <w:t>布袋除尘器产生的废布袋，</w:t>
            </w:r>
            <w:r>
              <w:rPr>
                <w:rFonts w:hint="default" w:ascii="Times New Roman" w:hAnsi="Times New Roman" w:cs="Times New Roman"/>
                <w:color w:val="auto"/>
                <w:kern w:val="0"/>
                <w:sz w:val="24"/>
                <w:szCs w:val="24"/>
                <w:highlight w:val="none"/>
                <w:lang w:val="en-US" w:eastAsia="zh-CN" w:bidi="ar"/>
              </w:rPr>
              <w:t>更换后，直接外售废品回收站</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cs="Times New Roman"/>
                <w:color w:val="auto"/>
                <w:kern w:val="0"/>
                <w:sz w:val="24"/>
                <w:szCs w:val="24"/>
                <w:highlight w:val="none"/>
                <w:lang w:val="en-US" w:eastAsia="zh-CN" w:bidi="ar"/>
              </w:rPr>
              <w:t>除尘灰</w:t>
            </w:r>
            <w:r>
              <w:rPr>
                <w:rFonts w:hint="eastAsia" w:ascii="Times New Roman" w:hAnsi="Times New Roman" w:cs="Times New Roman"/>
                <w:color w:val="auto"/>
                <w:kern w:val="0"/>
                <w:sz w:val="24"/>
                <w:szCs w:val="24"/>
                <w:highlight w:val="none"/>
                <w:lang w:val="en-US" w:eastAsia="zh-CN" w:bidi="ar"/>
              </w:rPr>
              <w:t>集中</w:t>
            </w:r>
            <w:r>
              <w:rPr>
                <w:rFonts w:hint="default" w:ascii="Times New Roman" w:hAnsi="Times New Roman" w:cs="Times New Roman"/>
                <w:color w:val="auto"/>
                <w:kern w:val="0"/>
                <w:sz w:val="24"/>
                <w:szCs w:val="24"/>
                <w:highlight w:val="none"/>
                <w:lang w:val="en-US" w:eastAsia="zh-CN" w:bidi="ar"/>
              </w:rPr>
              <w:t>收集</w:t>
            </w:r>
            <w:r>
              <w:rPr>
                <w:rFonts w:hint="eastAsia" w:ascii="Times New Roman" w:hAnsi="Times New Roman" w:cs="Times New Roman"/>
                <w:color w:val="auto"/>
                <w:kern w:val="0"/>
                <w:sz w:val="24"/>
                <w:szCs w:val="24"/>
                <w:highlight w:val="none"/>
                <w:lang w:val="en-US" w:eastAsia="zh-CN" w:bidi="ar"/>
              </w:rPr>
              <w:t>，暂存于</w:t>
            </w:r>
            <w:r>
              <w:rPr>
                <w:rFonts w:hint="eastAsia" w:cs="Times New Roman"/>
                <w:color w:val="auto"/>
                <w:kern w:val="0"/>
                <w:sz w:val="24"/>
                <w:szCs w:val="24"/>
                <w:highlight w:val="none"/>
                <w:lang w:val="en-US" w:eastAsia="zh-CN" w:bidi="ar"/>
              </w:rPr>
              <w:t>现有工程</w:t>
            </w:r>
            <w:r>
              <w:rPr>
                <w:rFonts w:hint="eastAsia" w:ascii="Times New Roman" w:hAnsi="Times New Roman" w:cs="Times New Roman"/>
                <w:color w:val="auto"/>
                <w:kern w:val="0"/>
                <w:sz w:val="24"/>
                <w:szCs w:val="24"/>
                <w:highlight w:val="none"/>
                <w:lang w:val="en-US" w:eastAsia="zh-CN" w:bidi="ar"/>
              </w:rPr>
              <w:t>一般固废暂存间</w:t>
            </w:r>
            <w:r>
              <w:rPr>
                <w:rFonts w:hint="eastAsia" w:cs="Times New Roman"/>
                <w:color w:val="auto"/>
                <w:kern w:val="0"/>
                <w:sz w:val="24"/>
                <w:szCs w:val="24"/>
                <w:highlight w:val="none"/>
                <w:lang w:val="en-US" w:eastAsia="zh-CN" w:bidi="ar"/>
              </w:rPr>
              <w:t>（建筑面积810m</w:t>
            </w:r>
            <w:r>
              <w:rPr>
                <w:rFonts w:hint="eastAsia" w:cs="Times New Roman"/>
                <w:color w:val="auto"/>
                <w:kern w:val="0"/>
                <w:sz w:val="24"/>
                <w:szCs w:val="24"/>
                <w:highlight w:val="none"/>
                <w:vertAlign w:val="superscript"/>
                <w:lang w:val="en-US" w:eastAsia="zh-CN" w:bidi="ar"/>
              </w:rPr>
              <w:t>2</w:t>
            </w:r>
            <w:r>
              <w:rPr>
                <w:rFonts w:hint="eastAsia" w:cs="Times New Roman"/>
                <w:color w:val="auto"/>
                <w:kern w:val="0"/>
                <w:sz w:val="24"/>
                <w:szCs w:val="24"/>
                <w:highlight w:val="none"/>
                <w:lang w:val="en-US" w:eastAsia="zh-CN" w:bidi="ar"/>
              </w:rPr>
              <w:t>）</w:t>
            </w:r>
            <w:r>
              <w:rPr>
                <w:rFonts w:hint="eastAsia" w:ascii="Times New Roman" w:hAnsi="Times New Roman" w:cs="Times New Roman"/>
                <w:color w:val="auto"/>
                <w:kern w:val="0"/>
                <w:sz w:val="24"/>
                <w:szCs w:val="24"/>
                <w:highlight w:val="none"/>
                <w:lang w:val="en-US" w:eastAsia="zh-CN" w:bidi="ar"/>
              </w:rPr>
              <w:t>，定期外售水泥厂；沉淀池污泥定期清理，清理后直接</w:t>
            </w:r>
            <w:r>
              <w:rPr>
                <w:rFonts w:hint="default" w:ascii="Times New Roman" w:hAnsi="Times New Roman" w:cs="Times New Roman"/>
                <w:color w:val="auto"/>
                <w:kern w:val="0"/>
                <w:sz w:val="24"/>
                <w:szCs w:val="24"/>
                <w:highlight w:val="none"/>
                <w:lang w:val="en-US" w:eastAsia="zh-CN" w:bidi="ar"/>
              </w:rPr>
              <w:t>作外售</w:t>
            </w:r>
            <w:r>
              <w:rPr>
                <w:rFonts w:hint="eastAsia" w:ascii="Times New Roman" w:hAnsi="Times New Roman" w:cs="Times New Roman"/>
                <w:color w:val="auto"/>
                <w:kern w:val="0"/>
                <w:sz w:val="24"/>
                <w:szCs w:val="24"/>
                <w:highlight w:val="none"/>
                <w:lang w:val="en-US" w:eastAsia="zh-CN" w:bidi="ar"/>
              </w:rPr>
              <w:t>水泥厂；土渣暂存于预处理车间土渣储存区，定期外售水泥厂。</w:t>
            </w:r>
          </w:p>
          <w:p w14:paraId="5ED20198">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4.1.2一般工业固体废物管理措施</w:t>
            </w:r>
          </w:p>
          <w:p w14:paraId="68037818">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⑴</w:t>
            </w:r>
            <w:r>
              <w:rPr>
                <w:rFonts w:hint="default" w:ascii="Times New Roman" w:hAnsi="Times New Roman" w:eastAsia="宋体" w:cs="Times New Roman"/>
                <w:color w:val="auto"/>
                <w:kern w:val="0"/>
                <w:sz w:val="24"/>
                <w:szCs w:val="24"/>
                <w:highlight w:val="none"/>
                <w:lang w:val="en-US" w:eastAsia="zh-CN" w:bidi="ar"/>
              </w:rPr>
              <w:t>采用库房、包装工具（罐、桶、包装袋等）贮存一般工业固体废物的，贮存过程应满足相应防渗漏、防雨淋、防扬尘等环境保护要求；</w:t>
            </w:r>
          </w:p>
          <w:p w14:paraId="53FAD6F7">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⑵危险废物和生活垃圾不得进入一般工业固体废物贮存场及填埋场；</w:t>
            </w:r>
          </w:p>
          <w:p w14:paraId="0D451B4B">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⑶不相容的一般工业固体废物应设置不同的分区进行贮存和填埋作业；</w:t>
            </w:r>
          </w:p>
          <w:p w14:paraId="0657ABBB">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⑷贮存场应设置清晰、完整的一般工业固体废物标志牌等。</w:t>
            </w:r>
          </w:p>
          <w:p w14:paraId="5EAF3E30">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⑸排污单位生产运营期间一般工业固体废物自行贮存/利用/处置设施的环境管理和相关设施运行维护要求还应符合GB15562.2、GB18599、GB30485和HJ2035等相关标准规范要求。</w:t>
            </w:r>
          </w:p>
          <w:p w14:paraId="596226E6">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sz w:val="24"/>
                <w:szCs w:val="24"/>
                <w:highlight w:val="none"/>
                <w:lang w:val="en-US" w:eastAsia="zh-CN"/>
              </w:rPr>
              <w:t>现有工程一般固废储存间符合要求，</w:t>
            </w:r>
            <w:r>
              <w:rPr>
                <w:rFonts w:hint="eastAsia"/>
                <w:color w:val="auto"/>
                <w:highlight w:val="none"/>
                <w:lang w:val="en-US" w:eastAsia="zh-CN"/>
              </w:rPr>
              <w:t>因此，本项目依托</w:t>
            </w:r>
            <w:r>
              <w:rPr>
                <w:rFonts w:hint="eastAsia" w:cs="Times New Roman"/>
                <w:color w:val="auto"/>
                <w:sz w:val="24"/>
                <w:szCs w:val="24"/>
                <w:highlight w:val="none"/>
                <w:lang w:val="en-US" w:eastAsia="zh-CN"/>
              </w:rPr>
              <w:t>现有工程一般固废储存区可行。本项目产生的土渣暂存于</w:t>
            </w:r>
            <w:r>
              <w:rPr>
                <w:rFonts w:hint="eastAsia" w:ascii="Times New Roman" w:hAnsi="Times New Roman" w:cs="Times New Roman"/>
                <w:color w:val="auto"/>
                <w:kern w:val="0"/>
                <w:sz w:val="24"/>
                <w:szCs w:val="24"/>
                <w:highlight w:val="none"/>
                <w:lang w:val="en-US" w:eastAsia="zh-CN" w:bidi="ar"/>
              </w:rPr>
              <w:t>预处理车间土渣储存区</w:t>
            </w:r>
            <w:r>
              <w:rPr>
                <w:rFonts w:hint="eastAsia" w:cs="Times New Roman"/>
                <w:color w:val="auto"/>
                <w:kern w:val="0"/>
                <w:sz w:val="24"/>
                <w:szCs w:val="24"/>
                <w:highlight w:val="none"/>
                <w:lang w:val="en-US" w:eastAsia="zh-CN" w:bidi="ar"/>
              </w:rPr>
              <w:t>，该区域满足</w:t>
            </w:r>
            <w:r>
              <w:rPr>
                <w:rFonts w:hint="default" w:ascii="Times New Roman" w:hAnsi="Times New Roman" w:eastAsia="宋体" w:cs="Times New Roman"/>
                <w:b/>
                <w:bCs/>
                <w:color w:val="auto"/>
                <w:sz w:val="24"/>
                <w:szCs w:val="24"/>
                <w:highlight w:val="none"/>
                <w:lang w:val="en-US" w:eastAsia="zh-CN"/>
              </w:rPr>
              <w:t>一</w:t>
            </w:r>
            <w:r>
              <w:rPr>
                <w:rFonts w:hint="default" w:ascii="Times New Roman" w:hAnsi="Times New Roman" w:eastAsia="宋体" w:cs="Times New Roman"/>
                <w:b w:val="0"/>
                <w:bCs w:val="0"/>
                <w:color w:val="auto"/>
                <w:sz w:val="24"/>
                <w:szCs w:val="24"/>
                <w:highlight w:val="none"/>
                <w:lang w:val="en-US" w:eastAsia="zh-CN"/>
              </w:rPr>
              <w:t>般工业固体废物管理措施</w:t>
            </w:r>
            <w:r>
              <w:rPr>
                <w:rFonts w:hint="eastAsia" w:cs="Times New Roman"/>
                <w:b w:val="0"/>
                <w:bCs w:val="0"/>
                <w:color w:val="auto"/>
                <w:sz w:val="24"/>
                <w:szCs w:val="24"/>
                <w:highlight w:val="none"/>
                <w:lang w:val="en-US" w:eastAsia="zh-CN"/>
              </w:rPr>
              <w:t>要求。</w:t>
            </w:r>
          </w:p>
          <w:p w14:paraId="714DFD11">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w:t>
            </w: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危险废物</w:t>
            </w:r>
          </w:p>
          <w:p w14:paraId="7D8EB6EA">
            <w:pPr>
              <w:keepNext w:val="0"/>
              <w:keepLines w:val="0"/>
              <w:pageBreakBefore w:val="0"/>
              <w:widowControl w:val="0"/>
              <w:shd w:val="clea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w:t>
            </w: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危险废物基本情况</w:t>
            </w:r>
          </w:p>
          <w:p w14:paraId="20B4EF32">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根据《国家危险废物名录（202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年版）》中的规定</w:t>
            </w:r>
            <w:r>
              <w:rPr>
                <w:rFonts w:hint="default"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eastAsia="zh-CN"/>
              </w:rPr>
              <w:t>本项目产生的</w:t>
            </w:r>
            <w:r>
              <w:rPr>
                <w:rFonts w:hint="default" w:ascii="Times New Roman" w:hAnsi="Times New Roman" w:eastAsia="宋体" w:cs="Times New Roman"/>
                <w:color w:val="auto"/>
                <w:sz w:val="24"/>
                <w:szCs w:val="24"/>
                <w:highlight w:val="none"/>
                <w:lang w:eastAsia="zh-CN"/>
              </w:rPr>
              <w:t>危险废物类别、代码、产生量及收集、处置方式见</w:t>
            </w:r>
            <w:r>
              <w:rPr>
                <w:rFonts w:hint="default" w:ascii="Times New Roman" w:hAnsi="Times New Roman" w:eastAsia="宋体"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lang w:eastAsia="zh-CN"/>
              </w:rPr>
              <w:t>表。</w:t>
            </w:r>
          </w:p>
          <w:p w14:paraId="5A05F9E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本项目</w:t>
            </w:r>
            <w:r>
              <w:rPr>
                <w:rFonts w:hint="default" w:ascii="Times New Roman" w:hAnsi="Times New Roman" w:eastAsia="宋体" w:cs="Times New Roman"/>
                <w:b/>
                <w:bCs/>
                <w:color w:val="auto"/>
                <w:spacing w:val="0"/>
                <w:sz w:val="21"/>
                <w:szCs w:val="21"/>
                <w:highlight w:val="none"/>
                <w:lang w:val="en-US" w:eastAsia="zh-CN"/>
              </w:rPr>
              <w:t>危险废物类别、代码、产生量及收集、处置一览表</w:t>
            </w:r>
          </w:p>
          <w:tbl>
            <w:tblPr>
              <w:tblStyle w:val="32"/>
              <w:tblW w:w="781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11"/>
              <w:gridCol w:w="1115"/>
              <w:gridCol w:w="650"/>
              <w:gridCol w:w="680"/>
              <w:gridCol w:w="634"/>
              <w:gridCol w:w="662"/>
              <w:gridCol w:w="604"/>
              <w:gridCol w:w="665"/>
              <w:gridCol w:w="618"/>
              <w:gridCol w:w="623"/>
              <w:gridCol w:w="1155"/>
            </w:tblGrid>
            <w:tr w14:paraId="2AAA64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16" w:hRule="atLeast"/>
                <w:jc w:val="center"/>
              </w:trPr>
              <w:tc>
                <w:tcPr>
                  <w:tcW w:w="411" w:type="dxa"/>
                  <w:tcBorders>
                    <w:tl2br w:val="nil"/>
                    <w:tr2bl w:val="nil"/>
                  </w:tcBorders>
                  <w:noWrap w:val="0"/>
                  <w:vAlign w:val="center"/>
                </w:tcPr>
                <w:p w14:paraId="784F1539">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序号</w:t>
                  </w:r>
                </w:p>
              </w:tc>
              <w:tc>
                <w:tcPr>
                  <w:tcW w:w="1115" w:type="dxa"/>
                  <w:tcBorders>
                    <w:tl2br w:val="nil"/>
                    <w:tr2bl w:val="nil"/>
                  </w:tcBorders>
                  <w:noWrap w:val="0"/>
                  <w:vAlign w:val="center"/>
                </w:tcPr>
                <w:p w14:paraId="009FD209">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危险废物名称</w:t>
                  </w:r>
                </w:p>
              </w:tc>
              <w:tc>
                <w:tcPr>
                  <w:tcW w:w="650" w:type="dxa"/>
                  <w:tcBorders>
                    <w:tl2br w:val="nil"/>
                    <w:tr2bl w:val="nil"/>
                  </w:tcBorders>
                  <w:noWrap w:val="0"/>
                  <w:vAlign w:val="center"/>
                </w:tcPr>
                <w:p w14:paraId="710C9551">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危险废物类别</w:t>
                  </w:r>
                </w:p>
              </w:tc>
              <w:tc>
                <w:tcPr>
                  <w:tcW w:w="680" w:type="dxa"/>
                  <w:tcBorders>
                    <w:tl2br w:val="nil"/>
                    <w:tr2bl w:val="nil"/>
                  </w:tcBorders>
                  <w:noWrap w:val="0"/>
                  <w:vAlign w:val="center"/>
                </w:tcPr>
                <w:p w14:paraId="3C0F560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危险废物代码</w:t>
                  </w:r>
                </w:p>
              </w:tc>
              <w:tc>
                <w:tcPr>
                  <w:tcW w:w="634" w:type="dxa"/>
                  <w:tcBorders>
                    <w:tl2br w:val="nil"/>
                    <w:tr2bl w:val="nil"/>
                  </w:tcBorders>
                  <w:noWrap w:val="0"/>
                  <w:vAlign w:val="center"/>
                </w:tcPr>
                <w:p w14:paraId="68461AC8">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产生量</w:t>
                  </w:r>
                </w:p>
              </w:tc>
              <w:tc>
                <w:tcPr>
                  <w:tcW w:w="662" w:type="dxa"/>
                  <w:tcBorders>
                    <w:tl2br w:val="nil"/>
                    <w:tr2bl w:val="nil"/>
                  </w:tcBorders>
                  <w:noWrap w:val="0"/>
                  <w:vAlign w:val="center"/>
                </w:tcPr>
                <w:p w14:paraId="15D43C48">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产生工序及装置</w:t>
                  </w:r>
                </w:p>
              </w:tc>
              <w:tc>
                <w:tcPr>
                  <w:tcW w:w="604" w:type="dxa"/>
                  <w:tcBorders>
                    <w:tl2br w:val="nil"/>
                    <w:tr2bl w:val="nil"/>
                  </w:tcBorders>
                  <w:noWrap w:val="0"/>
                  <w:vAlign w:val="center"/>
                </w:tcPr>
                <w:p w14:paraId="1D92A3EB">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形态</w:t>
                  </w:r>
                </w:p>
              </w:tc>
              <w:tc>
                <w:tcPr>
                  <w:tcW w:w="665" w:type="dxa"/>
                  <w:tcBorders>
                    <w:tl2br w:val="nil"/>
                    <w:tr2bl w:val="nil"/>
                  </w:tcBorders>
                  <w:noWrap w:val="0"/>
                  <w:vAlign w:val="center"/>
                </w:tcPr>
                <w:p w14:paraId="0CAF039C">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有害成分</w:t>
                  </w:r>
                </w:p>
              </w:tc>
              <w:tc>
                <w:tcPr>
                  <w:tcW w:w="618" w:type="dxa"/>
                  <w:tcBorders>
                    <w:tl2br w:val="nil"/>
                    <w:tr2bl w:val="nil"/>
                  </w:tcBorders>
                  <w:noWrap w:val="0"/>
                  <w:vAlign w:val="center"/>
                </w:tcPr>
                <w:p w14:paraId="37147D1C">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产废周期</w:t>
                  </w:r>
                </w:p>
              </w:tc>
              <w:tc>
                <w:tcPr>
                  <w:tcW w:w="623" w:type="dxa"/>
                  <w:tcBorders>
                    <w:tl2br w:val="nil"/>
                    <w:tr2bl w:val="nil"/>
                  </w:tcBorders>
                  <w:noWrap w:val="0"/>
                  <w:vAlign w:val="center"/>
                </w:tcPr>
                <w:p w14:paraId="226C9CB5">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危险特性</w:t>
                  </w:r>
                </w:p>
              </w:tc>
              <w:tc>
                <w:tcPr>
                  <w:tcW w:w="1155" w:type="dxa"/>
                  <w:tcBorders>
                    <w:tl2br w:val="nil"/>
                    <w:tr2bl w:val="nil"/>
                  </w:tcBorders>
                  <w:noWrap w:val="0"/>
                  <w:vAlign w:val="center"/>
                </w:tcPr>
                <w:p w14:paraId="45D2B8ED">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rFonts w:hint="default" w:ascii="Times New Roman" w:hAnsi="Times New Roman" w:eastAsia="宋体" w:cs="Times New Roman"/>
                      <w:b w:val="0"/>
                      <w:bCs w:val="0"/>
                      <w:color w:val="auto"/>
                      <w:sz w:val="18"/>
                      <w:szCs w:val="18"/>
                      <w:highlight w:val="none"/>
                      <w:lang w:bidi="ar"/>
                    </w:rPr>
                    <w:t>收集、处置方式</w:t>
                  </w:r>
                </w:p>
              </w:tc>
            </w:tr>
            <w:tr w14:paraId="68AC4A6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48" w:hRule="atLeast"/>
                <w:jc w:val="center"/>
              </w:trPr>
              <w:tc>
                <w:tcPr>
                  <w:tcW w:w="411" w:type="dxa"/>
                  <w:tcBorders>
                    <w:tl2br w:val="nil"/>
                    <w:tr2bl w:val="nil"/>
                  </w:tcBorders>
                  <w:noWrap w:val="0"/>
                  <w:vAlign w:val="center"/>
                </w:tcPr>
                <w:p w14:paraId="3E61EEF1">
                  <w:pPr>
                    <w:keepNext w:val="0"/>
                    <w:keepLines w:val="0"/>
                    <w:pageBreakBefore w:val="0"/>
                    <w:widowControl w:val="0"/>
                    <w:numPr>
                      <w:ilvl w:val="0"/>
                      <w:numId w:val="17"/>
                    </w:numPr>
                    <w:shd w:val="clear"/>
                    <w:kinsoku/>
                    <w:wordWrap/>
                    <w:overflowPunct/>
                    <w:topLinePunct/>
                    <w:autoSpaceDE/>
                    <w:autoSpaceDN/>
                    <w:bidi w:val="0"/>
                    <w:adjustRightInd w:val="0"/>
                    <w:snapToGrid/>
                    <w:spacing w:line="0" w:lineRule="atLeast"/>
                    <w:ind w:left="0" w:leftChars="0" w:firstLine="0" w:firstLineChars="0"/>
                    <w:jc w:val="center"/>
                    <w:textAlignment w:val="auto"/>
                    <w:rPr>
                      <w:b w:val="0"/>
                      <w:bCs w:val="0"/>
                      <w:color w:val="auto"/>
                      <w:kern w:val="0"/>
                      <w:sz w:val="18"/>
                      <w:szCs w:val="18"/>
                      <w:highlight w:val="none"/>
                    </w:rPr>
                  </w:pPr>
                </w:p>
              </w:tc>
              <w:tc>
                <w:tcPr>
                  <w:tcW w:w="1115" w:type="dxa"/>
                  <w:tcBorders>
                    <w:tl2br w:val="nil"/>
                    <w:tr2bl w:val="nil"/>
                  </w:tcBorders>
                  <w:shd w:val="clear" w:color="auto" w:fill="auto"/>
                  <w:noWrap w:val="0"/>
                  <w:vAlign w:val="center"/>
                </w:tcPr>
                <w:p w14:paraId="5BC32CA6">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ascii="Times New Roman" w:hAnsi="Times New Roman" w:eastAsia="宋体" w:cs="Times New Roman"/>
                      <w:color w:val="auto"/>
                      <w:w w:val="90"/>
                      <w:kern w:val="0"/>
                      <w:sz w:val="18"/>
                      <w:szCs w:val="18"/>
                      <w:highlight w:val="none"/>
                      <w:lang w:val="en-US" w:eastAsia="zh-CN" w:bidi="ar-SA"/>
                    </w:rPr>
                  </w:pPr>
                  <w:r>
                    <w:rPr>
                      <w:rFonts w:hint="default" w:ascii="Times New Roman" w:hAnsi="Times New Roman" w:eastAsia="宋体" w:cs="Times New Roman"/>
                      <w:b w:val="0"/>
                      <w:bCs w:val="0"/>
                      <w:color w:val="auto"/>
                      <w:w w:val="100"/>
                      <w:kern w:val="2"/>
                      <w:sz w:val="18"/>
                      <w:szCs w:val="18"/>
                      <w:highlight w:val="none"/>
                      <w:vertAlign w:val="baseline"/>
                      <w:lang w:val="en-US" w:eastAsia="zh-CN" w:bidi="ar-SA"/>
                    </w:rPr>
                    <w:t>废润滑油</w:t>
                  </w:r>
                </w:p>
              </w:tc>
              <w:tc>
                <w:tcPr>
                  <w:tcW w:w="650" w:type="dxa"/>
                  <w:vMerge w:val="restart"/>
                  <w:tcBorders>
                    <w:tl2br w:val="nil"/>
                    <w:tr2bl w:val="nil"/>
                  </w:tcBorders>
                  <w:shd w:val="clear" w:color="auto" w:fill="auto"/>
                  <w:noWrap w:val="0"/>
                  <w:vAlign w:val="center"/>
                </w:tcPr>
                <w:p w14:paraId="2008DCC2">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sz w:val="18"/>
                      <w:szCs w:val="18"/>
                      <w:highlight w:val="none"/>
                      <w:lang w:val="en-US" w:eastAsia="zh-CN"/>
                    </w:rPr>
                  </w:pPr>
                  <w:r>
                    <w:rPr>
                      <w:b w:val="0"/>
                      <w:bCs w:val="0"/>
                      <w:color w:val="auto"/>
                      <w:kern w:val="0"/>
                      <w:sz w:val="18"/>
                      <w:szCs w:val="18"/>
                      <w:highlight w:val="none"/>
                    </w:rPr>
                    <w:t>HW08</w:t>
                  </w:r>
                </w:p>
              </w:tc>
              <w:tc>
                <w:tcPr>
                  <w:tcW w:w="680" w:type="dxa"/>
                  <w:tcBorders>
                    <w:tl2br w:val="nil"/>
                    <w:tr2bl w:val="nil"/>
                  </w:tcBorders>
                  <w:shd w:val="clear" w:color="auto" w:fill="auto"/>
                  <w:noWrap w:val="0"/>
                  <w:vAlign w:val="center"/>
                </w:tcPr>
                <w:p w14:paraId="2F060C51">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rPr>
                  </w:pPr>
                  <w:r>
                    <w:rPr>
                      <w:b w:val="0"/>
                      <w:bCs w:val="0"/>
                      <w:color w:val="auto"/>
                      <w:kern w:val="0"/>
                      <w:sz w:val="18"/>
                      <w:szCs w:val="18"/>
                      <w:highlight w:val="none"/>
                    </w:rPr>
                    <w:t>900-217-08</w:t>
                  </w:r>
                </w:p>
              </w:tc>
              <w:tc>
                <w:tcPr>
                  <w:tcW w:w="634" w:type="dxa"/>
                  <w:tcBorders>
                    <w:tl2br w:val="nil"/>
                    <w:tr2bl w:val="nil"/>
                  </w:tcBorders>
                  <w:shd w:val="clear" w:color="auto" w:fill="auto"/>
                  <w:noWrap w:val="0"/>
                  <w:vAlign w:val="center"/>
                </w:tcPr>
                <w:p w14:paraId="25E6E6F9">
                  <w:pPr>
                    <w:keepNext w:val="0"/>
                    <w:keepLines w:val="0"/>
                    <w:pageBreakBefore w:val="0"/>
                    <w:widowControl/>
                    <w:shd w:val="clear"/>
                    <w:kinsoku/>
                    <w:wordWrap/>
                    <w:overflowPunct/>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eastAsia="宋体" w:cs="Times New Roman"/>
                      <w:b w:val="0"/>
                      <w:bCs w:val="0"/>
                      <w:color w:val="auto"/>
                      <w:kern w:val="0"/>
                      <w:sz w:val="18"/>
                      <w:szCs w:val="18"/>
                      <w:highlight w:val="none"/>
                      <w:lang w:val="en-US" w:eastAsia="zh-CN" w:bidi="ar-SA"/>
                    </w:rPr>
                    <w:t>0.</w:t>
                  </w:r>
                  <w:r>
                    <w:rPr>
                      <w:rFonts w:hint="eastAsia" w:cs="Times New Roman"/>
                      <w:b w:val="0"/>
                      <w:bCs w:val="0"/>
                      <w:color w:val="auto"/>
                      <w:kern w:val="0"/>
                      <w:sz w:val="18"/>
                      <w:szCs w:val="18"/>
                      <w:highlight w:val="none"/>
                      <w:lang w:val="en-US" w:eastAsia="zh-CN" w:bidi="ar-SA"/>
                    </w:rPr>
                    <w:t>05</w:t>
                  </w:r>
                </w:p>
              </w:tc>
              <w:tc>
                <w:tcPr>
                  <w:tcW w:w="662" w:type="dxa"/>
                  <w:vMerge w:val="restart"/>
                  <w:tcBorders>
                    <w:tl2br w:val="nil"/>
                    <w:tr2bl w:val="nil"/>
                  </w:tcBorders>
                  <w:noWrap w:val="0"/>
                  <w:vAlign w:val="center"/>
                </w:tcPr>
                <w:p w14:paraId="019E76A9">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lang w:eastAsia="zh-CN"/>
                    </w:rPr>
                  </w:pPr>
                  <w:r>
                    <w:rPr>
                      <w:b w:val="0"/>
                      <w:bCs w:val="0"/>
                      <w:color w:val="auto"/>
                      <w:kern w:val="0"/>
                      <w:sz w:val="18"/>
                      <w:szCs w:val="18"/>
                      <w:highlight w:val="none"/>
                    </w:rPr>
                    <w:t>设备维修</w:t>
                  </w:r>
                </w:p>
              </w:tc>
              <w:tc>
                <w:tcPr>
                  <w:tcW w:w="604" w:type="dxa"/>
                  <w:tcBorders>
                    <w:tl2br w:val="nil"/>
                    <w:tr2bl w:val="nil"/>
                  </w:tcBorders>
                  <w:shd w:val="clear" w:color="auto" w:fill="auto"/>
                  <w:noWrap w:val="0"/>
                  <w:vAlign w:val="center"/>
                </w:tcPr>
                <w:p w14:paraId="322A95FE">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液态</w:t>
                  </w:r>
                </w:p>
              </w:tc>
              <w:tc>
                <w:tcPr>
                  <w:tcW w:w="665" w:type="dxa"/>
                  <w:tcBorders>
                    <w:tl2br w:val="nil"/>
                    <w:tr2bl w:val="nil"/>
                  </w:tcBorders>
                  <w:shd w:val="clear" w:color="auto" w:fill="auto"/>
                  <w:noWrap w:val="0"/>
                  <w:vAlign w:val="center"/>
                </w:tcPr>
                <w:p w14:paraId="3A9BECD6">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cs="Times New Roman"/>
                      <w:color w:val="auto"/>
                      <w:kern w:val="0"/>
                      <w:sz w:val="18"/>
                      <w:szCs w:val="18"/>
                      <w:highlight w:val="none"/>
                      <w:lang w:val="en-US" w:eastAsia="zh-CN"/>
                    </w:rPr>
                  </w:pPr>
                  <w:r>
                    <w:rPr>
                      <w:b w:val="0"/>
                      <w:bCs w:val="0"/>
                      <w:color w:val="auto"/>
                      <w:kern w:val="0"/>
                      <w:sz w:val="18"/>
                      <w:szCs w:val="18"/>
                      <w:highlight w:val="none"/>
                    </w:rPr>
                    <w:t>废矿物油</w:t>
                  </w:r>
                </w:p>
              </w:tc>
              <w:tc>
                <w:tcPr>
                  <w:tcW w:w="618" w:type="dxa"/>
                  <w:tcBorders>
                    <w:tl2br w:val="nil"/>
                    <w:tr2bl w:val="nil"/>
                  </w:tcBorders>
                  <w:shd w:val="clear" w:color="auto" w:fill="auto"/>
                  <w:noWrap w:val="0"/>
                  <w:vAlign w:val="center"/>
                </w:tcPr>
                <w:p w14:paraId="606267F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lang w:val="en-US" w:eastAsia="zh-CN"/>
                    </w:rPr>
                  </w:pPr>
                  <w:r>
                    <w:rPr>
                      <w:rFonts w:hint="eastAsia"/>
                      <w:b w:val="0"/>
                      <w:bCs w:val="0"/>
                      <w:color w:val="auto"/>
                      <w:kern w:val="0"/>
                      <w:sz w:val="18"/>
                      <w:szCs w:val="18"/>
                      <w:highlight w:val="none"/>
                      <w:lang w:val="en-US" w:eastAsia="zh-CN"/>
                    </w:rPr>
                    <w:t>1</w:t>
                  </w:r>
                  <w:r>
                    <w:rPr>
                      <w:rFonts w:hint="eastAsia"/>
                      <w:b w:val="0"/>
                      <w:bCs w:val="0"/>
                      <w:color w:val="auto"/>
                      <w:kern w:val="0"/>
                      <w:sz w:val="18"/>
                      <w:szCs w:val="18"/>
                      <w:highlight w:val="none"/>
                      <w:lang w:eastAsia="zh-CN"/>
                    </w:rPr>
                    <w:t>年</w:t>
                  </w:r>
                </w:p>
              </w:tc>
              <w:tc>
                <w:tcPr>
                  <w:tcW w:w="623" w:type="dxa"/>
                  <w:tcBorders>
                    <w:tl2br w:val="nil"/>
                    <w:tr2bl w:val="nil"/>
                  </w:tcBorders>
                  <w:shd w:val="clear" w:color="auto" w:fill="auto"/>
                  <w:noWrap w:val="0"/>
                  <w:vAlign w:val="center"/>
                </w:tcPr>
                <w:p w14:paraId="4E6AFFCD">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ascii="Times New Roman" w:hAnsi="Times New Roman" w:eastAsia="Times New Roman" w:cs="Times New Roman"/>
                      <w:color w:val="auto"/>
                      <w:spacing w:val="4"/>
                      <w:sz w:val="18"/>
                      <w:szCs w:val="18"/>
                      <w:highlight w:val="none"/>
                    </w:rPr>
                  </w:pPr>
                  <w:r>
                    <w:rPr>
                      <w:b w:val="0"/>
                      <w:bCs w:val="0"/>
                      <w:color w:val="auto"/>
                      <w:kern w:val="0"/>
                      <w:sz w:val="18"/>
                      <w:szCs w:val="18"/>
                      <w:highlight w:val="none"/>
                    </w:rPr>
                    <w:t>T，I</w:t>
                  </w:r>
                </w:p>
              </w:tc>
              <w:tc>
                <w:tcPr>
                  <w:tcW w:w="1155" w:type="dxa"/>
                  <w:vMerge w:val="restart"/>
                  <w:tcBorders>
                    <w:tl2br w:val="nil"/>
                    <w:tr2bl w:val="nil"/>
                  </w:tcBorders>
                  <w:noWrap w:val="0"/>
                  <w:vAlign w:val="center"/>
                </w:tcPr>
                <w:p w14:paraId="21641B52">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default" w:ascii="Times New Roman" w:hAnsi="Times New Roman" w:eastAsia="宋体" w:cs="Times New Roman"/>
                      <w:b w:val="0"/>
                      <w:bCs w:val="0"/>
                      <w:color w:val="auto"/>
                      <w:sz w:val="18"/>
                      <w:szCs w:val="18"/>
                      <w:highlight w:val="none"/>
                      <w:lang w:bidi="ar"/>
                    </w:rPr>
                  </w:pPr>
                  <w:r>
                    <w:rPr>
                      <w:rFonts w:hint="eastAsia"/>
                      <w:b w:val="0"/>
                      <w:bCs w:val="0"/>
                      <w:color w:val="auto"/>
                      <w:kern w:val="0"/>
                      <w:sz w:val="18"/>
                      <w:szCs w:val="18"/>
                      <w:highlight w:val="none"/>
                      <w:lang w:bidi="ar"/>
                    </w:rPr>
                    <w:t>危险废物集中收集，分类储存，暂存于危险废物暂存间内，委托有资质的危险废物处置单位定期处理</w:t>
                  </w:r>
                </w:p>
              </w:tc>
            </w:tr>
            <w:tr w14:paraId="00A9E47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64" w:hRule="atLeast"/>
                <w:jc w:val="center"/>
              </w:trPr>
              <w:tc>
                <w:tcPr>
                  <w:tcW w:w="411" w:type="dxa"/>
                  <w:tcBorders>
                    <w:tl2br w:val="nil"/>
                    <w:tr2bl w:val="nil"/>
                  </w:tcBorders>
                  <w:noWrap w:val="0"/>
                  <w:vAlign w:val="center"/>
                </w:tcPr>
                <w:p w14:paraId="5AB5D661">
                  <w:pPr>
                    <w:keepNext w:val="0"/>
                    <w:keepLines w:val="0"/>
                    <w:pageBreakBefore w:val="0"/>
                    <w:widowControl w:val="0"/>
                    <w:numPr>
                      <w:ilvl w:val="0"/>
                      <w:numId w:val="17"/>
                    </w:numPr>
                    <w:shd w:val="clear"/>
                    <w:kinsoku/>
                    <w:wordWrap/>
                    <w:overflowPunct/>
                    <w:topLinePunct/>
                    <w:autoSpaceDE/>
                    <w:autoSpaceDN/>
                    <w:bidi w:val="0"/>
                    <w:adjustRightInd w:val="0"/>
                    <w:snapToGrid/>
                    <w:spacing w:line="0" w:lineRule="atLeast"/>
                    <w:ind w:left="0" w:leftChars="0" w:firstLine="0" w:firstLineChars="0"/>
                    <w:jc w:val="center"/>
                    <w:textAlignment w:val="auto"/>
                    <w:rPr>
                      <w:b w:val="0"/>
                      <w:bCs w:val="0"/>
                      <w:color w:val="auto"/>
                      <w:kern w:val="0"/>
                      <w:sz w:val="18"/>
                      <w:szCs w:val="18"/>
                      <w:highlight w:val="none"/>
                    </w:rPr>
                  </w:pPr>
                </w:p>
              </w:tc>
              <w:tc>
                <w:tcPr>
                  <w:tcW w:w="1115" w:type="dxa"/>
                  <w:tcBorders>
                    <w:tl2br w:val="nil"/>
                    <w:tr2bl w:val="nil"/>
                  </w:tcBorders>
                  <w:shd w:val="clear" w:color="auto" w:fill="auto"/>
                  <w:noWrap w:val="0"/>
                  <w:vAlign w:val="center"/>
                </w:tcPr>
                <w:p w14:paraId="1024FBFD">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ascii="Times New Roman" w:hAnsi="Times New Roman" w:eastAsia="宋体" w:cs="Times New Roman"/>
                      <w:color w:val="auto"/>
                      <w:w w:val="90"/>
                      <w:kern w:val="0"/>
                      <w:sz w:val="18"/>
                      <w:szCs w:val="18"/>
                      <w:highlight w:val="none"/>
                      <w:lang w:val="en-US" w:eastAsia="zh-CN" w:bidi="ar-SA"/>
                    </w:rPr>
                  </w:pPr>
                  <w:r>
                    <w:rPr>
                      <w:rFonts w:hint="default" w:ascii="Times New Roman" w:hAnsi="Times New Roman" w:eastAsia="宋体" w:cs="Times New Roman"/>
                      <w:b w:val="0"/>
                      <w:bCs w:val="0"/>
                      <w:color w:val="auto"/>
                      <w:w w:val="100"/>
                      <w:kern w:val="2"/>
                      <w:sz w:val="18"/>
                      <w:szCs w:val="18"/>
                      <w:highlight w:val="none"/>
                      <w:vertAlign w:val="baseline"/>
                      <w:lang w:val="en-US" w:eastAsia="zh-CN" w:bidi="ar-SA"/>
                    </w:rPr>
                    <w:t>废油桶</w:t>
                  </w:r>
                </w:p>
              </w:tc>
              <w:tc>
                <w:tcPr>
                  <w:tcW w:w="650" w:type="dxa"/>
                  <w:vMerge w:val="continue"/>
                  <w:tcBorders>
                    <w:tl2br w:val="nil"/>
                    <w:tr2bl w:val="nil"/>
                  </w:tcBorders>
                  <w:shd w:val="clear" w:color="auto" w:fill="auto"/>
                  <w:noWrap w:val="0"/>
                  <w:vAlign w:val="center"/>
                </w:tcPr>
                <w:p w14:paraId="1CFB6B93">
                  <w:pPr>
                    <w:pStyle w:val="15"/>
                    <w:keepNext w:val="0"/>
                    <w:keepLines w:val="0"/>
                    <w:pageBreakBefore w:val="0"/>
                    <w:shd w:val="clear"/>
                    <w:kinsoku/>
                    <w:wordWrap/>
                    <w:overflowPunct/>
                    <w:autoSpaceDE/>
                    <w:autoSpaceDN/>
                    <w:bidi w:val="0"/>
                    <w:snapToGrid/>
                    <w:spacing w:after="0" w:line="0" w:lineRule="atLeast"/>
                    <w:ind w:left="0" w:leftChars="0" w:right="0" w:rightChars="0" w:firstLine="0" w:firstLineChars="0"/>
                    <w:jc w:val="center"/>
                    <w:rPr>
                      <w:rFonts w:hint="eastAsia"/>
                      <w:b w:val="0"/>
                      <w:bCs w:val="0"/>
                      <w:color w:val="auto"/>
                      <w:sz w:val="18"/>
                      <w:szCs w:val="18"/>
                      <w:highlight w:val="none"/>
                      <w:lang w:val="en-US" w:eastAsia="zh-CN"/>
                    </w:rPr>
                  </w:pPr>
                </w:p>
              </w:tc>
              <w:tc>
                <w:tcPr>
                  <w:tcW w:w="680" w:type="dxa"/>
                  <w:tcBorders>
                    <w:tl2br w:val="nil"/>
                    <w:tr2bl w:val="nil"/>
                  </w:tcBorders>
                  <w:shd w:val="clear" w:color="auto" w:fill="auto"/>
                  <w:noWrap w:val="0"/>
                  <w:vAlign w:val="center"/>
                </w:tcPr>
                <w:p w14:paraId="65BDEB76">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rPr>
                  </w:pPr>
                  <w:r>
                    <w:rPr>
                      <w:b w:val="0"/>
                      <w:bCs w:val="0"/>
                      <w:color w:val="auto"/>
                      <w:kern w:val="0"/>
                      <w:sz w:val="18"/>
                      <w:szCs w:val="18"/>
                      <w:highlight w:val="none"/>
                    </w:rPr>
                    <w:t>900-249-08</w:t>
                  </w:r>
                </w:p>
              </w:tc>
              <w:tc>
                <w:tcPr>
                  <w:tcW w:w="634" w:type="dxa"/>
                  <w:tcBorders>
                    <w:tl2br w:val="nil"/>
                    <w:tr2bl w:val="nil"/>
                  </w:tcBorders>
                  <w:shd w:val="clear" w:color="auto" w:fill="auto"/>
                  <w:noWrap w:val="0"/>
                  <w:vAlign w:val="center"/>
                </w:tcPr>
                <w:p w14:paraId="24162A71">
                  <w:pPr>
                    <w:keepNext w:val="0"/>
                    <w:keepLines w:val="0"/>
                    <w:pageBreakBefore w:val="0"/>
                    <w:widowControl/>
                    <w:shd w:val="clear"/>
                    <w:kinsoku/>
                    <w:wordWrap/>
                    <w:overflowPunct/>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bidi="ar-SA"/>
                    </w:rPr>
                  </w:pPr>
                  <w:r>
                    <w:rPr>
                      <w:rFonts w:hint="eastAsia" w:cs="Times New Roman"/>
                      <w:b w:val="0"/>
                      <w:bCs w:val="0"/>
                      <w:color w:val="auto"/>
                      <w:kern w:val="0"/>
                      <w:sz w:val="18"/>
                      <w:szCs w:val="18"/>
                      <w:highlight w:val="none"/>
                      <w:lang w:val="en-US" w:eastAsia="zh-CN" w:bidi="ar-SA"/>
                    </w:rPr>
                    <w:t>0.02</w:t>
                  </w:r>
                </w:p>
              </w:tc>
              <w:tc>
                <w:tcPr>
                  <w:tcW w:w="662" w:type="dxa"/>
                  <w:vMerge w:val="continue"/>
                  <w:tcBorders>
                    <w:tl2br w:val="nil"/>
                    <w:tr2bl w:val="nil"/>
                  </w:tcBorders>
                  <w:noWrap w:val="0"/>
                  <w:vAlign w:val="center"/>
                </w:tcPr>
                <w:p w14:paraId="5174989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lang w:eastAsia="zh-CN"/>
                    </w:rPr>
                  </w:pPr>
                </w:p>
              </w:tc>
              <w:tc>
                <w:tcPr>
                  <w:tcW w:w="604" w:type="dxa"/>
                  <w:tcBorders>
                    <w:tl2br w:val="nil"/>
                    <w:tr2bl w:val="nil"/>
                  </w:tcBorders>
                  <w:shd w:val="clear" w:color="auto" w:fill="auto"/>
                  <w:noWrap w:val="0"/>
                  <w:vAlign w:val="center"/>
                </w:tcPr>
                <w:p w14:paraId="233FA934">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固态</w:t>
                  </w:r>
                </w:p>
              </w:tc>
              <w:tc>
                <w:tcPr>
                  <w:tcW w:w="665" w:type="dxa"/>
                  <w:tcBorders>
                    <w:tl2br w:val="nil"/>
                    <w:tr2bl w:val="nil"/>
                  </w:tcBorders>
                  <w:shd w:val="clear" w:color="auto" w:fill="auto"/>
                  <w:noWrap w:val="0"/>
                  <w:vAlign w:val="center"/>
                </w:tcPr>
                <w:p w14:paraId="55D88EB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cs="Times New Roman"/>
                      <w:color w:val="auto"/>
                      <w:kern w:val="0"/>
                      <w:sz w:val="18"/>
                      <w:szCs w:val="18"/>
                      <w:highlight w:val="none"/>
                      <w:lang w:val="en-US" w:eastAsia="zh-CN"/>
                    </w:rPr>
                  </w:pPr>
                  <w:r>
                    <w:rPr>
                      <w:b w:val="0"/>
                      <w:bCs w:val="0"/>
                      <w:color w:val="auto"/>
                      <w:kern w:val="0"/>
                      <w:sz w:val="18"/>
                      <w:szCs w:val="18"/>
                      <w:highlight w:val="none"/>
                    </w:rPr>
                    <w:t>废矿物油</w:t>
                  </w:r>
                </w:p>
              </w:tc>
              <w:tc>
                <w:tcPr>
                  <w:tcW w:w="618" w:type="dxa"/>
                  <w:tcBorders>
                    <w:tl2br w:val="nil"/>
                    <w:tr2bl w:val="nil"/>
                  </w:tcBorders>
                  <w:shd w:val="clear" w:color="auto" w:fill="auto"/>
                  <w:noWrap w:val="0"/>
                  <w:vAlign w:val="center"/>
                </w:tcPr>
                <w:p w14:paraId="2289C42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lang w:val="en-US" w:eastAsia="zh-CN"/>
                    </w:rPr>
                  </w:pPr>
                  <w:r>
                    <w:rPr>
                      <w:rFonts w:hint="eastAsia"/>
                      <w:b w:val="0"/>
                      <w:bCs w:val="0"/>
                      <w:color w:val="auto"/>
                      <w:kern w:val="0"/>
                      <w:sz w:val="18"/>
                      <w:szCs w:val="18"/>
                      <w:highlight w:val="none"/>
                      <w:lang w:val="en-US" w:eastAsia="zh-CN"/>
                    </w:rPr>
                    <w:t>1</w:t>
                  </w:r>
                  <w:r>
                    <w:rPr>
                      <w:rFonts w:hint="eastAsia"/>
                      <w:b w:val="0"/>
                      <w:bCs w:val="0"/>
                      <w:color w:val="auto"/>
                      <w:kern w:val="0"/>
                      <w:sz w:val="18"/>
                      <w:szCs w:val="18"/>
                      <w:highlight w:val="none"/>
                      <w:lang w:eastAsia="zh-CN"/>
                    </w:rPr>
                    <w:t>年</w:t>
                  </w:r>
                </w:p>
              </w:tc>
              <w:tc>
                <w:tcPr>
                  <w:tcW w:w="623" w:type="dxa"/>
                  <w:tcBorders>
                    <w:tl2br w:val="nil"/>
                    <w:tr2bl w:val="nil"/>
                  </w:tcBorders>
                  <w:shd w:val="clear" w:color="auto" w:fill="auto"/>
                  <w:noWrap w:val="0"/>
                  <w:vAlign w:val="center"/>
                </w:tcPr>
                <w:p w14:paraId="2C26BFF1">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ascii="Times New Roman" w:hAnsi="Times New Roman" w:eastAsia="Times New Roman" w:cs="Times New Roman"/>
                      <w:color w:val="auto"/>
                      <w:spacing w:val="4"/>
                      <w:sz w:val="18"/>
                      <w:szCs w:val="18"/>
                      <w:highlight w:val="none"/>
                    </w:rPr>
                  </w:pPr>
                  <w:r>
                    <w:rPr>
                      <w:b w:val="0"/>
                      <w:bCs w:val="0"/>
                      <w:color w:val="auto"/>
                      <w:kern w:val="0"/>
                      <w:sz w:val="18"/>
                      <w:szCs w:val="18"/>
                      <w:highlight w:val="none"/>
                    </w:rPr>
                    <w:t>T，I</w:t>
                  </w:r>
                </w:p>
              </w:tc>
              <w:tc>
                <w:tcPr>
                  <w:tcW w:w="1155" w:type="dxa"/>
                  <w:vMerge w:val="continue"/>
                  <w:tcBorders>
                    <w:tl2br w:val="nil"/>
                    <w:tr2bl w:val="nil"/>
                  </w:tcBorders>
                  <w:noWrap w:val="0"/>
                  <w:vAlign w:val="center"/>
                </w:tcPr>
                <w:p w14:paraId="30B143D7">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default" w:ascii="Times New Roman" w:hAnsi="Times New Roman" w:eastAsia="宋体" w:cs="Times New Roman"/>
                      <w:b w:val="0"/>
                      <w:bCs w:val="0"/>
                      <w:color w:val="auto"/>
                      <w:sz w:val="18"/>
                      <w:szCs w:val="18"/>
                      <w:highlight w:val="none"/>
                      <w:lang w:bidi="ar"/>
                    </w:rPr>
                  </w:pPr>
                </w:p>
              </w:tc>
            </w:tr>
          </w:tbl>
          <w:p w14:paraId="7FEBF4B6">
            <w:pPr>
              <w:pStyle w:val="65"/>
              <w:keepNext w:val="0"/>
              <w:keepLines w:val="0"/>
              <w:pageBreakBefore w:val="0"/>
              <w:shd w:val="clear"/>
              <w:kinsoku/>
              <w:wordWrap/>
              <w:overflowPunct/>
              <w:topLinePunct w:val="0"/>
              <w:autoSpaceDE/>
              <w:autoSpaceDN/>
              <w:bidi w:val="0"/>
              <w:snapToGrid w:val="0"/>
              <w:spacing w:line="478" w:lineRule="exact"/>
              <w:ind w:firstLine="480" w:firstLineChars="200"/>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备注：</w:t>
            </w:r>
            <w:r>
              <w:rPr>
                <w:rFonts w:hint="default" w:ascii="Times New Roman" w:hAnsi="Times New Roman" w:cs="Times New Roman"/>
                <w:b w:val="0"/>
                <w:bCs w:val="0"/>
                <w:color w:val="auto"/>
                <w:sz w:val="24"/>
                <w:szCs w:val="24"/>
                <w:highlight w:val="none"/>
                <w:lang w:val="en-US" w:eastAsia="zh-CN"/>
              </w:rPr>
              <w:t>液态危险废物分类收集储存，桶装，盖盖，桶置于托盘上；固态危险废物</w:t>
            </w:r>
            <w:r>
              <w:rPr>
                <w:rFonts w:hint="eastAsia" w:cs="Times New Roman"/>
                <w:b w:val="0"/>
                <w:bCs w:val="0"/>
                <w:color w:val="auto"/>
                <w:sz w:val="24"/>
                <w:szCs w:val="24"/>
                <w:highlight w:val="none"/>
                <w:lang w:val="en-US" w:eastAsia="zh-CN"/>
              </w:rPr>
              <w:t>置于专用包装容器内，密封储存，包装容器置于</w:t>
            </w:r>
            <w:r>
              <w:rPr>
                <w:rFonts w:hint="default" w:ascii="Times New Roman" w:hAnsi="Times New Roman" w:cs="Times New Roman"/>
                <w:b w:val="0"/>
                <w:bCs w:val="0"/>
                <w:color w:val="auto"/>
                <w:sz w:val="24"/>
                <w:szCs w:val="24"/>
                <w:highlight w:val="none"/>
                <w:lang w:val="en-US" w:eastAsia="zh-CN"/>
              </w:rPr>
              <w:t>托盘上；</w:t>
            </w:r>
            <w:r>
              <w:rPr>
                <w:rFonts w:hint="eastAsia"/>
                <w:b w:val="0"/>
                <w:bCs w:val="0"/>
                <w:color w:val="auto"/>
                <w:kern w:val="0"/>
                <w:sz w:val="24"/>
                <w:szCs w:val="24"/>
                <w:highlight w:val="none"/>
                <w:lang w:eastAsia="zh-CN"/>
              </w:rPr>
              <w:t>废桶</w:t>
            </w:r>
            <w:r>
              <w:rPr>
                <w:rFonts w:hint="default" w:ascii="Times New Roman" w:hAnsi="Times New Roman" w:cs="Times New Roman"/>
                <w:b w:val="0"/>
                <w:bCs w:val="0"/>
                <w:color w:val="auto"/>
                <w:sz w:val="24"/>
                <w:szCs w:val="24"/>
                <w:highlight w:val="none"/>
                <w:lang w:val="en-US" w:eastAsia="zh-CN"/>
              </w:rPr>
              <w:t>盖盖</w:t>
            </w:r>
            <w:r>
              <w:rPr>
                <w:rFonts w:hint="eastAsia" w:ascii="Times New Roman" w:hAnsi="Times New Roman" w:cs="Times New Roman"/>
                <w:b w:val="0"/>
                <w:bCs w:val="0"/>
                <w:color w:val="auto"/>
                <w:sz w:val="24"/>
                <w:szCs w:val="24"/>
                <w:highlight w:val="none"/>
                <w:lang w:val="en-US" w:eastAsia="zh-CN"/>
              </w:rPr>
              <w:t>储存</w:t>
            </w:r>
            <w:r>
              <w:rPr>
                <w:rFonts w:hint="default" w:ascii="Times New Roman" w:hAnsi="Times New Roman" w:cs="Times New Roman"/>
                <w:b w:val="0"/>
                <w:bCs w:val="0"/>
                <w:color w:val="auto"/>
                <w:sz w:val="24"/>
                <w:szCs w:val="24"/>
                <w:highlight w:val="none"/>
                <w:lang w:val="en-US" w:eastAsia="zh-CN"/>
              </w:rPr>
              <w:t>，置于托盘上。</w:t>
            </w:r>
          </w:p>
          <w:p w14:paraId="73FA23AD">
            <w:pPr>
              <w:pStyle w:val="65"/>
              <w:keepNext w:val="0"/>
              <w:keepLines w:val="0"/>
              <w:pageBreakBefore w:val="0"/>
              <w:shd w:val="clear"/>
              <w:kinsoku/>
              <w:wordWrap/>
              <w:overflowPunct/>
              <w:topLinePunct w:val="0"/>
              <w:autoSpaceDE/>
              <w:autoSpaceDN/>
              <w:bidi w:val="0"/>
              <w:snapToGrid w:val="0"/>
              <w:spacing w:line="478" w:lineRule="exact"/>
              <w:ind w:firstLine="480" w:firstLineChars="200"/>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本次技改完成后，全厂危险废物种类、产生量变化情况如下：</w:t>
            </w:r>
          </w:p>
          <w:p w14:paraId="787026D4">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本次技改后全厂危险废物变化情况（单位：t/a）</w:t>
            </w:r>
          </w:p>
          <w:tbl>
            <w:tblPr>
              <w:tblStyle w:val="33"/>
              <w:tblW w:w="787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94"/>
              <w:gridCol w:w="3143"/>
              <w:gridCol w:w="1411"/>
              <w:gridCol w:w="1516"/>
              <w:gridCol w:w="1313"/>
            </w:tblGrid>
            <w:tr w14:paraId="0E3374D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8" w:hRule="atLeast"/>
                <w:jc w:val="center"/>
              </w:trPr>
              <w:tc>
                <w:tcPr>
                  <w:tcW w:w="494" w:type="dxa"/>
                  <w:vMerge w:val="restart"/>
                  <w:tcBorders>
                    <w:tl2br w:val="nil"/>
                    <w:tr2bl w:val="nil"/>
                  </w:tcBorders>
                  <w:vAlign w:val="center"/>
                </w:tcPr>
                <w:p w14:paraId="4B80CB2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序号</w:t>
                  </w:r>
                </w:p>
              </w:tc>
              <w:tc>
                <w:tcPr>
                  <w:tcW w:w="3143" w:type="dxa"/>
                  <w:vMerge w:val="restart"/>
                  <w:tcBorders>
                    <w:tl2br w:val="nil"/>
                    <w:tr2bl w:val="nil"/>
                  </w:tcBorders>
                  <w:vAlign w:val="center"/>
                </w:tcPr>
                <w:p w14:paraId="7815C0C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名称</w:t>
                  </w:r>
                </w:p>
              </w:tc>
              <w:tc>
                <w:tcPr>
                  <w:tcW w:w="2927" w:type="dxa"/>
                  <w:gridSpan w:val="2"/>
                  <w:tcBorders>
                    <w:tl2br w:val="nil"/>
                    <w:tr2bl w:val="nil"/>
                  </w:tcBorders>
                  <w:vAlign w:val="center"/>
                </w:tcPr>
                <w:p w14:paraId="64E3CB8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产生量</w:t>
                  </w:r>
                </w:p>
              </w:tc>
              <w:tc>
                <w:tcPr>
                  <w:tcW w:w="1313" w:type="dxa"/>
                  <w:vMerge w:val="restart"/>
                  <w:tcBorders>
                    <w:tl2br w:val="nil"/>
                    <w:tr2bl w:val="nil"/>
                  </w:tcBorders>
                  <w:vAlign w:val="center"/>
                </w:tcPr>
                <w:p w14:paraId="2A4A3AD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增减量</w:t>
                  </w:r>
                </w:p>
              </w:tc>
            </w:tr>
            <w:tr w14:paraId="46CCCE2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3" w:hRule="atLeast"/>
                <w:jc w:val="center"/>
              </w:trPr>
              <w:tc>
                <w:tcPr>
                  <w:tcW w:w="494" w:type="dxa"/>
                  <w:vMerge w:val="continue"/>
                  <w:tcBorders>
                    <w:tl2br w:val="nil"/>
                    <w:tr2bl w:val="nil"/>
                  </w:tcBorders>
                  <w:vAlign w:val="center"/>
                </w:tcPr>
                <w:p w14:paraId="67512BD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highlight w:val="none"/>
                      <w:vertAlign w:val="baseline"/>
                      <w:lang w:val="en-US" w:eastAsia="zh-CN"/>
                    </w:rPr>
                  </w:pPr>
                </w:p>
              </w:tc>
              <w:tc>
                <w:tcPr>
                  <w:tcW w:w="3143" w:type="dxa"/>
                  <w:vMerge w:val="continue"/>
                  <w:tcBorders>
                    <w:tl2br w:val="nil"/>
                    <w:tr2bl w:val="nil"/>
                  </w:tcBorders>
                  <w:vAlign w:val="center"/>
                </w:tcPr>
                <w:p w14:paraId="2F73F8C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auto"/>
                      <w:sz w:val="21"/>
                      <w:szCs w:val="21"/>
                      <w:highlight w:val="none"/>
                      <w:vertAlign w:val="baseline"/>
                      <w:lang w:val="en-US" w:eastAsia="zh-CN"/>
                    </w:rPr>
                  </w:pPr>
                </w:p>
              </w:tc>
              <w:tc>
                <w:tcPr>
                  <w:tcW w:w="1411" w:type="dxa"/>
                  <w:tcBorders>
                    <w:tl2br w:val="nil"/>
                    <w:tr2bl w:val="nil"/>
                  </w:tcBorders>
                  <w:shd w:val="clear" w:color="auto" w:fill="auto"/>
                  <w:vAlign w:val="center"/>
                </w:tcPr>
                <w:p w14:paraId="7E86B4F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现有工程</w:t>
                  </w:r>
                </w:p>
              </w:tc>
              <w:tc>
                <w:tcPr>
                  <w:tcW w:w="1516" w:type="dxa"/>
                  <w:tcBorders>
                    <w:tl2br w:val="nil"/>
                    <w:tr2bl w:val="nil"/>
                  </w:tcBorders>
                  <w:shd w:val="clear" w:color="auto" w:fill="auto"/>
                  <w:vAlign w:val="center"/>
                </w:tcPr>
                <w:p w14:paraId="429BC35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本次技改完毕</w:t>
                  </w:r>
                </w:p>
              </w:tc>
              <w:tc>
                <w:tcPr>
                  <w:tcW w:w="1313" w:type="dxa"/>
                  <w:vMerge w:val="continue"/>
                  <w:tcBorders>
                    <w:tl2br w:val="nil"/>
                    <w:tr2bl w:val="nil"/>
                  </w:tcBorders>
                  <w:shd w:val="clear" w:color="auto" w:fill="auto"/>
                  <w:vAlign w:val="center"/>
                </w:tcPr>
                <w:p w14:paraId="04E4E1D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9977CA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3" w:hRule="atLeast"/>
                <w:jc w:val="center"/>
              </w:trPr>
              <w:tc>
                <w:tcPr>
                  <w:tcW w:w="494" w:type="dxa"/>
                  <w:tcBorders>
                    <w:tl2br w:val="nil"/>
                    <w:tr2bl w:val="nil"/>
                  </w:tcBorders>
                  <w:vAlign w:val="center"/>
                </w:tcPr>
                <w:p w14:paraId="3640B8E7">
                  <w:pPr>
                    <w:pStyle w:val="15"/>
                    <w:keepNext w:val="0"/>
                    <w:keepLines w:val="0"/>
                    <w:pageBreakBefore w:val="0"/>
                    <w:widowControl w:val="0"/>
                    <w:numPr>
                      <w:ilvl w:val="0"/>
                      <w:numId w:val="18"/>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3143" w:type="dxa"/>
                  <w:tcBorders>
                    <w:tl2br w:val="nil"/>
                    <w:tr2bl w:val="nil"/>
                  </w:tcBorders>
                  <w:vAlign w:val="center"/>
                </w:tcPr>
                <w:p w14:paraId="030A013F">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s="Times New Roman"/>
                      <w:color w:val="auto"/>
                      <w:kern w:val="0"/>
                      <w:sz w:val="21"/>
                      <w:szCs w:val="21"/>
                      <w:highlight w:val="none"/>
                      <w:lang w:val="en-US" w:eastAsia="zh-CN"/>
                    </w:rPr>
                  </w:pPr>
                  <w:r>
                    <w:rPr>
                      <w:rFonts w:hint="default" w:ascii="Times New Roman" w:hAnsi="Times New Roman" w:eastAsia="宋体" w:cs="Times New Roman"/>
                      <w:b w:val="0"/>
                      <w:bCs w:val="0"/>
                      <w:color w:val="auto"/>
                      <w:w w:val="100"/>
                      <w:kern w:val="2"/>
                      <w:sz w:val="21"/>
                      <w:szCs w:val="21"/>
                      <w:highlight w:val="none"/>
                      <w:vertAlign w:val="baseline"/>
                      <w:lang w:val="en-US" w:eastAsia="zh-CN" w:bidi="ar-SA"/>
                    </w:rPr>
                    <w:t>废润滑油</w:t>
                  </w:r>
                </w:p>
              </w:tc>
              <w:tc>
                <w:tcPr>
                  <w:tcW w:w="1411" w:type="dxa"/>
                  <w:tcBorders>
                    <w:tl2br w:val="nil"/>
                    <w:tr2bl w:val="nil"/>
                  </w:tcBorders>
                  <w:vAlign w:val="center"/>
                </w:tcPr>
                <w:p w14:paraId="5A3F5296">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olor w:val="auto"/>
                      <w:sz w:val="21"/>
                      <w:szCs w:val="21"/>
                      <w:highlight w:val="none"/>
                      <w:vertAlign w:val="baseline"/>
                      <w:lang w:val="en-US" w:eastAsia="zh-CN"/>
                    </w:rPr>
                  </w:pPr>
                  <w:r>
                    <w:rPr>
                      <w:rFonts w:hint="default" w:ascii="Times New Roman" w:hAnsi="Times New Roman" w:eastAsia="宋体" w:cs="Times New Roman"/>
                      <w:b w:val="0"/>
                      <w:bCs w:val="0"/>
                      <w:color w:val="auto"/>
                      <w:w w:val="100"/>
                      <w:kern w:val="2"/>
                      <w:sz w:val="21"/>
                      <w:szCs w:val="21"/>
                      <w:highlight w:val="none"/>
                      <w:vertAlign w:val="baseline"/>
                      <w:lang w:val="en-US" w:eastAsia="zh-CN" w:bidi="ar-SA"/>
                    </w:rPr>
                    <w:t>0.</w:t>
                  </w:r>
                  <w:r>
                    <w:rPr>
                      <w:rFonts w:hint="eastAsia" w:cs="Times New Roman"/>
                      <w:b w:val="0"/>
                      <w:bCs w:val="0"/>
                      <w:color w:val="auto"/>
                      <w:w w:val="100"/>
                      <w:kern w:val="2"/>
                      <w:sz w:val="21"/>
                      <w:szCs w:val="21"/>
                      <w:highlight w:val="none"/>
                      <w:vertAlign w:val="baseline"/>
                      <w:lang w:val="en-US" w:eastAsia="zh-CN" w:bidi="ar-SA"/>
                    </w:rPr>
                    <w:t>3</w:t>
                  </w:r>
                </w:p>
              </w:tc>
              <w:tc>
                <w:tcPr>
                  <w:tcW w:w="1516" w:type="dxa"/>
                  <w:tcBorders>
                    <w:tl2br w:val="nil"/>
                    <w:tr2bl w:val="nil"/>
                  </w:tcBorders>
                  <w:vAlign w:val="center"/>
                </w:tcPr>
                <w:p w14:paraId="1E137DD8">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0.35</w:t>
                  </w:r>
                </w:p>
              </w:tc>
              <w:tc>
                <w:tcPr>
                  <w:tcW w:w="1313" w:type="dxa"/>
                  <w:tcBorders>
                    <w:tl2br w:val="nil"/>
                    <w:tr2bl w:val="nil"/>
                  </w:tcBorders>
                  <w:vAlign w:val="center"/>
                </w:tcPr>
                <w:p w14:paraId="7838359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+0.05</w:t>
                  </w:r>
                </w:p>
              </w:tc>
            </w:tr>
            <w:tr w14:paraId="64908FD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91" w:hRule="atLeast"/>
                <w:jc w:val="center"/>
              </w:trPr>
              <w:tc>
                <w:tcPr>
                  <w:tcW w:w="494" w:type="dxa"/>
                  <w:tcBorders>
                    <w:tl2br w:val="nil"/>
                    <w:tr2bl w:val="nil"/>
                  </w:tcBorders>
                  <w:vAlign w:val="center"/>
                </w:tcPr>
                <w:p w14:paraId="0F355241">
                  <w:pPr>
                    <w:pStyle w:val="15"/>
                    <w:keepNext w:val="0"/>
                    <w:keepLines w:val="0"/>
                    <w:pageBreakBefore w:val="0"/>
                    <w:widowControl w:val="0"/>
                    <w:numPr>
                      <w:ilvl w:val="0"/>
                      <w:numId w:val="18"/>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3143" w:type="dxa"/>
                  <w:tcBorders>
                    <w:tl2br w:val="nil"/>
                    <w:tr2bl w:val="nil"/>
                  </w:tcBorders>
                  <w:vAlign w:val="center"/>
                </w:tcPr>
                <w:p w14:paraId="7236C5D5">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s="Times New Roman"/>
                      <w:color w:val="auto"/>
                      <w:kern w:val="0"/>
                      <w:sz w:val="21"/>
                      <w:szCs w:val="21"/>
                      <w:highlight w:val="none"/>
                      <w:lang w:val="en-US" w:eastAsia="zh-CN"/>
                    </w:rPr>
                  </w:pPr>
                  <w:r>
                    <w:rPr>
                      <w:rFonts w:hint="default" w:ascii="Times New Roman" w:hAnsi="Times New Roman" w:eastAsia="宋体" w:cs="Times New Roman"/>
                      <w:b w:val="0"/>
                      <w:bCs w:val="0"/>
                      <w:color w:val="auto"/>
                      <w:w w:val="100"/>
                      <w:kern w:val="2"/>
                      <w:sz w:val="21"/>
                      <w:szCs w:val="21"/>
                      <w:highlight w:val="none"/>
                      <w:vertAlign w:val="baseline"/>
                      <w:lang w:val="en-US" w:eastAsia="zh-CN" w:bidi="ar-SA"/>
                    </w:rPr>
                    <w:t>废油桶</w:t>
                  </w:r>
                </w:p>
              </w:tc>
              <w:tc>
                <w:tcPr>
                  <w:tcW w:w="1411" w:type="dxa"/>
                  <w:tcBorders>
                    <w:tl2br w:val="nil"/>
                    <w:tr2bl w:val="nil"/>
                  </w:tcBorders>
                  <w:vAlign w:val="center"/>
                </w:tcPr>
                <w:p w14:paraId="329F4014">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color w:val="auto"/>
                      <w:sz w:val="21"/>
                      <w:szCs w:val="21"/>
                      <w:highlight w:val="none"/>
                      <w:vertAlign w:val="baseline"/>
                      <w:lang w:val="en-US" w:eastAsia="zh-CN"/>
                    </w:rPr>
                  </w:pPr>
                  <w:r>
                    <w:rPr>
                      <w:rFonts w:hint="eastAsia" w:cs="Times New Roman"/>
                      <w:b w:val="0"/>
                      <w:bCs w:val="0"/>
                      <w:color w:val="auto"/>
                      <w:w w:val="100"/>
                      <w:kern w:val="2"/>
                      <w:sz w:val="21"/>
                      <w:szCs w:val="21"/>
                      <w:highlight w:val="none"/>
                      <w:vertAlign w:val="baseline"/>
                      <w:lang w:val="en-US" w:eastAsia="zh-CN" w:bidi="ar-SA"/>
                    </w:rPr>
                    <w:t>0.02</w:t>
                  </w:r>
                </w:p>
              </w:tc>
              <w:tc>
                <w:tcPr>
                  <w:tcW w:w="1516" w:type="dxa"/>
                  <w:tcBorders>
                    <w:tl2br w:val="nil"/>
                    <w:tr2bl w:val="nil"/>
                  </w:tcBorders>
                  <w:vAlign w:val="center"/>
                </w:tcPr>
                <w:p w14:paraId="32AB3AE0">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0.04</w:t>
                  </w:r>
                </w:p>
              </w:tc>
              <w:tc>
                <w:tcPr>
                  <w:tcW w:w="1313" w:type="dxa"/>
                  <w:tcBorders>
                    <w:tl2br w:val="nil"/>
                    <w:tr2bl w:val="nil"/>
                  </w:tcBorders>
                  <w:vAlign w:val="center"/>
                </w:tcPr>
                <w:p w14:paraId="4FA7005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+0.02</w:t>
                  </w:r>
                </w:p>
              </w:tc>
            </w:tr>
          </w:tbl>
          <w:p w14:paraId="2A7E97F0">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2"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4.</w:t>
            </w: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危险废物</w:t>
            </w:r>
            <w:r>
              <w:rPr>
                <w:rFonts w:hint="eastAsia" w:ascii="Times New Roman" w:hAnsi="Times New Roman" w:eastAsia="宋体" w:cs="Times New Roman"/>
                <w:b/>
                <w:bCs/>
                <w:color w:val="auto"/>
                <w:sz w:val="24"/>
                <w:szCs w:val="24"/>
                <w:highlight w:val="none"/>
                <w:lang w:val="en-US" w:eastAsia="zh-CN"/>
              </w:rPr>
              <w:t>的</w:t>
            </w:r>
            <w:r>
              <w:rPr>
                <w:rFonts w:hint="default" w:ascii="Times New Roman" w:hAnsi="Times New Roman" w:eastAsia="宋体" w:cs="Times New Roman"/>
                <w:b/>
                <w:bCs/>
                <w:color w:val="auto"/>
                <w:sz w:val="24"/>
                <w:szCs w:val="24"/>
                <w:highlight w:val="none"/>
              </w:rPr>
              <w:t>环境管理要求</w:t>
            </w:r>
          </w:p>
          <w:p w14:paraId="51C9EF10">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bCs w:val="0"/>
                <w:i w:val="0"/>
                <w:color w:val="auto"/>
                <w:kern w:val="0"/>
                <w:sz w:val="24"/>
                <w:szCs w:val="24"/>
                <w:highlight w:val="none"/>
                <w:shd w:val="clear" w:color="auto" w:fill="auto"/>
                <w:lang w:val="en-US" w:eastAsia="zh-CN" w:bidi="ar"/>
              </w:rPr>
            </w:pPr>
            <w:r>
              <w:rPr>
                <w:rFonts w:hint="eastAsia" w:cs="Times New Roman"/>
                <w:b w:val="0"/>
                <w:bCs w:val="0"/>
                <w:i w:val="0"/>
                <w:color w:val="auto"/>
                <w:kern w:val="0"/>
                <w:sz w:val="24"/>
                <w:szCs w:val="24"/>
                <w:highlight w:val="none"/>
                <w:shd w:val="clear" w:color="auto" w:fill="auto"/>
                <w:lang w:val="en-US" w:eastAsia="zh-CN" w:bidi="ar"/>
              </w:rPr>
              <w:t>⑴</w:t>
            </w:r>
            <w:r>
              <w:rPr>
                <w:rFonts w:hint="default" w:ascii="Times New Roman" w:hAnsi="Times New Roman" w:eastAsia="宋体" w:cs="Times New Roman"/>
                <w:b w:val="0"/>
                <w:bCs w:val="0"/>
                <w:color w:val="auto"/>
                <w:sz w:val="24"/>
                <w:szCs w:val="24"/>
                <w:highlight w:val="none"/>
              </w:rPr>
              <w:t>危险废物</w:t>
            </w:r>
            <w:r>
              <w:rPr>
                <w:rFonts w:hint="eastAsia" w:ascii="Times New Roman" w:hAnsi="Times New Roman" w:eastAsia="宋体" w:cs="Times New Roman"/>
                <w:b w:val="0"/>
                <w:bCs w:val="0"/>
                <w:color w:val="auto"/>
                <w:sz w:val="24"/>
                <w:szCs w:val="24"/>
                <w:highlight w:val="none"/>
                <w:lang w:val="en-US" w:eastAsia="zh-CN"/>
              </w:rPr>
              <w:t>收集的</w:t>
            </w:r>
            <w:r>
              <w:rPr>
                <w:rFonts w:hint="default" w:ascii="Times New Roman" w:hAnsi="Times New Roman" w:eastAsia="宋体" w:cs="Times New Roman"/>
                <w:b w:val="0"/>
                <w:bCs w:val="0"/>
                <w:color w:val="auto"/>
                <w:sz w:val="24"/>
                <w:szCs w:val="24"/>
                <w:highlight w:val="none"/>
              </w:rPr>
              <w:t>环境管理要求</w:t>
            </w:r>
          </w:p>
          <w:p w14:paraId="4185AD34">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本项目危险废物的收集包括两个方面，一是在危险废物产生节点将危险废物集中到适当的包装容器中或运输车辆上的活动；二是将已包装或装到运输车辆上的危险废物集中到危险废物产生单位内部临时贮存设施的内部转运。本项目液态危险废物收集时如果操作不当，有可能撒漏到厂区地面或车间地面造成对土壤、地下水的不利影响。依据《危险废物收集、贮存、运输技术规范》（HJ2025-2012），本项目应采取以下措施：</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1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①</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危险废物的收集应根据危险废物产生的工艺特征、排放周期、危险废物特性、废物管理计划等因素制定收集计划。</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2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②</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危险废物的收集应制定详细的操作规程，内容至少应包括适用范围、操作程序和方法、专用设备和工具、转移和交接、安全保障和应急防护等。</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3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③</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危险废物收集和转运作业人员应根据工作需要配备必要的个人防护装备，如手套、防护镜、防护服、防毒面具或口罩等。</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4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④</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危险废物收集时应根据危险废物的种类、数量、危险特性、物理形态、运输要求等因素确定包装形式。</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5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⑤</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应根据收集设备、转运车辆以及现场人员等实际情况确定相应作业区域，同时要设置作业界限标志和警示牌。</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6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⑥</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危险废物内部转运作业应满足如下要求：</w:t>
            </w:r>
          </w:p>
          <w:p w14:paraId="21744200">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a.危险废物内部转运应综合考虑厂区的实际情况确定转运路线，尽量避开办公区和生活区。</w:t>
            </w:r>
          </w:p>
          <w:p w14:paraId="1922737F">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b.危险废物内部转运作业应采用专用的工具，危险废物内部转运应参照《危险废物收集、贮存、运输技术规范》（HJ2025-2012）做好危险废物厂内转运记录。</w:t>
            </w:r>
          </w:p>
          <w:p w14:paraId="15CE595F">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c.危险废物内部转运结束后，应对转运路线进行检查和清理，确保无危险废物遗失在转运路线上等。</w:t>
            </w:r>
          </w:p>
          <w:p w14:paraId="29CAFFF9">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cs="Times New Roman"/>
                <w:b w:val="0"/>
                <w:bCs w:val="0"/>
                <w:color w:val="auto"/>
                <w:sz w:val="24"/>
                <w:szCs w:val="24"/>
                <w:highlight w:val="none"/>
                <w:lang w:eastAsia="zh-CN"/>
              </w:rPr>
              <w:t>⑵</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贮存设施选址要求</w:t>
            </w:r>
          </w:p>
          <w:p w14:paraId="47707491">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①</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贮存设施选址应满足生态环境保护法律法规、规划和“三线一单”生态环境分区管控的要求，建设项目应依法进行环境影响评价。</w:t>
            </w:r>
          </w:p>
          <w:p w14:paraId="7B9FFB1B">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集中贮存设施不应选在生态保护红线区域、永久基本农田和其他需要特别保护的区域内，不应建在溶洞区或易遭受洪水、滑坡、泥石流、潮汐等严重自然灾害影响的地区。</w:t>
            </w:r>
          </w:p>
          <w:p w14:paraId="322F4EAF">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③</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贮存设施不应选在江河、湖泊、运河、渠道、水库及其最高水位线以下的滩地和岸坡，以及法律法规规定禁止贮存危险废物的其他地点。</w:t>
            </w:r>
          </w:p>
          <w:p w14:paraId="74F118DD">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④</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贮存设施场址的位置以及其与周围环境敏感目标的距离应依据环境影响评价文件确定。</w:t>
            </w:r>
          </w:p>
          <w:p w14:paraId="0FC3245B">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0" w:firstLineChars="200"/>
              <w:jc w:val="both"/>
              <w:textAlignment w:val="auto"/>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企业</w:t>
            </w:r>
            <w:r>
              <w:rPr>
                <w:rFonts w:hint="eastAsia" w:cs="Times New Roman"/>
                <w:b w:val="0"/>
                <w:i w:val="0"/>
                <w:color w:val="auto"/>
                <w:kern w:val="0"/>
                <w:sz w:val="24"/>
                <w:szCs w:val="24"/>
                <w:highlight w:val="none"/>
                <w:shd w:val="clear" w:color="auto" w:fill="auto"/>
                <w:lang w:val="en-US" w:eastAsia="zh-CN" w:bidi="ar"/>
              </w:rPr>
              <w:t>现有工程危险废物暂存间</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选址满足</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生态环境保护法律法规、规划和“三线一单”生态环境分区管控的要求</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，依法进行</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环境影响评价</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；企业</w:t>
            </w:r>
            <w:r>
              <w:rPr>
                <w:rFonts w:hint="eastAsia" w:cs="Times New Roman"/>
                <w:b w:val="0"/>
                <w:i w:val="0"/>
                <w:color w:val="auto"/>
                <w:kern w:val="0"/>
                <w:sz w:val="24"/>
                <w:szCs w:val="24"/>
                <w:highlight w:val="none"/>
                <w:shd w:val="clear" w:color="auto" w:fill="auto"/>
                <w:lang w:val="en-US" w:eastAsia="zh-CN" w:bidi="ar"/>
              </w:rPr>
              <w:t>危险废物暂存间</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占地为工业用地，不</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在生态保护红线区域、永久基本农田和其他需要特别保护的区域内</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，不在</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溶洞区或易遭受洪水、滑坡、泥石流、潮汐等严重自然灾害影响的地区</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，不</w:t>
            </w:r>
            <w:r>
              <w:rPr>
                <w:rFonts w:hint="eastAsia" w:cs="Times New Roman"/>
                <w:b w:val="0"/>
                <w:i w:val="0"/>
                <w:color w:val="auto"/>
                <w:kern w:val="0"/>
                <w:sz w:val="24"/>
                <w:szCs w:val="24"/>
                <w:highlight w:val="none"/>
                <w:shd w:val="clear" w:color="auto" w:fill="auto"/>
                <w:lang w:val="en-US" w:eastAsia="zh-CN" w:bidi="ar"/>
              </w:rPr>
              <w:t>在</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江河、湖泊、运河、渠道、水库及其最高水位线以下的滩地和岸坡，以及法律法规规定禁止贮存危险废物的其他地点</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，符合贮存设施选址要求。</w:t>
            </w:r>
          </w:p>
          <w:p w14:paraId="23749EF1">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eastAsia="zh-CN"/>
              </w:rPr>
              <w:t>⑶</w:t>
            </w:r>
            <w:r>
              <w:rPr>
                <w:rFonts w:hint="default" w:ascii="Times New Roman" w:hAnsi="Times New Roman" w:eastAsia="宋体" w:cs="Times New Roman"/>
                <w:b w:val="0"/>
                <w:bCs w:val="0"/>
                <w:color w:val="auto"/>
                <w:sz w:val="24"/>
                <w:szCs w:val="24"/>
                <w:highlight w:val="none"/>
              </w:rPr>
              <w:t>危险废物</w:t>
            </w:r>
            <w:r>
              <w:rPr>
                <w:rFonts w:hint="eastAsia" w:ascii="Times New Roman" w:hAnsi="Times New Roman" w:eastAsia="宋体" w:cs="Times New Roman"/>
                <w:b w:val="0"/>
                <w:bCs w:val="0"/>
                <w:color w:val="auto"/>
                <w:sz w:val="24"/>
                <w:szCs w:val="24"/>
                <w:highlight w:val="none"/>
                <w:lang w:val="en-US" w:eastAsia="zh-CN"/>
              </w:rPr>
              <w:t>贮存的</w:t>
            </w:r>
            <w:r>
              <w:rPr>
                <w:rFonts w:hint="default" w:ascii="Times New Roman" w:hAnsi="Times New Roman" w:eastAsia="宋体" w:cs="Times New Roman"/>
                <w:b w:val="0"/>
                <w:bCs w:val="0"/>
                <w:color w:val="auto"/>
                <w:sz w:val="24"/>
                <w:szCs w:val="24"/>
                <w:highlight w:val="none"/>
              </w:rPr>
              <w:t>环境管理要求</w:t>
            </w:r>
          </w:p>
          <w:p w14:paraId="5C823833">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危险废物贮存设施按照《危险废物收集、贮存、运输技术规范》（HJ2025-2012）、《危险废物贮存污染控制标准》（GB18597</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2023）以及相关国家及地方法律法规的要求进行</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建设</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，主要包括：</w:t>
            </w:r>
          </w:p>
          <w:p w14:paraId="02A2507B">
            <w:pPr>
              <w:keepNext w:val="0"/>
              <w:keepLines w:val="0"/>
              <w:pageBreakBefore w:val="0"/>
              <w:widowControl/>
              <w:numPr>
                <w:ilvl w:val="0"/>
                <w:numId w:val="19"/>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一般要求：</w:t>
            </w:r>
          </w:p>
          <w:p w14:paraId="045F24F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begin"/>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instrText xml:space="preserve"> = 1 \* GB3 \* MERGEFORMAT </w:instrTex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separate"/>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①</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fldChar w:fldCharType="end"/>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根据危险废物的形态、物理化学性质、包装形式和污染物迁移途径，采取必要的防风、防晒、防雨、防漏、防渗、防腐以及其他环境污染防治措施，不应露天堆放危险废物。</w:t>
            </w:r>
          </w:p>
          <w:p w14:paraId="31AE1C3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根据危险废物的类别、数量、形态、物理化学性质和污染防治等要求设置必要的贮存分区，避免不相容的危险废物接触、混合。</w:t>
            </w:r>
          </w:p>
          <w:p w14:paraId="5747DCF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③</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贮存设施或贮存分区内地面、墙面裙脚、堵截泄漏的围堰、接触危险废物的隔板和墙体等</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采用坚固的材料建造，表面无裂缝。</w:t>
            </w:r>
          </w:p>
          <w:p w14:paraId="42E28750">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④</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贮存设施地面与裙脚</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采取表面防渗措施；表面防渗材料应与所接触的物料或污染物相容，可采用抗渗混凝土、高密度聚乙烯膜、钠基膨润土防水毯或其他防渗性能等效的材料。贮存的危险废物直接接触地面的，还</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进行基础防渗，防渗层为至少1m厚黏土层（渗透系数不大于10</w:t>
            </w:r>
            <w:r>
              <w:rPr>
                <w:rFonts w:hint="default" w:ascii="Times New Roman" w:hAnsi="Times New Roman" w:eastAsia="宋体" w:cs="Times New Roman"/>
                <w:b w:val="0"/>
                <w:i w:val="0"/>
                <w:color w:val="auto"/>
                <w:kern w:val="0"/>
                <w:sz w:val="24"/>
                <w:szCs w:val="24"/>
                <w:highlight w:val="none"/>
                <w:shd w:val="clear" w:color="auto" w:fill="auto"/>
                <w:vertAlign w:val="superscript"/>
                <w:lang w:val="en-US" w:eastAsia="zh-CN" w:bidi="ar"/>
              </w:rPr>
              <w:t>-7</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cm/s），或至少2mm厚高密度聚乙烯膜等人工防渗材料（渗透系数不大于10</w:t>
            </w:r>
            <w:r>
              <w:rPr>
                <w:rFonts w:hint="default" w:ascii="Times New Roman" w:hAnsi="Times New Roman" w:eastAsia="宋体" w:cs="Times New Roman"/>
                <w:b w:val="0"/>
                <w:i w:val="0"/>
                <w:color w:val="auto"/>
                <w:kern w:val="0"/>
                <w:sz w:val="24"/>
                <w:szCs w:val="24"/>
                <w:highlight w:val="none"/>
                <w:shd w:val="clear" w:color="auto" w:fill="auto"/>
                <w:vertAlign w:val="superscript"/>
                <w:lang w:val="en-US" w:eastAsia="zh-CN" w:bidi="ar"/>
              </w:rPr>
              <w:t>-10</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cm/s），或其他防渗性能等效的材料。</w:t>
            </w:r>
          </w:p>
          <w:p w14:paraId="1C70262E">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⑤</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同一贮存设施宜采用相同的防渗、防腐工艺</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包括防渗、防腐结构或材料</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，防渗、防腐材料</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覆盖所有可能与废物及其渗滤液、渗漏液等接触的构筑物表面</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采用不同防渗、防腐工艺</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分别建设贮存分区。</w:t>
            </w:r>
          </w:p>
          <w:p w14:paraId="691AACF5">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⑥</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采取技术和管理措施防止无关人员进入。</w:t>
            </w:r>
          </w:p>
          <w:p w14:paraId="1F9CA684">
            <w:pPr>
              <w:keepNext w:val="0"/>
              <w:keepLines w:val="0"/>
              <w:pageBreakBefore w:val="0"/>
              <w:widowControl/>
              <w:shd w:val="clear"/>
              <w:kinsoku/>
              <w:wordWrap/>
              <w:overflowPunct/>
              <w:topLinePunct w:val="0"/>
              <w:autoSpaceDE/>
              <w:autoSpaceDN/>
              <w:bidi w:val="0"/>
              <w:adjustRightInd/>
              <w:spacing w:line="478" w:lineRule="exact"/>
              <w:ind w:firstLine="480" w:firstLineChars="200"/>
              <w:textAlignment w:val="auto"/>
              <w:rPr>
                <w:rFonts w:hint="default" w:ascii="Times New Roman" w:hAnsi="Times New Roman" w:eastAsia="宋体" w:cs="Times New Roman"/>
                <w:color w:val="auto"/>
                <w:sz w:val="24"/>
                <w:szCs w:val="24"/>
                <w:highlight w:val="none"/>
                <w:lang w:bidi="ar"/>
              </w:rPr>
            </w:pPr>
            <w:r>
              <w:rPr>
                <w:rFonts w:hint="default" w:ascii="Times New Roman" w:hAnsi="Times New Roman" w:cs="Times New Roman"/>
                <w:color w:val="auto"/>
                <w:kern w:val="0"/>
                <w:sz w:val="24"/>
                <w:szCs w:val="24"/>
                <w:highlight w:val="none"/>
                <w:lang w:eastAsia="zh-CN" w:bidi="ar"/>
              </w:rPr>
              <w:t>企业现有</w:t>
            </w:r>
            <w:r>
              <w:rPr>
                <w:rFonts w:hint="default" w:ascii="Times New Roman" w:hAnsi="Times New Roman" w:cs="Times New Roman"/>
                <w:color w:val="auto"/>
                <w:kern w:val="0"/>
                <w:sz w:val="24"/>
                <w:szCs w:val="24"/>
                <w:highlight w:val="none"/>
                <w:lang w:bidi="ar"/>
              </w:rPr>
              <w:t>危险废物暂存间</w:t>
            </w:r>
            <w:r>
              <w:rPr>
                <w:rFonts w:hint="default" w:ascii="Times New Roman" w:hAnsi="Times New Roman" w:cs="Times New Roman"/>
                <w:color w:val="auto"/>
                <w:sz w:val="24"/>
                <w:szCs w:val="24"/>
                <w:highlight w:val="none"/>
              </w:rPr>
              <w:t>采用防渗措施如下：</w:t>
            </w:r>
            <w:r>
              <w:rPr>
                <w:rFonts w:hint="default" w:ascii="Times New Roman" w:hAnsi="Times New Roman" w:eastAsia="宋体" w:cs="Times New Roman"/>
                <w:b w:val="0"/>
                <w:bCs w:val="0"/>
                <w:color w:val="auto"/>
                <w:w w:val="100"/>
                <w:kern w:val="2"/>
                <w:sz w:val="24"/>
                <w:szCs w:val="24"/>
                <w:highlight w:val="none"/>
                <w:lang w:val="en-US" w:eastAsia="zh-CN" w:bidi="ar-SA"/>
              </w:rPr>
              <w:t>底层采用防渗混凝土，表层采用玻璃钢防渗层，渗透系数≤1</w:t>
            </w:r>
            <w:r>
              <w:rPr>
                <w:rFonts w:hint="default" w:ascii="Times New Roman" w:hAnsi="Times New Roman" w:cs="Times New Roman"/>
                <w:b w:val="0"/>
                <w:bCs w:val="0"/>
                <w:color w:val="auto"/>
                <w:w w:val="100"/>
                <w:kern w:val="2"/>
                <w:sz w:val="24"/>
                <w:szCs w:val="24"/>
                <w:highlight w:val="none"/>
                <w:lang w:val="en-US" w:eastAsia="zh-CN" w:bidi="ar-SA"/>
              </w:rPr>
              <w:t>×</w:t>
            </w:r>
            <w:r>
              <w:rPr>
                <w:rFonts w:hint="default" w:ascii="Times New Roman" w:hAnsi="Times New Roman" w:eastAsia="宋体" w:cs="Times New Roman"/>
                <w:b w:val="0"/>
                <w:bCs w:val="0"/>
                <w:color w:val="auto"/>
                <w:w w:val="100"/>
                <w:kern w:val="2"/>
                <w:sz w:val="24"/>
                <w:szCs w:val="24"/>
                <w:highlight w:val="none"/>
                <w:lang w:val="en-US" w:eastAsia="zh-CN" w:bidi="ar-SA"/>
              </w:rPr>
              <w:t>10</w:t>
            </w:r>
            <w:r>
              <w:rPr>
                <w:rFonts w:hint="default" w:ascii="Times New Roman" w:hAnsi="Times New Roman" w:cs="Times New Roman"/>
                <w:b w:val="0"/>
                <w:bCs w:val="0"/>
                <w:color w:val="auto"/>
                <w:w w:val="100"/>
                <w:kern w:val="2"/>
                <w:sz w:val="24"/>
                <w:szCs w:val="24"/>
                <w:highlight w:val="none"/>
                <w:vertAlign w:val="superscript"/>
                <w:lang w:val="en-US" w:eastAsia="zh-CN" w:bidi="ar-SA"/>
              </w:rPr>
              <w:t>-</w:t>
            </w:r>
            <w:r>
              <w:rPr>
                <w:rFonts w:hint="default" w:ascii="Times New Roman" w:hAnsi="Times New Roman" w:eastAsia="宋体" w:cs="Times New Roman"/>
                <w:b w:val="0"/>
                <w:bCs w:val="0"/>
                <w:color w:val="auto"/>
                <w:w w:val="100"/>
                <w:kern w:val="2"/>
                <w:sz w:val="24"/>
                <w:szCs w:val="24"/>
                <w:highlight w:val="none"/>
                <w:vertAlign w:val="superscript"/>
                <w:lang w:val="en-US" w:eastAsia="zh-CN" w:bidi="ar-SA"/>
              </w:rPr>
              <w:t>10</w:t>
            </w:r>
            <w:r>
              <w:rPr>
                <w:rFonts w:hint="default" w:ascii="Times New Roman" w:hAnsi="Times New Roman" w:eastAsia="宋体" w:cs="Times New Roman"/>
                <w:b w:val="0"/>
                <w:bCs w:val="0"/>
                <w:color w:val="auto"/>
                <w:w w:val="100"/>
                <w:kern w:val="2"/>
                <w:sz w:val="24"/>
                <w:szCs w:val="24"/>
                <w:highlight w:val="none"/>
                <w:lang w:val="en-US" w:eastAsia="zh-CN" w:bidi="ar-SA"/>
              </w:rPr>
              <w:t>cm/s</w:t>
            </w:r>
            <w:r>
              <w:rPr>
                <w:rFonts w:hint="default" w:ascii="Times New Roman" w:hAnsi="Times New Roman" w:cs="Times New Roman"/>
                <w:b w:val="0"/>
                <w:bCs w:val="0"/>
                <w:color w:val="auto"/>
                <w:w w:val="100"/>
                <w:kern w:val="2"/>
                <w:sz w:val="24"/>
                <w:szCs w:val="24"/>
                <w:highlight w:val="none"/>
                <w:lang w:val="en-US" w:eastAsia="zh-CN" w:bidi="ar-SA"/>
              </w:rPr>
              <w:t>；</w:t>
            </w:r>
            <w:r>
              <w:rPr>
                <w:rFonts w:hint="default" w:ascii="Times New Roman" w:hAnsi="Times New Roman" w:eastAsia="宋体" w:cs="Times New Roman"/>
                <w:b w:val="0"/>
                <w:bCs w:val="0"/>
                <w:color w:val="auto"/>
                <w:w w:val="100"/>
                <w:kern w:val="2"/>
                <w:sz w:val="24"/>
                <w:szCs w:val="24"/>
                <w:highlight w:val="none"/>
                <w:lang w:val="en-US" w:eastAsia="zh-CN" w:bidi="ar-SA"/>
              </w:rPr>
              <w:t>地面与裙角</w:t>
            </w:r>
            <w:r>
              <w:rPr>
                <w:rFonts w:hint="default" w:ascii="Times New Roman" w:hAnsi="Times New Roman" w:cs="Times New Roman"/>
                <w:b w:val="0"/>
                <w:bCs w:val="0"/>
                <w:color w:val="auto"/>
                <w:w w:val="100"/>
                <w:kern w:val="2"/>
                <w:sz w:val="24"/>
                <w:szCs w:val="24"/>
                <w:highlight w:val="none"/>
                <w:lang w:val="en-US" w:eastAsia="zh-CN" w:bidi="ar-SA"/>
              </w:rPr>
              <w:t>采用</w:t>
            </w:r>
            <w:r>
              <w:rPr>
                <w:rFonts w:hint="default" w:ascii="Times New Roman" w:hAnsi="Times New Roman" w:eastAsia="宋体" w:cs="Times New Roman"/>
                <w:b w:val="0"/>
                <w:bCs w:val="0"/>
                <w:color w:val="auto"/>
                <w:w w:val="100"/>
                <w:kern w:val="2"/>
                <w:sz w:val="24"/>
                <w:szCs w:val="24"/>
                <w:highlight w:val="none"/>
                <w:lang w:val="en-US" w:eastAsia="zh-CN" w:bidi="ar-SA"/>
              </w:rPr>
              <w:t>坚固、防渗的材料建造，建筑材料与危险废物相容</w:t>
            </w:r>
            <w:r>
              <w:rPr>
                <w:rFonts w:hint="default" w:ascii="Times New Roman" w:hAnsi="Times New Roman" w:cs="Times New Roman"/>
                <w:bCs/>
                <w:color w:val="auto"/>
                <w:kern w:val="0"/>
                <w:sz w:val="24"/>
                <w:szCs w:val="24"/>
                <w:highlight w:val="none"/>
                <w:lang w:eastAsia="zh-CN"/>
              </w:rPr>
              <w:t>，满足防渗要求</w:t>
            </w:r>
            <w:r>
              <w:rPr>
                <w:rFonts w:hint="default" w:ascii="Times New Roman" w:hAnsi="Times New Roman" w:eastAsia="宋体" w:cs="Times New Roman"/>
                <w:color w:val="auto"/>
                <w:sz w:val="24"/>
                <w:szCs w:val="24"/>
                <w:highlight w:val="none"/>
                <w:lang w:bidi="ar"/>
              </w:rPr>
              <w:t>。</w:t>
            </w:r>
          </w:p>
          <w:p w14:paraId="7D78A4E3">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B、危险废物贮存库房要求</w:t>
            </w:r>
          </w:p>
          <w:p w14:paraId="551F1796">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①</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贮存库内不同贮存分区之间</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采取隔离措施。隔离措施可根据危险废物特性采用过道、隔板或隔墙等方式。</w:t>
            </w:r>
          </w:p>
          <w:p w14:paraId="4A170CF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在贮存库内或通过贮存分区方式贮存液态危险废物的，需具有液体泄漏堵截设施，堵截设施最小容积不应低于对应贮存区域最大液态废物容器容积或液态废物总储量1/10（二者取较大者）；用于贮存可能产生渗滤液的危险废物的贮存库或贮存分区需设计渗滤液收集设施，收集设施容积应满足渗滤液的收集要求。</w:t>
            </w:r>
          </w:p>
          <w:p w14:paraId="3943AD55">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③</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贮存易产生粉尘、VOCs、酸雾、有毒有害大气污染物和刺激性气味气体的危险废物贮存库，</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设置气体收集装置和气体净化设施</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气体净化设施的排气筒高度</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符合GB16297要求。</w:t>
            </w:r>
          </w:p>
          <w:p w14:paraId="78D69F36">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本项目建成后，危险废物暂存间内不同贮存分区之间采用钢制托盘隔离，并且，钢制托盘容积不低于对应贮存区域最大液态废物容器容积。</w:t>
            </w:r>
          </w:p>
          <w:p w14:paraId="238E7ED8">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C、容器和包装物污染控制要求</w:t>
            </w:r>
          </w:p>
          <w:p w14:paraId="1D6A2AB4">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①容器和包装物材质、内衬需与盛装的危险废物相容。</w:t>
            </w:r>
          </w:p>
          <w:p w14:paraId="34EE2EC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②针对不同类别、形态、物理化学性质的危险废物，其容器和包装物需满足相应的防渗、防漏、防腐和强度等要求。</w:t>
            </w:r>
          </w:p>
          <w:p w14:paraId="0A6DE808">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③硬质容器和包装物及其支护结构堆叠码放时不应有明显变形，无破损泄漏。</w:t>
            </w:r>
          </w:p>
          <w:p w14:paraId="7B7F8969">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④柔性容器和包装物堆叠码放时需封口严密，无破损泄漏。</w:t>
            </w:r>
          </w:p>
          <w:p w14:paraId="35B07D08">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⑤使用容器盛装液态、半固态危险废物时，容器内部需留有适当的空间，以适应因温度变化等可能引发的收缩和膨胀，防止其导致容器渗漏或永久变形。</w:t>
            </w:r>
          </w:p>
          <w:p w14:paraId="325376B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⑥容器和包装物外表面需保持清洁。</w:t>
            </w:r>
          </w:p>
          <w:p w14:paraId="2E7968B5">
            <w:pPr>
              <w:keepNext w:val="0"/>
              <w:keepLines w:val="0"/>
              <w:pageBreakBefore w:val="0"/>
              <w:widowControl/>
              <w:shd w:val="clear"/>
              <w:kinsoku/>
              <w:wordWrap/>
              <w:overflowPunct/>
              <w:topLinePunct w:val="0"/>
              <w:autoSpaceDE/>
              <w:autoSpaceDN/>
              <w:bidi w:val="0"/>
              <w:adjustRightInd/>
              <w:snapToGrid/>
              <w:spacing w:line="478" w:lineRule="exact"/>
              <w:ind w:firstLine="480" w:firstLineChars="200"/>
              <w:textAlignment w:val="auto"/>
              <w:rPr>
                <w:color w:val="auto"/>
                <w:kern w:val="0"/>
                <w:szCs w:val="24"/>
                <w:highlight w:val="none"/>
                <w:lang w:bidi="ar"/>
              </w:rPr>
            </w:pPr>
            <w:r>
              <w:rPr>
                <w:rFonts w:hint="eastAsia"/>
                <w:color w:val="auto"/>
                <w:kern w:val="0"/>
                <w:szCs w:val="24"/>
                <w:highlight w:val="none"/>
                <w:lang w:bidi="ar"/>
              </w:rPr>
              <w:t>本项目采用的容器和包装物材质、内衬与盛装的危险废物相容；容器和包装物满足相应的防渗、防漏、防腐和强度；硬质容器和包装物及其支护结构堆叠码放时无明显变形，无破损泄漏；柔性容器和包装物堆叠码放时封口严密，无破损泄漏；使用容器盛装液态、半固态危险废物时，容器内部留有适当的空间，以适应因温度变化等可能引发的收缩和膨胀，防止其导致容器渗漏或永久变形。</w:t>
            </w:r>
          </w:p>
          <w:p w14:paraId="124DC81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D、贮存过程污染控制要求</w:t>
            </w:r>
          </w:p>
          <w:p w14:paraId="07EFB7D0">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①</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在常温常压下不易水解、不易挥发的固态危险废物可分类堆放贮存，其他固态危险废物应装</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入</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容器或包装物内贮存。液态危险废物</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装入容器内贮存。半固态危险废物</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装入容器或包装袋内贮存。易产生粉尘、VOCs、酸雾、有毒有害大气污染物和刺激性气味气体的危险废物</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装入闭口容器或包装物内贮存。危险废物贮存过程中易产生粉尘等无组织排放的，</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采取抑尘等有效措施。</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本项目</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危险废物贮存过程中</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不</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产生粉尘</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p>
          <w:p w14:paraId="4486B524">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危险废物存入贮存设施前需对危险废物类别和特性与危险废物标签等危险废物识别标志的一致性进行核验，不一致的或类别、特性不明的不应存入。需定期检查危险废物的贮存状况，及时清理贮存设施地面，更换破损泄漏的危险废物贮存容器和包装物，保证堆存危险废物的防雨、防风、防扬尘等设施功能完好。贮存设施运行期间，需按国家有关标准和规定建立危险废物管理台账并保存。贮存设施所有者或运营者需建立贮存设施环境管理制度、管理人员岗位职责制度、设施运行操作制度、人员岗位培训制度等。</w:t>
            </w:r>
          </w:p>
          <w:p w14:paraId="1FFB01D0">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③</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贮存点</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具有固定的区域边界，并采取与其他区域进行隔离的措施。贮存点</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采取防风、防雨、防晒和防止危险废物流失、扬散等措施。贮存点贮存的危险废物</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置于容器或包装物中，不应直接散堆。贮存点</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及时清运贮存的危险废物，实时贮存量不应超过3吨。</w:t>
            </w:r>
          </w:p>
          <w:p w14:paraId="0654CF29">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E、环境应急要求</w:t>
            </w:r>
          </w:p>
          <w:p w14:paraId="652B491D">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①</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贮存设施所有者或运营者</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按照国家有关规定编制突发环境事件应急预案，定期开展必要的培训和环境应急演练，并做好培训、演练记录。</w:t>
            </w:r>
          </w:p>
          <w:p w14:paraId="24DA0EA1">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贮存设施所有者或运营者</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需</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配备满足其突发环境事件应急要求的应急人员、装备和物资，并应设置应急照明系统</w:t>
            </w:r>
            <w:r>
              <w:rPr>
                <w:rFonts w:hint="default" w:ascii="Times New Roman" w:hAnsi="Times New Roman" w:eastAsia="宋体" w:cs="Times New Roman"/>
                <w:color w:val="auto"/>
                <w:sz w:val="24"/>
                <w:szCs w:val="21"/>
                <w:highlight w:val="none"/>
                <w:lang w:bidi="ar"/>
              </w:rPr>
              <w:t>。</w:t>
            </w:r>
          </w:p>
          <w:p w14:paraId="44247D6A">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eastAsia="zh-CN"/>
              </w:rPr>
              <w:t>⑶</w:t>
            </w:r>
            <w:r>
              <w:rPr>
                <w:rFonts w:hint="default" w:ascii="Times New Roman" w:hAnsi="Times New Roman" w:eastAsia="宋体" w:cs="Times New Roman"/>
                <w:b w:val="0"/>
                <w:bCs w:val="0"/>
                <w:color w:val="auto"/>
                <w:sz w:val="24"/>
                <w:szCs w:val="24"/>
                <w:highlight w:val="none"/>
              </w:rPr>
              <w:t>危险</w:t>
            </w:r>
            <w:r>
              <w:rPr>
                <w:rFonts w:hint="eastAsia" w:ascii="Times New Roman" w:hAnsi="Times New Roman" w:eastAsia="宋体" w:cs="Times New Roman"/>
                <w:b w:val="0"/>
                <w:bCs w:val="0"/>
                <w:color w:val="auto"/>
                <w:sz w:val="24"/>
                <w:szCs w:val="24"/>
                <w:highlight w:val="none"/>
                <w:lang w:val="en-US" w:eastAsia="zh-CN"/>
              </w:rPr>
              <w:t>废物识别标志设置的</w:t>
            </w:r>
            <w:r>
              <w:rPr>
                <w:rFonts w:hint="default" w:ascii="Times New Roman" w:hAnsi="Times New Roman" w:eastAsia="宋体" w:cs="Times New Roman"/>
                <w:b w:val="0"/>
                <w:bCs w:val="0"/>
                <w:color w:val="auto"/>
                <w:sz w:val="24"/>
                <w:szCs w:val="24"/>
                <w:highlight w:val="none"/>
              </w:rPr>
              <w:t>环境管理要求</w:t>
            </w:r>
          </w:p>
          <w:p w14:paraId="53EA985F">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依据《危险废物识别标志设置技术规范》（HJ1276-2022）</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，本项目应采取以下措施</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w:t>
            </w:r>
          </w:p>
          <w:p w14:paraId="1B79F95B">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①危险废物识别标志的设置需具有足够的警示性；危险废物识别标志应设置在醒目的位置，避免被其他固定物体遮挡；危险废物识别标志与其他标志宜保持视觉上的分离。同一场所内，同一种类危险废物识别标志的尺寸、设置位置、设置方式和设置高度等宜保持一致。</w:t>
            </w:r>
            <w:r>
              <w:rPr>
                <w:rFonts w:hint="default" w:ascii="Times New Roman" w:hAnsi="Times New Roman" w:eastAsia="宋体" w:cs="Times New Roman"/>
                <w:color w:val="auto"/>
                <w:sz w:val="24"/>
                <w:szCs w:val="24"/>
                <w:highlight w:val="none"/>
              </w:rPr>
              <w:t>对于盛装同一类危险废物的组合包装容器，应在组合包装容器的外表面设置危险废物标签。容积超过450L的容器或包装物，应在相对的两面都设置危险废物标签。危险废物标签的固定可采用印刷、粘贴、</w:t>
            </w:r>
            <w:r>
              <w:rPr>
                <w:rFonts w:hint="eastAsia" w:ascii="Times New Roman" w:hAnsi="Times New Roman" w:eastAsia="宋体" w:cs="Times New Roman"/>
                <w:color w:val="auto"/>
                <w:sz w:val="24"/>
                <w:szCs w:val="24"/>
                <w:highlight w:val="none"/>
                <w:lang w:eastAsia="zh-CN"/>
              </w:rPr>
              <w:t>拴挂</w:t>
            </w:r>
            <w:r>
              <w:rPr>
                <w:rFonts w:hint="default" w:ascii="Times New Roman" w:hAnsi="Times New Roman" w:eastAsia="宋体" w:cs="Times New Roman"/>
                <w:color w:val="auto"/>
                <w:sz w:val="24"/>
                <w:szCs w:val="24"/>
                <w:highlight w:val="none"/>
              </w:rPr>
              <w:t>、钉附等方式，标签的固定应保证在贮存、转移期间不易脱落和损坏。</w:t>
            </w:r>
          </w:p>
          <w:p w14:paraId="06BE7301">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eastAsia" w:ascii="Times New Roman" w:hAnsi="Times New Roman" w:eastAsia="宋体" w:cs="Times New Roman"/>
                <w:b w:val="0"/>
                <w:i w:val="0"/>
                <w:color w:val="auto"/>
                <w:kern w:val="0"/>
                <w:sz w:val="24"/>
                <w:szCs w:val="24"/>
                <w:highlight w:val="none"/>
                <w:shd w:val="clear" w:color="auto" w:fill="auto"/>
                <w:lang w:val="en-US" w:eastAsia="zh-CN" w:bidi="ar"/>
              </w:rPr>
            </w:pP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②危险废物标签</w:t>
            </w:r>
            <w:r>
              <w:rPr>
                <w:rFonts w:hint="eastAsia" w:cs="Times New Roman"/>
                <w:b w:val="0"/>
                <w:i w:val="0"/>
                <w:color w:val="auto"/>
                <w:kern w:val="0"/>
                <w:sz w:val="24"/>
                <w:szCs w:val="24"/>
                <w:highlight w:val="none"/>
                <w:shd w:val="clear" w:color="auto" w:fill="auto"/>
                <w:lang w:val="en-US" w:eastAsia="zh-CN" w:bidi="ar"/>
              </w:rPr>
              <w:t>的</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内容要求：危险废物标签需以醒目的字样标注“危险废物”。危险废物标签需包含废物名称、废物类别、废物代码、废物形态、危险特性、主要成分、有害成分、注意事项、产生/收集单位名称、联系人、联系方式、产生日期、废物重量和备注。危险废物标签宜设置危险废物数字识别码和二维码。</w:t>
            </w:r>
          </w:p>
          <w:p w14:paraId="7A1F5C4C">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按照《危险废物贮存污染控制标准》（GB18597-20</w:t>
            </w:r>
            <w:r>
              <w:rPr>
                <w:rFonts w:hint="eastAsia"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b w:val="0"/>
                <w:i w:val="0"/>
                <w:color w:val="auto"/>
                <w:kern w:val="0"/>
                <w:sz w:val="24"/>
                <w:szCs w:val="24"/>
                <w:highlight w:val="none"/>
                <w:shd w:val="clear" w:color="auto" w:fill="auto"/>
                <w:lang w:val="en-US" w:eastAsia="zh-CN" w:bidi="ar"/>
              </w:rPr>
              <w:t>《危险废物识别标志设置技术规范》（HJ1276-2022）</w:t>
            </w:r>
            <w:r>
              <w:rPr>
                <w:rFonts w:hint="default" w:ascii="Times New Roman" w:hAnsi="Times New Roman" w:eastAsia="宋体" w:cs="Times New Roman"/>
                <w:color w:val="auto"/>
                <w:sz w:val="24"/>
                <w:szCs w:val="24"/>
                <w:highlight w:val="none"/>
              </w:rPr>
              <w:t>相关规定要求，</w:t>
            </w:r>
            <w:r>
              <w:rPr>
                <w:rFonts w:hint="eastAsia" w:ascii="Times New Roman" w:hAnsi="Times New Roman" w:eastAsia="宋体" w:cs="Times New Roman"/>
                <w:color w:val="auto"/>
                <w:sz w:val="24"/>
                <w:szCs w:val="24"/>
                <w:highlight w:val="none"/>
                <w:lang w:eastAsia="zh-CN"/>
              </w:rPr>
              <w:t>危险废物暂存间</w:t>
            </w:r>
            <w:r>
              <w:rPr>
                <w:rFonts w:hint="default" w:ascii="Times New Roman" w:hAnsi="Times New Roman" w:eastAsia="宋体" w:cs="Times New Roman"/>
                <w:color w:val="auto"/>
                <w:sz w:val="24"/>
                <w:szCs w:val="24"/>
                <w:highlight w:val="none"/>
              </w:rPr>
              <w:t>及危险废物储存容器上需要张贴标签，具体要求如下</w:t>
            </w:r>
            <w:r>
              <w:rPr>
                <w:rFonts w:hint="eastAsia" w:ascii="Times New Roman" w:hAnsi="Times New Roman" w:eastAsia="宋体" w:cs="Times New Roman"/>
                <w:color w:val="auto"/>
                <w:sz w:val="24"/>
                <w:szCs w:val="24"/>
                <w:highlight w:val="none"/>
                <w:lang w:eastAsia="zh-CN"/>
              </w:rPr>
              <w:t>：</w:t>
            </w:r>
          </w:p>
          <w:p w14:paraId="6CB7266C">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17B1E747">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6D82060B">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6C59B93C">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60563872">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5ABD5E51">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60C9659B">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26F315E0">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47154CBE">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5F562A51">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auto"/>
                <w:sz w:val="24"/>
                <w:szCs w:val="24"/>
                <w:highlight w:val="none"/>
                <w:lang w:eastAsia="zh-CN"/>
              </w:rPr>
            </w:pPr>
          </w:p>
          <w:p w14:paraId="039D6BEE">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危险废物暂存间</w:t>
            </w:r>
            <w:r>
              <w:rPr>
                <w:rFonts w:hint="default" w:ascii="Times New Roman" w:hAnsi="Times New Roman" w:eastAsia="宋体" w:cs="Times New Roman"/>
                <w:b/>
                <w:bCs/>
                <w:color w:val="auto"/>
                <w:spacing w:val="0"/>
                <w:sz w:val="21"/>
                <w:szCs w:val="21"/>
                <w:highlight w:val="none"/>
                <w:lang w:val="en-US" w:eastAsia="zh-CN"/>
              </w:rPr>
              <w:t>及储存容器标签示例</w:t>
            </w:r>
            <w:r>
              <w:rPr>
                <w:rFonts w:hint="eastAsia" w:ascii="Times New Roman" w:hAnsi="Times New Roman" w:eastAsia="宋体" w:cs="Times New Roman"/>
                <w:b/>
                <w:bCs/>
                <w:color w:val="auto"/>
                <w:spacing w:val="0"/>
                <w:sz w:val="21"/>
                <w:szCs w:val="21"/>
                <w:highlight w:val="none"/>
                <w:lang w:val="en-US" w:eastAsia="zh-CN"/>
              </w:rPr>
              <w:t>一览表</w:t>
            </w:r>
          </w:p>
          <w:tbl>
            <w:tblPr>
              <w:tblStyle w:val="32"/>
              <w:tblW w:w="793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13" w:type="dxa"/>
                <w:bottom w:w="0" w:type="dxa"/>
                <w:right w:w="0" w:type="dxa"/>
              </w:tblCellMar>
            </w:tblPr>
            <w:tblGrid>
              <w:gridCol w:w="1191"/>
              <w:gridCol w:w="2067"/>
              <w:gridCol w:w="4679"/>
            </w:tblGrid>
            <w:tr w14:paraId="581B265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373" w:hRule="atLeast"/>
                <w:jc w:val="center"/>
              </w:trPr>
              <w:tc>
                <w:tcPr>
                  <w:tcW w:w="1249" w:type="dxa"/>
                  <w:tcBorders>
                    <w:tl2br w:val="nil"/>
                    <w:tr2bl w:val="nil"/>
                  </w:tcBorders>
                  <w:noWrap w:val="0"/>
                  <w:vAlign w:val="center"/>
                </w:tcPr>
                <w:p w14:paraId="7C7608BD">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场合</w:t>
                  </w:r>
                </w:p>
              </w:tc>
              <w:tc>
                <w:tcPr>
                  <w:tcW w:w="2172" w:type="dxa"/>
                  <w:tcBorders>
                    <w:tl2br w:val="nil"/>
                    <w:tr2bl w:val="nil"/>
                  </w:tcBorders>
                  <w:noWrap w:val="0"/>
                  <w:vAlign w:val="center"/>
                </w:tcPr>
                <w:p w14:paraId="3645AC8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样式</w:t>
                  </w:r>
                </w:p>
              </w:tc>
              <w:tc>
                <w:tcPr>
                  <w:tcW w:w="4925" w:type="dxa"/>
                  <w:tcBorders>
                    <w:tl2br w:val="nil"/>
                    <w:tr2bl w:val="nil"/>
                  </w:tcBorders>
                  <w:noWrap w:val="0"/>
                  <w:vAlign w:val="center"/>
                </w:tcPr>
                <w:p w14:paraId="601E0EC2">
                  <w:pPr>
                    <w:keepNext w:val="0"/>
                    <w:keepLines w:val="0"/>
                    <w:pageBreakBefore w:val="0"/>
                    <w:widowControl w:val="0"/>
                    <w:shd w:val="clear"/>
                    <w:kinsoku/>
                    <w:wordWrap/>
                    <w:overflowPunct/>
                    <w:topLinePunct w:val="0"/>
                    <w:autoSpaceDE/>
                    <w:autoSpaceDN/>
                    <w:bidi w:val="0"/>
                    <w:adjustRightInd/>
                    <w:snapToGrid/>
                    <w:spacing w:line="0" w:lineRule="atLeast"/>
                    <w:ind w:firstLine="420" w:firstLineChars="20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要求</w:t>
                  </w:r>
                </w:p>
              </w:tc>
            </w:tr>
            <w:tr w14:paraId="280209D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90" w:hRule="atLeast"/>
                <w:jc w:val="center"/>
              </w:trPr>
              <w:tc>
                <w:tcPr>
                  <w:tcW w:w="1249" w:type="dxa"/>
                  <w:tcBorders>
                    <w:tl2br w:val="nil"/>
                    <w:tr2bl w:val="nil"/>
                  </w:tcBorders>
                  <w:noWrap w:val="0"/>
                  <w:vAlign w:val="center"/>
                </w:tcPr>
                <w:p w14:paraId="496255B9">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室外（粘贴于门上或悬挂）</w:t>
                  </w:r>
                </w:p>
              </w:tc>
              <w:tc>
                <w:tcPr>
                  <w:tcW w:w="2172" w:type="dxa"/>
                  <w:tcBorders>
                    <w:tl2br w:val="nil"/>
                    <w:tr2bl w:val="nil"/>
                  </w:tcBorders>
                  <w:noWrap w:val="0"/>
                  <w:vAlign w:val="center"/>
                </w:tcPr>
                <w:p w14:paraId="1980733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rPr>
                  </w:pPr>
                  <w:r>
                    <w:rPr>
                      <w:color w:val="auto"/>
                      <w:highlight w:val="none"/>
                    </w:rPr>
                    <w:drawing>
                      <wp:inline distT="0" distB="0" distL="114300" distR="114300">
                        <wp:extent cx="1237615" cy="781685"/>
                        <wp:effectExtent l="0" t="0" r="635" b="18415"/>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39"/>
                                <a:stretch>
                                  <a:fillRect/>
                                </a:stretch>
                              </pic:blipFill>
                              <pic:spPr>
                                <a:xfrm>
                                  <a:off x="0" y="0"/>
                                  <a:ext cx="1237615" cy="781685"/>
                                </a:xfrm>
                                <a:prstGeom prst="rect">
                                  <a:avLst/>
                                </a:prstGeom>
                                <a:noFill/>
                                <a:ln>
                                  <a:noFill/>
                                </a:ln>
                              </pic:spPr>
                            </pic:pic>
                          </a:graphicData>
                        </a:graphic>
                      </wp:inline>
                    </w:drawing>
                  </w:r>
                </w:p>
              </w:tc>
              <w:tc>
                <w:tcPr>
                  <w:tcW w:w="4925" w:type="dxa"/>
                  <w:tcBorders>
                    <w:tl2br w:val="nil"/>
                    <w:tr2bl w:val="nil"/>
                  </w:tcBorders>
                  <w:noWrap w:val="0"/>
                  <w:vAlign w:val="center"/>
                </w:tcPr>
                <w:p w14:paraId="0351F7D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危险废物设施标志背景颜色为黄色，字体和边框颜色为黑色。</w:t>
                  </w:r>
                </w:p>
                <w:p w14:paraId="6550345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采用坚固耐用的材料（如</w:t>
                  </w:r>
                  <w:r>
                    <w:rPr>
                      <w:rFonts w:hint="default" w:ascii="Times New Roman" w:hAnsi="Times New Roman" w:eastAsia="宋体" w:cs="Times New Roman"/>
                      <w:color w:val="auto"/>
                      <w:kern w:val="0"/>
                      <w:sz w:val="21"/>
                      <w:szCs w:val="21"/>
                      <w:highlight w:val="none"/>
                      <w:lang w:val="en-US" w:eastAsia="zh-CN" w:bidi="ar"/>
                    </w:rPr>
                    <w:t>1.5mm</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2mm</w:t>
                  </w:r>
                  <w:r>
                    <w:rPr>
                      <w:rFonts w:hint="eastAsia" w:ascii="宋体" w:hAnsi="宋体" w:eastAsia="宋体" w:cs="宋体"/>
                      <w:color w:val="auto"/>
                      <w:kern w:val="0"/>
                      <w:sz w:val="21"/>
                      <w:szCs w:val="21"/>
                      <w:highlight w:val="none"/>
                      <w:lang w:val="en-US" w:eastAsia="zh-CN" w:bidi="ar"/>
                    </w:rPr>
                    <w:t>冷轧钢板），并做搪瓷处理或贴膜处理。一般不宜使用遇水变形、变质或易燃的材料。</w:t>
                  </w:r>
                </w:p>
                <w:p w14:paraId="1626AA4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default" w:ascii="Times New Roman" w:hAnsi="Times New Roman"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三角形警告性图形与其他信息间宜加黑色分界线区分，分界线的宽度宜不小于</w:t>
                  </w:r>
                  <w:r>
                    <w:rPr>
                      <w:rFonts w:hint="default" w:ascii="Times New Roman" w:hAnsi="Times New Roman" w:eastAsia="宋体" w:cs="Times New Roman"/>
                      <w:color w:val="auto"/>
                      <w:kern w:val="0"/>
                      <w:sz w:val="21"/>
                      <w:szCs w:val="21"/>
                      <w:highlight w:val="none"/>
                      <w:lang w:val="en-US" w:eastAsia="zh-CN" w:bidi="ar"/>
                    </w:rPr>
                    <w:t>3mm</w:t>
                  </w:r>
                  <w:r>
                    <w:rPr>
                      <w:rFonts w:hint="eastAsia" w:ascii="宋体" w:hAnsi="宋体" w:eastAsia="宋体" w:cs="宋体"/>
                      <w:color w:val="auto"/>
                      <w:kern w:val="0"/>
                      <w:sz w:val="21"/>
                      <w:szCs w:val="21"/>
                      <w:highlight w:val="none"/>
                      <w:lang w:val="en-US" w:eastAsia="zh-CN" w:bidi="ar"/>
                    </w:rPr>
                    <w:t>。</w:t>
                  </w:r>
                </w:p>
              </w:tc>
            </w:tr>
            <w:tr w14:paraId="78DA1F0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2146" w:hRule="atLeast"/>
                <w:jc w:val="center"/>
              </w:trPr>
              <w:tc>
                <w:tcPr>
                  <w:tcW w:w="1249" w:type="dxa"/>
                  <w:tcBorders>
                    <w:tl2br w:val="nil"/>
                    <w:tr2bl w:val="nil"/>
                  </w:tcBorders>
                  <w:noWrap w:val="0"/>
                  <w:vAlign w:val="center"/>
                </w:tcPr>
                <w:p w14:paraId="4FD6744F">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粘贴于危险废物储存容器</w:t>
                  </w:r>
                </w:p>
              </w:tc>
              <w:tc>
                <w:tcPr>
                  <w:tcW w:w="2172" w:type="dxa"/>
                  <w:tcBorders>
                    <w:tl2br w:val="nil"/>
                    <w:tr2bl w:val="nil"/>
                  </w:tcBorders>
                  <w:noWrap w:val="0"/>
                  <w:vAlign w:val="center"/>
                </w:tcPr>
                <w:p w14:paraId="6E6C883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color w:val="auto"/>
                      <w:highlight w:val="none"/>
                    </w:rPr>
                    <w:drawing>
                      <wp:inline distT="0" distB="0" distL="114300" distR="114300">
                        <wp:extent cx="1238885" cy="1238885"/>
                        <wp:effectExtent l="0" t="0" r="18415" b="18415"/>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40"/>
                                <a:stretch>
                                  <a:fillRect/>
                                </a:stretch>
                              </pic:blipFill>
                              <pic:spPr>
                                <a:xfrm>
                                  <a:off x="0" y="0"/>
                                  <a:ext cx="1238885" cy="1238885"/>
                                </a:xfrm>
                                <a:prstGeom prst="rect">
                                  <a:avLst/>
                                </a:prstGeom>
                                <a:noFill/>
                                <a:ln>
                                  <a:noFill/>
                                </a:ln>
                              </pic:spPr>
                            </pic:pic>
                          </a:graphicData>
                        </a:graphic>
                      </wp:inline>
                    </w:drawing>
                  </w:r>
                </w:p>
              </w:tc>
              <w:tc>
                <w:tcPr>
                  <w:tcW w:w="4925" w:type="dxa"/>
                  <w:tcBorders>
                    <w:tl2br w:val="nil"/>
                    <w:tr2bl w:val="nil"/>
                  </w:tcBorders>
                  <w:noWrap w:val="0"/>
                  <w:vAlign w:val="center"/>
                </w:tcPr>
                <w:p w14:paraId="33365EE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危险废物标签背景色应采用醒目的橘黄色，标签边框和字体颜色为黑色。</w:t>
                  </w:r>
                </w:p>
                <w:p w14:paraId="5F0CF5D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危险废物标签所选用的材质宜具有一定的耐用性和防水性。标签可采用不干胶印刷品，或印刷品外</w:t>
                  </w:r>
                </w:p>
                <w:p w14:paraId="0FBB26D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加防水塑料袋或塑封等。</w:t>
                  </w:r>
                </w:p>
                <w:p w14:paraId="17E4D7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default" w:ascii="Times New Roman" w:hAnsi="Times New Roman"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危险废物标签的文字边缘加黑色边框，边框宽度不小于</w:t>
                  </w:r>
                  <w:r>
                    <w:rPr>
                      <w:rFonts w:hint="default" w:ascii="Times New Roman" w:hAnsi="Times New Roman" w:eastAsia="宋体" w:cs="Times New Roman"/>
                      <w:color w:val="auto"/>
                      <w:kern w:val="0"/>
                      <w:sz w:val="21"/>
                      <w:szCs w:val="21"/>
                      <w:highlight w:val="none"/>
                      <w:lang w:val="en-US" w:eastAsia="zh-CN" w:bidi="ar"/>
                    </w:rPr>
                    <w:t>1mm</w:t>
                  </w:r>
                  <w:r>
                    <w:rPr>
                      <w:rFonts w:hint="eastAsia" w:ascii="宋体" w:hAnsi="宋体" w:eastAsia="宋体" w:cs="宋体"/>
                      <w:color w:val="auto"/>
                      <w:kern w:val="0"/>
                      <w:sz w:val="21"/>
                      <w:szCs w:val="21"/>
                      <w:highlight w:val="none"/>
                      <w:lang w:val="en-US" w:eastAsia="zh-CN" w:bidi="ar"/>
                    </w:rPr>
                    <w:t>，边框外宜留不小于</w:t>
                  </w:r>
                  <w:r>
                    <w:rPr>
                      <w:rFonts w:hint="default" w:ascii="Times New Roman" w:hAnsi="Times New Roman" w:eastAsia="宋体" w:cs="Times New Roman"/>
                      <w:color w:val="auto"/>
                      <w:kern w:val="0"/>
                      <w:sz w:val="21"/>
                      <w:szCs w:val="21"/>
                      <w:highlight w:val="none"/>
                      <w:lang w:val="en-US" w:eastAsia="zh-CN" w:bidi="ar"/>
                    </w:rPr>
                    <w:t>3mm</w:t>
                  </w:r>
                  <w:r>
                    <w:rPr>
                      <w:rFonts w:hint="eastAsia" w:ascii="宋体" w:hAnsi="宋体" w:eastAsia="宋体" w:cs="宋体"/>
                      <w:color w:val="auto"/>
                      <w:kern w:val="0"/>
                      <w:sz w:val="21"/>
                      <w:szCs w:val="21"/>
                      <w:highlight w:val="none"/>
                      <w:lang w:val="en-US" w:eastAsia="zh-CN" w:bidi="ar"/>
                    </w:rPr>
                    <w:t>的空白。</w:t>
                  </w:r>
                </w:p>
              </w:tc>
            </w:tr>
            <w:tr w14:paraId="24266F2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2298" w:hRule="atLeast"/>
                <w:jc w:val="center"/>
              </w:trPr>
              <w:tc>
                <w:tcPr>
                  <w:tcW w:w="1249" w:type="dxa"/>
                  <w:tcBorders>
                    <w:tl2br w:val="nil"/>
                    <w:tr2bl w:val="nil"/>
                  </w:tcBorders>
                  <w:noWrap w:val="0"/>
                  <w:vAlign w:val="center"/>
                </w:tcPr>
                <w:p w14:paraId="1D380AB0">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危险废物贮存分区标志</w:t>
                  </w:r>
                </w:p>
              </w:tc>
              <w:tc>
                <w:tcPr>
                  <w:tcW w:w="2172" w:type="dxa"/>
                  <w:tcBorders>
                    <w:tl2br w:val="nil"/>
                    <w:tr2bl w:val="nil"/>
                  </w:tcBorders>
                  <w:noWrap w:val="0"/>
                  <w:vAlign w:val="center"/>
                </w:tcPr>
                <w:p w14:paraId="62CB481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color w:val="auto"/>
                      <w:highlight w:val="none"/>
                    </w:rPr>
                    <w:drawing>
                      <wp:inline distT="0" distB="0" distL="114300" distR="114300">
                        <wp:extent cx="1240155" cy="1038860"/>
                        <wp:effectExtent l="0" t="0" r="17145" b="889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41"/>
                                <a:stretch>
                                  <a:fillRect/>
                                </a:stretch>
                              </pic:blipFill>
                              <pic:spPr>
                                <a:xfrm>
                                  <a:off x="0" y="0"/>
                                  <a:ext cx="1240155" cy="1038860"/>
                                </a:xfrm>
                                <a:prstGeom prst="rect">
                                  <a:avLst/>
                                </a:prstGeom>
                                <a:noFill/>
                                <a:ln>
                                  <a:noFill/>
                                </a:ln>
                              </pic:spPr>
                            </pic:pic>
                          </a:graphicData>
                        </a:graphic>
                      </wp:inline>
                    </w:drawing>
                  </w:r>
                </w:p>
              </w:tc>
              <w:tc>
                <w:tcPr>
                  <w:tcW w:w="4925" w:type="dxa"/>
                  <w:tcBorders>
                    <w:tl2br w:val="nil"/>
                    <w:tr2bl w:val="nil"/>
                  </w:tcBorders>
                  <w:noWrap w:val="0"/>
                  <w:vAlign w:val="center"/>
                </w:tcPr>
                <w:p w14:paraId="6E979D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危险废物分区标志背景色应采用黄色。废物种类信息应采用醒目的橘黄色，字体颜色为黑色。</w:t>
                  </w:r>
                </w:p>
                <w:p w14:paraId="08EEF31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危险废物贮存分区标志的衬底宜采用坚固耐用的材料，并具有耐用性和防水性。废物贮存种类信息等可采用印刷纸张、不粘胶材质或塑料卡片等，以便固定在衬底上。</w:t>
                  </w:r>
                </w:p>
                <w:p w14:paraId="70FF73F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default" w:ascii="Times New Roman" w:hAnsi="Times New Roman" w:cs="Times New Roman"/>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“危险废物贮存分区标志”字样与其他信息宜加黑色分界线区分，分界线的宽度不小于</w:t>
                  </w:r>
                  <w:r>
                    <w:rPr>
                      <w:rFonts w:hint="default" w:ascii="Times New Roman" w:hAnsi="Times New Roman" w:eastAsia="宋体" w:cs="Times New Roman"/>
                      <w:color w:val="auto"/>
                      <w:kern w:val="0"/>
                      <w:sz w:val="21"/>
                      <w:szCs w:val="21"/>
                      <w:highlight w:val="none"/>
                      <w:lang w:val="en-US" w:eastAsia="zh-CN" w:bidi="ar"/>
                    </w:rPr>
                    <w:t>2mm</w:t>
                  </w:r>
                  <w:r>
                    <w:rPr>
                      <w:rFonts w:hint="eastAsia" w:ascii="宋体" w:hAnsi="宋体" w:eastAsia="宋体" w:cs="宋体"/>
                      <w:color w:val="auto"/>
                      <w:kern w:val="0"/>
                      <w:sz w:val="21"/>
                      <w:szCs w:val="21"/>
                      <w:highlight w:val="none"/>
                      <w:lang w:val="en-US" w:eastAsia="zh-CN" w:bidi="ar"/>
                    </w:rPr>
                    <w:t>。</w:t>
                  </w:r>
                </w:p>
              </w:tc>
            </w:tr>
          </w:tbl>
          <w:p w14:paraId="3F023428">
            <w:pPr>
              <w:pStyle w:val="42"/>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现有工程设置1座危险废物暂存间，面积为8.75m</w:t>
            </w:r>
            <w:r>
              <w:rPr>
                <w:rFonts w:hint="eastAsia" w:cs="Times New Roman"/>
                <w:b w:val="0"/>
                <w:bCs/>
                <w:color w:val="auto"/>
                <w:sz w:val="24"/>
                <w:szCs w:val="24"/>
                <w:highlight w:val="none"/>
                <w:vertAlign w:val="superscript"/>
                <w:lang w:val="en-US" w:eastAsia="zh-CN"/>
              </w:rPr>
              <w:t>2</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本项目依托现有工程危险废物暂存间储存危险废物</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本次新增危险废物为</w:t>
            </w:r>
            <w:r>
              <w:rPr>
                <w:rFonts w:hint="eastAsia" w:ascii="Times New Roman" w:hAnsi="Times New Roman" w:cs="Times New Roman"/>
                <w:b w:val="0"/>
                <w:bCs/>
                <w:color w:val="auto"/>
                <w:sz w:val="24"/>
                <w:szCs w:val="24"/>
                <w:highlight w:val="none"/>
                <w:lang w:val="en-US" w:eastAsia="zh-CN"/>
              </w:rPr>
              <w:t>废润滑油和废油桶</w:t>
            </w:r>
            <w:r>
              <w:rPr>
                <w:rFonts w:hint="eastAsia" w:ascii="Times New Roman" w:hAnsi="Times New Roman" w:eastAsia="宋体" w:cs="Times New Roman"/>
                <w:b w:val="0"/>
                <w:bCs/>
                <w:color w:val="auto"/>
                <w:sz w:val="24"/>
                <w:szCs w:val="24"/>
                <w:highlight w:val="none"/>
                <w:lang w:val="en-US" w:eastAsia="zh-CN"/>
              </w:rPr>
              <w:t>，产生量</w:t>
            </w:r>
            <w:r>
              <w:rPr>
                <w:rFonts w:hint="eastAsia" w:ascii="Times New Roman" w:hAnsi="Times New Roman" w:cs="Times New Roman"/>
                <w:b w:val="0"/>
                <w:bCs/>
                <w:color w:val="auto"/>
                <w:sz w:val="24"/>
                <w:szCs w:val="24"/>
                <w:highlight w:val="none"/>
                <w:lang w:val="en-US" w:eastAsia="zh-CN"/>
              </w:rPr>
              <w:t>分别</w:t>
            </w:r>
            <w:r>
              <w:rPr>
                <w:rFonts w:hint="eastAsia" w:ascii="Times New Roman" w:hAnsi="Times New Roman" w:eastAsia="宋体" w:cs="Times New Roman"/>
                <w:b w:val="0"/>
                <w:bCs/>
                <w:color w:val="auto"/>
                <w:sz w:val="24"/>
                <w:szCs w:val="24"/>
                <w:highlight w:val="none"/>
                <w:lang w:val="en-US" w:eastAsia="zh-CN"/>
              </w:rPr>
              <w:t>为0.05t/a</w:t>
            </w:r>
            <w:r>
              <w:rPr>
                <w:rFonts w:hint="eastAsia" w:ascii="Times New Roman" w:hAnsi="Times New Roman" w:cs="Times New Roman"/>
                <w:b w:val="0"/>
                <w:bCs/>
                <w:color w:val="auto"/>
                <w:sz w:val="24"/>
                <w:szCs w:val="24"/>
                <w:highlight w:val="none"/>
                <w:lang w:val="en-US" w:eastAsia="zh-CN"/>
              </w:rPr>
              <w:t>和0.02t/a</w:t>
            </w:r>
            <w:r>
              <w:rPr>
                <w:rFonts w:hint="eastAsia" w:ascii="Times New Roman" w:hAnsi="Times New Roman" w:eastAsia="宋体" w:cs="Times New Roman"/>
                <w:b w:val="0"/>
                <w:bCs/>
                <w:color w:val="auto"/>
                <w:sz w:val="24"/>
                <w:szCs w:val="24"/>
                <w:highlight w:val="none"/>
                <w:lang w:val="en-US" w:eastAsia="zh-CN"/>
              </w:rPr>
              <w:t>，目前，危险废物暂存间剩余容量为</w:t>
            </w:r>
            <w:r>
              <w:rPr>
                <w:rFonts w:hint="eastAsia" w:ascii="Times New Roman" w:hAnsi="Times New Roman" w:cs="Times New Roman"/>
                <w:b w:val="0"/>
                <w:bCs/>
                <w:color w:val="auto"/>
                <w:sz w:val="24"/>
                <w:szCs w:val="24"/>
                <w:highlight w:val="none"/>
                <w:lang w:val="en-US" w:eastAsia="zh-CN"/>
              </w:rPr>
              <w:t>6</w:t>
            </w:r>
            <w:r>
              <w:rPr>
                <w:rFonts w:hint="eastAsia" w:ascii="Times New Roman" w:hAnsi="Times New Roman" w:eastAsia="宋体" w:cs="Times New Roman"/>
                <w:b w:val="0"/>
                <w:bCs/>
                <w:color w:val="auto"/>
                <w:sz w:val="24"/>
                <w:szCs w:val="24"/>
                <w:highlight w:val="none"/>
                <w:lang w:val="en-US" w:eastAsia="zh-CN"/>
              </w:rPr>
              <w:t>m</w:t>
            </w:r>
            <w:r>
              <w:rPr>
                <w:rFonts w:hint="eastAsia" w:ascii="Times New Roman" w:hAnsi="Times New Roman" w:eastAsia="宋体" w:cs="Times New Roman"/>
                <w:b w:val="0"/>
                <w:bCs/>
                <w:color w:val="auto"/>
                <w:sz w:val="24"/>
                <w:szCs w:val="24"/>
                <w:highlight w:val="none"/>
                <w:vertAlign w:val="superscript"/>
                <w:lang w:val="en-US" w:eastAsia="zh-CN"/>
              </w:rPr>
              <w:t>2</w:t>
            </w:r>
            <w:r>
              <w:rPr>
                <w:rFonts w:hint="eastAsia" w:ascii="Times New Roman" w:hAnsi="Times New Roman" w:eastAsia="宋体" w:cs="Times New Roman"/>
                <w:b w:val="0"/>
                <w:bCs/>
                <w:color w:val="auto"/>
                <w:sz w:val="24"/>
                <w:szCs w:val="24"/>
                <w:highlight w:val="none"/>
                <w:lang w:val="en-US" w:eastAsia="zh-CN"/>
              </w:rPr>
              <w:t>，能够容纳本项目产生的危险废物。</w:t>
            </w:r>
          </w:p>
          <w:p w14:paraId="0809E6D9">
            <w:pPr>
              <w:pStyle w:val="42"/>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危险废物贮存场所基本情况见下表。</w:t>
            </w:r>
          </w:p>
          <w:p w14:paraId="1673630A">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危险废物贮存场所基本情况一览表</w:t>
            </w:r>
          </w:p>
          <w:tbl>
            <w:tblPr>
              <w:tblStyle w:val="32"/>
              <w:tblW w:w="7894"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524"/>
              <w:gridCol w:w="839"/>
              <w:gridCol w:w="1368"/>
              <w:gridCol w:w="757"/>
              <w:gridCol w:w="1066"/>
              <w:gridCol w:w="578"/>
              <w:gridCol w:w="833"/>
              <w:gridCol w:w="658"/>
              <w:gridCol w:w="598"/>
              <w:gridCol w:w="673"/>
            </w:tblGrid>
            <w:tr w14:paraId="0C561D1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2" w:hRule="atLeast"/>
                <w:jc w:val="center"/>
              </w:trPr>
              <w:tc>
                <w:tcPr>
                  <w:tcW w:w="524" w:type="dxa"/>
                  <w:tcBorders>
                    <w:tl2br w:val="nil"/>
                    <w:tr2bl w:val="nil"/>
                  </w:tcBorders>
                  <w:noWrap w:val="0"/>
                  <w:vAlign w:val="center"/>
                </w:tcPr>
                <w:p w14:paraId="799A466E">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序号</w:t>
                  </w:r>
                </w:p>
              </w:tc>
              <w:tc>
                <w:tcPr>
                  <w:tcW w:w="839" w:type="dxa"/>
                  <w:tcBorders>
                    <w:tl2br w:val="nil"/>
                    <w:tr2bl w:val="nil"/>
                  </w:tcBorders>
                  <w:noWrap w:val="0"/>
                  <w:vAlign w:val="center"/>
                </w:tcPr>
                <w:p w14:paraId="0924C064">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贮存场所名称</w:t>
                  </w:r>
                </w:p>
              </w:tc>
              <w:tc>
                <w:tcPr>
                  <w:tcW w:w="1368" w:type="dxa"/>
                  <w:tcBorders>
                    <w:tl2br w:val="nil"/>
                    <w:tr2bl w:val="nil"/>
                  </w:tcBorders>
                  <w:noWrap w:val="0"/>
                  <w:vAlign w:val="center"/>
                </w:tcPr>
                <w:p w14:paraId="58FA55F0">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危险废物名称</w:t>
                  </w:r>
                </w:p>
              </w:tc>
              <w:tc>
                <w:tcPr>
                  <w:tcW w:w="757" w:type="dxa"/>
                  <w:tcBorders>
                    <w:tl2br w:val="nil"/>
                    <w:tr2bl w:val="nil"/>
                  </w:tcBorders>
                  <w:noWrap w:val="0"/>
                  <w:vAlign w:val="center"/>
                </w:tcPr>
                <w:p w14:paraId="3E7CDC3A">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危险废物类别</w:t>
                  </w:r>
                </w:p>
              </w:tc>
              <w:tc>
                <w:tcPr>
                  <w:tcW w:w="1066" w:type="dxa"/>
                  <w:tcBorders>
                    <w:tl2br w:val="nil"/>
                    <w:tr2bl w:val="nil"/>
                  </w:tcBorders>
                  <w:noWrap w:val="0"/>
                  <w:vAlign w:val="center"/>
                </w:tcPr>
                <w:p w14:paraId="0629B7A9">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危险废物代码</w:t>
                  </w:r>
                </w:p>
              </w:tc>
              <w:tc>
                <w:tcPr>
                  <w:tcW w:w="578" w:type="dxa"/>
                  <w:tcBorders>
                    <w:tl2br w:val="nil"/>
                    <w:tr2bl w:val="nil"/>
                  </w:tcBorders>
                  <w:noWrap w:val="0"/>
                  <w:vAlign w:val="center"/>
                </w:tcPr>
                <w:p w14:paraId="5434CBFC">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位置</w:t>
                  </w:r>
                </w:p>
              </w:tc>
              <w:tc>
                <w:tcPr>
                  <w:tcW w:w="833" w:type="dxa"/>
                  <w:tcBorders>
                    <w:tl2br w:val="nil"/>
                    <w:tr2bl w:val="nil"/>
                  </w:tcBorders>
                  <w:noWrap w:val="0"/>
                  <w:vAlign w:val="center"/>
                </w:tcPr>
                <w:p w14:paraId="5AEC0B4A">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占地面积</w:t>
                  </w:r>
                </w:p>
              </w:tc>
              <w:tc>
                <w:tcPr>
                  <w:tcW w:w="658" w:type="dxa"/>
                  <w:tcBorders>
                    <w:tl2br w:val="nil"/>
                    <w:tr2bl w:val="nil"/>
                  </w:tcBorders>
                  <w:noWrap w:val="0"/>
                  <w:vAlign w:val="center"/>
                </w:tcPr>
                <w:p w14:paraId="122FF7EA">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贮存方式</w:t>
                  </w:r>
                </w:p>
              </w:tc>
              <w:tc>
                <w:tcPr>
                  <w:tcW w:w="598" w:type="dxa"/>
                  <w:tcBorders>
                    <w:tl2br w:val="nil"/>
                    <w:tr2bl w:val="nil"/>
                  </w:tcBorders>
                  <w:noWrap w:val="0"/>
                  <w:vAlign w:val="center"/>
                </w:tcPr>
                <w:p w14:paraId="09A6CA00">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贮存</w:t>
                  </w:r>
                </w:p>
                <w:p w14:paraId="278830F6">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能力</w:t>
                  </w:r>
                </w:p>
              </w:tc>
              <w:tc>
                <w:tcPr>
                  <w:tcW w:w="673" w:type="dxa"/>
                  <w:tcBorders>
                    <w:tl2br w:val="nil"/>
                    <w:tr2bl w:val="nil"/>
                  </w:tcBorders>
                  <w:noWrap w:val="0"/>
                  <w:vAlign w:val="center"/>
                </w:tcPr>
                <w:p w14:paraId="49B57A45">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贮存</w:t>
                  </w:r>
                </w:p>
                <w:p w14:paraId="0269C803">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周期</w:t>
                  </w:r>
                </w:p>
              </w:tc>
            </w:tr>
            <w:tr w14:paraId="0F1E51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75" w:hRule="atLeast"/>
                <w:jc w:val="center"/>
              </w:trPr>
              <w:tc>
                <w:tcPr>
                  <w:tcW w:w="524" w:type="dxa"/>
                  <w:tcBorders>
                    <w:tl2br w:val="nil"/>
                    <w:tr2bl w:val="nil"/>
                  </w:tcBorders>
                  <w:noWrap w:val="0"/>
                  <w:vAlign w:val="center"/>
                </w:tcPr>
                <w:p w14:paraId="5EF3D4DE">
                  <w:pPr>
                    <w:keepNext w:val="0"/>
                    <w:keepLines w:val="0"/>
                    <w:pageBreakBefore w:val="0"/>
                    <w:widowControl w:val="0"/>
                    <w:numPr>
                      <w:ilvl w:val="0"/>
                      <w:numId w:val="20"/>
                    </w:numPr>
                    <w:shd w:val="clear"/>
                    <w:kinsoku/>
                    <w:wordWrap/>
                    <w:overflowPunct/>
                    <w:topLinePunct/>
                    <w:autoSpaceDE/>
                    <w:autoSpaceDN/>
                    <w:bidi w:val="0"/>
                    <w:adjustRightInd w:val="0"/>
                    <w:snapToGrid w:val="0"/>
                    <w:spacing w:line="0" w:lineRule="atLeast"/>
                    <w:ind w:left="0" w:lef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p>
              </w:tc>
              <w:tc>
                <w:tcPr>
                  <w:tcW w:w="839" w:type="dxa"/>
                  <w:vMerge w:val="restart"/>
                  <w:tcBorders>
                    <w:tl2br w:val="nil"/>
                    <w:tr2bl w:val="nil"/>
                  </w:tcBorders>
                  <w:noWrap w:val="0"/>
                  <w:vAlign w:val="center"/>
                </w:tcPr>
                <w:p w14:paraId="5914A5BA">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危险废物暂存间</w:t>
                  </w:r>
                </w:p>
              </w:tc>
              <w:tc>
                <w:tcPr>
                  <w:tcW w:w="1368" w:type="dxa"/>
                  <w:tcBorders>
                    <w:tl2br w:val="nil"/>
                    <w:tr2bl w:val="nil"/>
                  </w:tcBorders>
                  <w:shd w:val="clear" w:color="auto" w:fill="auto"/>
                  <w:noWrap w:val="0"/>
                  <w:vAlign w:val="center"/>
                </w:tcPr>
                <w:p w14:paraId="2677EB08">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b w:val="0"/>
                      <w:bCs w:val="0"/>
                      <w:color w:val="auto"/>
                      <w:kern w:val="0"/>
                      <w:sz w:val="18"/>
                      <w:szCs w:val="18"/>
                      <w:highlight w:val="none"/>
                      <w:lang w:eastAsia="zh-CN"/>
                    </w:rPr>
                  </w:pPr>
                  <w:r>
                    <w:rPr>
                      <w:rFonts w:hint="default" w:ascii="Times New Roman" w:hAnsi="Times New Roman" w:eastAsia="宋体" w:cs="Times New Roman"/>
                      <w:b w:val="0"/>
                      <w:bCs w:val="0"/>
                      <w:color w:val="auto"/>
                      <w:w w:val="100"/>
                      <w:kern w:val="2"/>
                      <w:sz w:val="18"/>
                      <w:szCs w:val="18"/>
                      <w:highlight w:val="none"/>
                      <w:vertAlign w:val="baseline"/>
                      <w:lang w:val="en-US" w:eastAsia="zh-CN" w:bidi="ar-SA"/>
                    </w:rPr>
                    <w:t>废润滑油</w:t>
                  </w:r>
                </w:p>
              </w:tc>
              <w:tc>
                <w:tcPr>
                  <w:tcW w:w="757" w:type="dxa"/>
                  <w:vMerge w:val="restart"/>
                  <w:tcBorders>
                    <w:tl2br w:val="nil"/>
                    <w:tr2bl w:val="nil"/>
                  </w:tcBorders>
                  <w:shd w:val="clear" w:color="auto" w:fill="auto"/>
                  <w:noWrap w:val="0"/>
                  <w:vAlign w:val="center"/>
                </w:tcPr>
                <w:p w14:paraId="4DB2919B">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HW08</w:t>
                  </w:r>
                </w:p>
              </w:tc>
              <w:tc>
                <w:tcPr>
                  <w:tcW w:w="1066" w:type="dxa"/>
                  <w:tcBorders>
                    <w:tl2br w:val="nil"/>
                    <w:tr2bl w:val="nil"/>
                  </w:tcBorders>
                  <w:shd w:val="clear" w:color="auto" w:fill="auto"/>
                  <w:noWrap w:val="0"/>
                  <w:vAlign w:val="center"/>
                </w:tcPr>
                <w:p w14:paraId="49F493B2">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auto"/>
                      <w:kern w:val="0"/>
                      <w:sz w:val="18"/>
                      <w:szCs w:val="18"/>
                      <w:highlight w:val="none"/>
                    </w:rPr>
                  </w:pPr>
                  <w:r>
                    <w:rPr>
                      <w:b w:val="0"/>
                      <w:bCs w:val="0"/>
                      <w:color w:val="auto"/>
                      <w:kern w:val="0"/>
                      <w:sz w:val="18"/>
                      <w:szCs w:val="18"/>
                      <w:highlight w:val="none"/>
                    </w:rPr>
                    <w:t>900-217-08</w:t>
                  </w:r>
                </w:p>
              </w:tc>
              <w:tc>
                <w:tcPr>
                  <w:tcW w:w="578" w:type="dxa"/>
                  <w:vMerge w:val="restart"/>
                  <w:tcBorders>
                    <w:tl2br w:val="nil"/>
                    <w:tr2bl w:val="nil"/>
                  </w:tcBorders>
                  <w:noWrap w:val="0"/>
                  <w:vAlign w:val="center"/>
                </w:tcPr>
                <w:p w14:paraId="530693C3">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SA"/>
                    </w:rPr>
                  </w:pPr>
                  <w:r>
                    <w:rPr>
                      <w:rFonts w:hint="eastAsia" w:cs="Times New Roman"/>
                      <w:color w:val="auto"/>
                      <w:kern w:val="0"/>
                      <w:sz w:val="18"/>
                      <w:szCs w:val="18"/>
                      <w:highlight w:val="none"/>
                      <w:lang w:val="en-US" w:eastAsia="zh-CN" w:bidi="ar-SA"/>
                    </w:rPr>
                    <w:t>现有工程南侧</w:t>
                  </w:r>
                </w:p>
              </w:tc>
              <w:tc>
                <w:tcPr>
                  <w:tcW w:w="833" w:type="dxa"/>
                  <w:vMerge w:val="restart"/>
                  <w:tcBorders>
                    <w:tl2br w:val="nil"/>
                    <w:tr2bl w:val="nil"/>
                  </w:tcBorders>
                  <w:noWrap w:val="0"/>
                  <w:vAlign w:val="center"/>
                </w:tcPr>
                <w:p w14:paraId="792F8355">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SA"/>
                    </w:rPr>
                  </w:pPr>
                  <w:r>
                    <w:rPr>
                      <w:rFonts w:hint="eastAsia" w:cs="Times New Roman"/>
                      <w:color w:val="auto"/>
                      <w:kern w:val="0"/>
                      <w:sz w:val="18"/>
                      <w:szCs w:val="18"/>
                      <w:highlight w:val="none"/>
                      <w:lang w:val="en-US" w:eastAsia="zh-CN" w:bidi="ar-SA"/>
                    </w:rPr>
                    <w:t>8.75m</w:t>
                  </w:r>
                  <w:r>
                    <w:rPr>
                      <w:rFonts w:hint="eastAsia" w:cs="Times New Roman"/>
                      <w:color w:val="auto"/>
                      <w:kern w:val="0"/>
                      <w:sz w:val="18"/>
                      <w:szCs w:val="18"/>
                      <w:highlight w:val="none"/>
                      <w:vertAlign w:val="superscript"/>
                      <w:lang w:val="en-US" w:eastAsia="zh-CN" w:bidi="ar-SA"/>
                    </w:rPr>
                    <w:t>2</w:t>
                  </w:r>
                </w:p>
              </w:tc>
              <w:tc>
                <w:tcPr>
                  <w:tcW w:w="658" w:type="dxa"/>
                  <w:tcBorders>
                    <w:tl2br w:val="nil"/>
                    <w:tr2bl w:val="nil"/>
                  </w:tcBorders>
                  <w:noWrap w:val="0"/>
                  <w:vAlign w:val="center"/>
                </w:tcPr>
                <w:p w14:paraId="5632A272">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rPr>
                    <w:t>大桶带盖</w:t>
                  </w:r>
                </w:p>
              </w:tc>
              <w:tc>
                <w:tcPr>
                  <w:tcW w:w="598" w:type="dxa"/>
                  <w:vMerge w:val="restart"/>
                  <w:tcBorders>
                    <w:tl2br w:val="nil"/>
                    <w:tr2bl w:val="nil"/>
                  </w:tcBorders>
                  <w:noWrap w:val="0"/>
                  <w:vAlign w:val="center"/>
                </w:tcPr>
                <w:p w14:paraId="6299EE3D">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rPr>
                  </w:pPr>
                  <w:r>
                    <w:rPr>
                      <w:rFonts w:hint="eastAsia" w:cs="Times New Roman"/>
                      <w:color w:val="auto"/>
                      <w:kern w:val="0"/>
                      <w:sz w:val="18"/>
                      <w:szCs w:val="18"/>
                      <w:highlight w:val="none"/>
                      <w:lang w:val="en-US" w:eastAsia="zh-CN" w:bidi="ar-SA"/>
                    </w:rPr>
                    <w:t>8.75m</w:t>
                  </w:r>
                  <w:r>
                    <w:rPr>
                      <w:rFonts w:hint="eastAsia" w:cs="Times New Roman"/>
                      <w:color w:val="auto"/>
                      <w:kern w:val="0"/>
                      <w:sz w:val="18"/>
                      <w:szCs w:val="18"/>
                      <w:highlight w:val="none"/>
                      <w:vertAlign w:val="superscript"/>
                      <w:lang w:val="en-US" w:eastAsia="zh-CN" w:bidi="ar-SA"/>
                    </w:rPr>
                    <w:t>2</w:t>
                  </w:r>
                </w:p>
              </w:tc>
              <w:tc>
                <w:tcPr>
                  <w:tcW w:w="673" w:type="dxa"/>
                  <w:vMerge w:val="restart"/>
                  <w:tcBorders>
                    <w:tl2br w:val="nil"/>
                    <w:tr2bl w:val="nil"/>
                  </w:tcBorders>
                  <w:noWrap w:val="0"/>
                  <w:vAlign w:val="center"/>
                </w:tcPr>
                <w:p w14:paraId="40DB1078">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半年</w:t>
                  </w:r>
                </w:p>
              </w:tc>
            </w:tr>
            <w:tr w14:paraId="4B09823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75" w:hRule="atLeast"/>
                <w:jc w:val="center"/>
              </w:trPr>
              <w:tc>
                <w:tcPr>
                  <w:tcW w:w="524" w:type="dxa"/>
                  <w:tcBorders>
                    <w:tl2br w:val="nil"/>
                    <w:tr2bl w:val="nil"/>
                  </w:tcBorders>
                  <w:noWrap w:val="0"/>
                  <w:vAlign w:val="center"/>
                </w:tcPr>
                <w:p w14:paraId="4ED55932">
                  <w:pPr>
                    <w:keepNext w:val="0"/>
                    <w:keepLines w:val="0"/>
                    <w:pageBreakBefore w:val="0"/>
                    <w:widowControl w:val="0"/>
                    <w:numPr>
                      <w:ilvl w:val="0"/>
                      <w:numId w:val="20"/>
                    </w:numPr>
                    <w:shd w:val="clear"/>
                    <w:kinsoku/>
                    <w:wordWrap/>
                    <w:overflowPunct/>
                    <w:topLinePunct/>
                    <w:autoSpaceDE/>
                    <w:autoSpaceDN/>
                    <w:bidi w:val="0"/>
                    <w:adjustRightInd w:val="0"/>
                    <w:snapToGrid w:val="0"/>
                    <w:spacing w:line="0" w:lineRule="atLeast"/>
                    <w:ind w:left="0" w:lef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p>
              </w:tc>
              <w:tc>
                <w:tcPr>
                  <w:tcW w:w="839" w:type="dxa"/>
                  <w:vMerge w:val="continue"/>
                  <w:tcBorders>
                    <w:tl2br w:val="nil"/>
                    <w:tr2bl w:val="nil"/>
                  </w:tcBorders>
                  <w:noWrap w:val="0"/>
                  <w:vAlign w:val="center"/>
                </w:tcPr>
                <w:p w14:paraId="36DF21A2">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p>
              </w:tc>
              <w:tc>
                <w:tcPr>
                  <w:tcW w:w="1368" w:type="dxa"/>
                  <w:tcBorders>
                    <w:tl2br w:val="nil"/>
                    <w:tr2bl w:val="nil"/>
                  </w:tcBorders>
                  <w:shd w:val="clear" w:color="auto" w:fill="auto"/>
                  <w:noWrap w:val="0"/>
                  <w:vAlign w:val="center"/>
                </w:tcPr>
                <w:p w14:paraId="2673719C">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s="Times New Roman"/>
                      <w:color w:val="auto"/>
                      <w:kern w:val="0"/>
                      <w:sz w:val="18"/>
                      <w:szCs w:val="18"/>
                      <w:highlight w:val="none"/>
                      <w:lang w:val="en-US" w:eastAsia="zh-CN"/>
                    </w:rPr>
                  </w:pPr>
                  <w:r>
                    <w:rPr>
                      <w:rFonts w:hint="default" w:ascii="Times New Roman" w:hAnsi="Times New Roman" w:eastAsia="宋体" w:cs="Times New Roman"/>
                      <w:b w:val="0"/>
                      <w:bCs w:val="0"/>
                      <w:color w:val="auto"/>
                      <w:w w:val="100"/>
                      <w:kern w:val="2"/>
                      <w:sz w:val="18"/>
                      <w:szCs w:val="18"/>
                      <w:highlight w:val="none"/>
                      <w:vertAlign w:val="baseline"/>
                      <w:lang w:val="en-US" w:eastAsia="zh-CN" w:bidi="ar-SA"/>
                    </w:rPr>
                    <w:t>废油桶</w:t>
                  </w:r>
                </w:p>
              </w:tc>
              <w:tc>
                <w:tcPr>
                  <w:tcW w:w="757" w:type="dxa"/>
                  <w:vMerge w:val="continue"/>
                  <w:tcBorders>
                    <w:tl2br w:val="nil"/>
                    <w:tr2bl w:val="nil"/>
                  </w:tcBorders>
                  <w:shd w:val="clear" w:color="auto" w:fill="auto"/>
                  <w:noWrap w:val="0"/>
                  <w:vAlign w:val="center"/>
                </w:tcPr>
                <w:p w14:paraId="193536CE">
                  <w:pPr>
                    <w:pStyle w:val="15"/>
                    <w:keepNext w:val="0"/>
                    <w:keepLines w:val="0"/>
                    <w:pageBreakBefore w:val="0"/>
                    <w:shd w:val="clear"/>
                    <w:kinsoku/>
                    <w:wordWrap/>
                    <w:overflowPunct/>
                    <w:autoSpaceDE/>
                    <w:autoSpaceDN/>
                    <w:bidi w:val="0"/>
                    <w:snapToGrid/>
                    <w:spacing w:after="0" w:line="0" w:lineRule="atLeast"/>
                    <w:ind w:left="0" w:leftChars="0" w:right="0" w:rightChars="0" w:firstLine="0" w:firstLineChars="0"/>
                    <w:jc w:val="center"/>
                    <w:rPr>
                      <w:rFonts w:hint="eastAsia"/>
                      <w:b w:val="0"/>
                      <w:bCs w:val="0"/>
                      <w:color w:val="auto"/>
                      <w:sz w:val="18"/>
                      <w:szCs w:val="18"/>
                      <w:highlight w:val="none"/>
                      <w:lang w:val="en-US" w:eastAsia="zh-CN"/>
                    </w:rPr>
                  </w:pPr>
                </w:p>
              </w:tc>
              <w:tc>
                <w:tcPr>
                  <w:tcW w:w="1066" w:type="dxa"/>
                  <w:tcBorders>
                    <w:tl2br w:val="nil"/>
                    <w:tr2bl w:val="nil"/>
                  </w:tcBorders>
                  <w:shd w:val="clear" w:color="auto" w:fill="auto"/>
                  <w:noWrap w:val="0"/>
                  <w:vAlign w:val="center"/>
                </w:tcPr>
                <w:p w14:paraId="5881E7F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auto"/>
                      <w:kern w:val="0"/>
                      <w:sz w:val="18"/>
                      <w:szCs w:val="18"/>
                      <w:highlight w:val="none"/>
                    </w:rPr>
                  </w:pPr>
                  <w:r>
                    <w:rPr>
                      <w:b w:val="0"/>
                      <w:bCs w:val="0"/>
                      <w:color w:val="auto"/>
                      <w:kern w:val="0"/>
                      <w:sz w:val="18"/>
                      <w:szCs w:val="18"/>
                      <w:highlight w:val="none"/>
                    </w:rPr>
                    <w:t>900-249-08</w:t>
                  </w:r>
                </w:p>
              </w:tc>
              <w:tc>
                <w:tcPr>
                  <w:tcW w:w="578" w:type="dxa"/>
                  <w:vMerge w:val="continue"/>
                  <w:tcBorders>
                    <w:tl2br w:val="nil"/>
                    <w:tr2bl w:val="nil"/>
                  </w:tcBorders>
                  <w:noWrap w:val="0"/>
                  <w:vAlign w:val="center"/>
                </w:tcPr>
                <w:p w14:paraId="44D79C8E">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SA"/>
                    </w:rPr>
                  </w:pPr>
                </w:p>
              </w:tc>
              <w:tc>
                <w:tcPr>
                  <w:tcW w:w="833" w:type="dxa"/>
                  <w:vMerge w:val="continue"/>
                  <w:tcBorders>
                    <w:tl2br w:val="nil"/>
                    <w:tr2bl w:val="nil"/>
                  </w:tcBorders>
                  <w:noWrap w:val="0"/>
                  <w:vAlign w:val="center"/>
                </w:tcPr>
                <w:p w14:paraId="12F8531F">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SA"/>
                    </w:rPr>
                  </w:pPr>
                </w:p>
              </w:tc>
              <w:tc>
                <w:tcPr>
                  <w:tcW w:w="658" w:type="dxa"/>
                  <w:tcBorders>
                    <w:tl2br w:val="nil"/>
                    <w:tr2bl w:val="nil"/>
                  </w:tcBorders>
                  <w:noWrap w:val="0"/>
                  <w:vAlign w:val="center"/>
                </w:tcPr>
                <w:p w14:paraId="18575953">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eastAsia" w:cs="Times New Roman"/>
                      <w:color w:val="auto"/>
                      <w:sz w:val="18"/>
                      <w:szCs w:val="18"/>
                      <w:highlight w:val="none"/>
                      <w:shd w:val="clear" w:color="auto" w:fill="auto"/>
                      <w:lang w:val="en-US" w:eastAsia="zh-CN"/>
                    </w:rPr>
                  </w:pPr>
                  <w:r>
                    <w:rPr>
                      <w:rFonts w:hint="eastAsia" w:cs="Times New Roman"/>
                      <w:color w:val="auto"/>
                      <w:kern w:val="0"/>
                      <w:sz w:val="18"/>
                      <w:szCs w:val="18"/>
                      <w:highlight w:val="none"/>
                      <w:lang w:val="en-US" w:eastAsia="zh-CN"/>
                    </w:rPr>
                    <w:t>托盘</w:t>
                  </w:r>
                </w:p>
              </w:tc>
              <w:tc>
                <w:tcPr>
                  <w:tcW w:w="598" w:type="dxa"/>
                  <w:vMerge w:val="continue"/>
                  <w:tcBorders>
                    <w:tl2br w:val="nil"/>
                    <w:tr2bl w:val="nil"/>
                  </w:tcBorders>
                  <w:noWrap w:val="0"/>
                  <w:vAlign w:val="center"/>
                </w:tcPr>
                <w:p w14:paraId="7BFDD16B">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rPr>
                  </w:pPr>
                </w:p>
              </w:tc>
              <w:tc>
                <w:tcPr>
                  <w:tcW w:w="673" w:type="dxa"/>
                  <w:vMerge w:val="continue"/>
                  <w:tcBorders>
                    <w:tl2br w:val="nil"/>
                    <w:tr2bl w:val="nil"/>
                  </w:tcBorders>
                  <w:noWrap w:val="0"/>
                  <w:vAlign w:val="center"/>
                </w:tcPr>
                <w:p w14:paraId="5E5BC411">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auto"/>
                      <w:kern w:val="0"/>
                      <w:sz w:val="18"/>
                      <w:szCs w:val="18"/>
                      <w:highlight w:val="none"/>
                    </w:rPr>
                  </w:pPr>
                </w:p>
              </w:tc>
            </w:tr>
          </w:tbl>
          <w:p w14:paraId="3358D319">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⑷</w:t>
            </w:r>
            <w:r>
              <w:rPr>
                <w:rFonts w:hint="default" w:ascii="Times New Roman" w:hAnsi="Times New Roman" w:eastAsia="宋体" w:cs="Times New Roman"/>
                <w:color w:val="auto"/>
                <w:sz w:val="24"/>
                <w:szCs w:val="24"/>
                <w:highlight w:val="none"/>
              </w:rPr>
              <w:t>危险废物运输</w:t>
            </w:r>
          </w:p>
          <w:p w14:paraId="7981C0E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本项目产生的危险废物按照《危险废物收集、贮存、运输技术规范》（HJ2025-2012）相关要求进行运输，并按</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危险废物管理计划和管理台账制定技术导则</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HJ1259-2022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要求填写危险废物的收集记录、厂内转运</w:t>
            </w:r>
            <w:r>
              <w:rPr>
                <w:rFonts w:hint="eastAsia" w:ascii="Times New Roman" w:hAnsi="Times New Roman" w:eastAsia="宋体" w:cs="Times New Roman"/>
                <w:color w:val="auto"/>
                <w:sz w:val="24"/>
                <w:szCs w:val="24"/>
                <w:highlight w:val="none"/>
                <w:lang w:val="en-US" w:eastAsia="zh-CN"/>
              </w:rPr>
              <w:t>和危险废物转移情况</w:t>
            </w:r>
            <w:r>
              <w:rPr>
                <w:rFonts w:hint="default" w:ascii="Times New Roman" w:hAnsi="Times New Roman" w:eastAsia="宋体" w:cs="Times New Roman"/>
                <w:color w:val="auto"/>
                <w:sz w:val="24"/>
                <w:szCs w:val="24"/>
                <w:highlight w:val="none"/>
              </w:rPr>
              <w:t>记录表，并将记录表作为危险废物管理的重要档案妥善保存。</w:t>
            </w:r>
          </w:p>
          <w:p w14:paraId="6AFC5AE8">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a、运输承运危险废物时，应按照相关标准要求在危险废物包装上设置标志。</w:t>
            </w:r>
          </w:p>
          <w:p w14:paraId="1F88BF9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b、所有运输车辆按规定的路线运输。</w:t>
            </w:r>
          </w:p>
          <w:p w14:paraId="627BC8E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c、运输过程中危险废物应放置在密闭容器中，且运输设施应为封闭结构，具有防臭防遗撒功能，安装行驶及装卸记录仪。</w:t>
            </w:r>
          </w:p>
          <w:p w14:paraId="25C3B4D4">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d、危险废物内部转运作业应采用专用的工具，危险废物内部转运应按照标准要求填写《危险废物厂内转运记录表》。</w:t>
            </w:r>
          </w:p>
          <w:p w14:paraId="2AC3A94B">
            <w:pPr>
              <w:pStyle w:val="79"/>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e、危险废物内部转运结束后，应对转运路线进行检查和清理，无危险废物遗失在转运路线上。</w:t>
            </w:r>
          </w:p>
          <w:p w14:paraId="4D7B220C">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⑸</w:t>
            </w:r>
            <w:r>
              <w:rPr>
                <w:rFonts w:hint="default" w:ascii="Times New Roman" w:hAnsi="Times New Roman" w:eastAsia="宋体" w:cs="Times New Roman"/>
                <w:color w:val="auto"/>
                <w:sz w:val="24"/>
                <w:szCs w:val="24"/>
                <w:highlight w:val="none"/>
              </w:rPr>
              <w:t>危险废物处置</w:t>
            </w:r>
          </w:p>
          <w:p w14:paraId="17D04E35">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80" w:lineRule="exact"/>
              <w:ind w:left="0" w:leftChars="0" w:right="0" w:rightChars="0" w:firstLine="480" w:firstLineChars="200"/>
              <w:textAlignment w:val="auto"/>
              <w:rPr>
                <w:rFonts w:hint="default" w:ascii="Times New Roman" w:hAnsi="Times New Roman" w:eastAsia="宋体" w:cs="Times New Roman"/>
                <w:b w:val="0"/>
                <w:i w:val="0"/>
                <w:color w:val="auto"/>
                <w:kern w:val="0"/>
                <w:sz w:val="24"/>
                <w:szCs w:val="24"/>
                <w:highlight w:val="none"/>
                <w:shd w:val="clear" w:color="auto" w:fill="auto"/>
                <w:lang w:val="en-US" w:eastAsia="zh-CN" w:bidi="ar"/>
              </w:rPr>
            </w:pP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本项目产生的危险废物拟交由有资质的单位处理。在选择处置单位时，应选择具有危险废物经营许可证，资质许可范围包含本项目产生的危险废物类别，能够提供专业收集、运输、贮存、处理处置及综合利用危险废物的企业，避免危险废物对环境的二次污染风险。在满足上述条件下，本项目危险废物交</w:t>
            </w:r>
            <w:r>
              <w:rPr>
                <w:rFonts w:hint="eastAsia" w:cs="Times New Roman"/>
                <w:b w:val="0"/>
                <w:i w:val="0"/>
                <w:color w:val="auto"/>
                <w:kern w:val="0"/>
                <w:sz w:val="24"/>
                <w:szCs w:val="24"/>
                <w:highlight w:val="none"/>
                <w:shd w:val="clear" w:color="auto" w:fill="auto"/>
                <w:lang w:val="en-US" w:eastAsia="zh-CN" w:bidi="ar"/>
              </w:rPr>
              <w:t>有资质的危险废物处置单位</w:t>
            </w:r>
            <w:r>
              <w:rPr>
                <w:rFonts w:hint="default" w:ascii="Times New Roman" w:hAnsi="Times New Roman" w:eastAsia="宋体" w:cs="Times New Roman"/>
                <w:b w:val="0"/>
                <w:i w:val="0"/>
                <w:color w:val="auto"/>
                <w:kern w:val="0"/>
                <w:sz w:val="24"/>
                <w:szCs w:val="24"/>
                <w:highlight w:val="none"/>
                <w:shd w:val="clear" w:color="auto" w:fill="auto"/>
                <w:lang w:val="en-US" w:eastAsia="zh-CN" w:bidi="ar"/>
              </w:rPr>
              <w:t>处理途径可行。</w:t>
            </w:r>
          </w:p>
          <w:p w14:paraId="112901A2">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lang w:val="en-US" w:eastAsia="zh-CN"/>
              </w:rPr>
              <w:t>4.</w:t>
            </w:r>
            <w:r>
              <w:rPr>
                <w:rFonts w:hint="eastAsia"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eastAsia="zh-CN"/>
              </w:rPr>
              <w:t>危险废物</w:t>
            </w:r>
            <w:r>
              <w:rPr>
                <w:rFonts w:hint="eastAsia" w:ascii="Times New Roman" w:hAnsi="Times New Roman" w:eastAsia="宋体" w:cs="Times New Roman"/>
                <w:b/>
                <w:bCs/>
                <w:color w:val="auto"/>
                <w:sz w:val="24"/>
                <w:szCs w:val="24"/>
                <w:highlight w:val="none"/>
                <w:lang w:val="en-US" w:eastAsia="zh-CN"/>
              </w:rPr>
              <w:t>管理台账制定</w:t>
            </w:r>
            <w:r>
              <w:rPr>
                <w:rFonts w:hint="default" w:ascii="Times New Roman" w:hAnsi="Times New Roman" w:eastAsia="宋体" w:cs="Times New Roman"/>
                <w:b/>
                <w:bCs/>
                <w:color w:val="auto"/>
                <w:sz w:val="24"/>
                <w:szCs w:val="24"/>
                <w:highlight w:val="none"/>
                <w:lang w:eastAsia="zh-CN"/>
              </w:rPr>
              <w:t>要求</w:t>
            </w:r>
          </w:p>
          <w:p w14:paraId="4F9F1871">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⑴一般原则</w:t>
            </w:r>
          </w:p>
          <w:p w14:paraId="6FD21BB7">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产生危险废物的单位应建立危险废物管理台账，落实危险废物管理台账记录的责任人，明确工作职责，并对危险废物管理台账的真实性、准确性和完整性负法律责任。</w:t>
            </w:r>
          </w:p>
          <w:p w14:paraId="01BF5185">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产生危险废物的单位应根据危险废物产生、贮存、利用、处置等环节的动态流向，如实建立各环节的危险废物管理台账。</w:t>
            </w:r>
          </w:p>
          <w:p w14:paraId="784F3A9F">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危险废物管理台账分为电子管理台账和纸质管理台账两种形式。产生危险废物的单位可通过国家危险废物信息管理系统、企业自建信息管理系统或第三方平台等方式记录电子管理台账。</w:t>
            </w:r>
          </w:p>
          <w:p w14:paraId="4A868D82">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⑵频次要求</w:t>
            </w:r>
          </w:p>
          <w:p w14:paraId="35B820FA">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产生后盛放至容器和包装物的，应按每个容器和包装物进行记录；产生后采用管道等方式输送至贮存场所的，按日记录；其他特殊情形的，根据危险废物产生规律确定记录频次。</w:t>
            </w:r>
          </w:p>
          <w:p w14:paraId="7047DE6A">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⑶</w:t>
            </w:r>
            <w:r>
              <w:rPr>
                <w:rFonts w:hint="default" w:ascii="Times New Roman" w:hAnsi="Times New Roman" w:eastAsia="宋体" w:cs="Times New Roman"/>
                <w:color w:val="auto"/>
                <w:sz w:val="24"/>
                <w:szCs w:val="24"/>
                <w:highlight w:val="none"/>
                <w:lang w:val="en-US" w:eastAsia="zh-CN"/>
              </w:rPr>
              <w:t>记录内容</w:t>
            </w:r>
          </w:p>
          <w:p w14:paraId="4B72F1F9">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根据</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危险废物管理计划和管理台账制定技术导则</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HJ1259-2022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要求填写</w:t>
            </w:r>
            <w:r>
              <w:rPr>
                <w:rFonts w:hint="default" w:ascii="Times New Roman" w:hAnsi="Times New Roman" w:eastAsia="宋体" w:cs="Times New Roman"/>
                <w:color w:val="auto"/>
                <w:sz w:val="24"/>
                <w:szCs w:val="24"/>
                <w:highlight w:val="none"/>
                <w:lang w:val="en-US" w:eastAsia="zh-CN"/>
              </w:rPr>
              <w:t>危险废物产生环节</w:t>
            </w:r>
            <w:r>
              <w:rPr>
                <w:rFonts w:hint="eastAsia" w:ascii="Times New Roman" w:hAnsi="Times New Roman" w:eastAsia="宋体" w:cs="Times New Roman"/>
                <w:color w:val="auto"/>
                <w:sz w:val="24"/>
                <w:szCs w:val="24"/>
                <w:highlight w:val="none"/>
                <w:lang w:val="en-US" w:eastAsia="zh-CN"/>
              </w:rPr>
              <w:t>、入库环节、出库环节、委托利用/处置环节的情况。</w:t>
            </w:r>
          </w:p>
          <w:p w14:paraId="4FACD776">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⑷记录保存</w:t>
            </w:r>
          </w:p>
          <w:p w14:paraId="053B4A70">
            <w:pPr>
              <w:pStyle w:val="11"/>
              <w:keepNext w:val="0"/>
              <w:keepLines w:val="0"/>
              <w:pageBreakBefore w:val="0"/>
              <w:widowControl w:val="0"/>
              <w:shd w:val="clear"/>
              <w:kinsoku/>
              <w:wordWrap/>
              <w:overflowPunct/>
              <w:topLinePunct w:val="0"/>
              <w:autoSpaceDE/>
              <w:autoSpaceDN/>
              <w:bidi w:val="0"/>
              <w:textAlignment w:val="auto"/>
              <w:rPr>
                <w:rFonts w:hint="default" w:ascii="Times New Roman" w:hAnsi="Times New Roman" w:eastAsia="宋体" w:cs="Times New Roman"/>
                <w:color w:val="auto"/>
                <w:sz w:val="24"/>
                <w:szCs w:val="24"/>
                <w:highlight w:val="none"/>
                <w:lang w:val="en-US" w:eastAsia="zh-CN"/>
              </w:rPr>
            </w:pPr>
            <w:r>
              <w:rPr>
                <w:rFonts w:hint="eastAsia"/>
                <w:color w:val="auto"/>
                <w:highlight w:val="none"/>
              </w:rPr>
              <w:t>根据《河北省固体废物污染环境防治条例》，危险废物管理台账的保存时间应当在10年以上。</w:t>
            </w:r>
          </w:p>
          <w:p w14:paraId="3D40CE70">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eastAsia"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w:t>
            </w:r>
            <w:r>
              <w:rPr>
                <w:rFonts w:hint="eastAsia" w:cs="Times New Roman"/>
                <w:b/>
                <w:bCs/>
                <w:color w:val="auto"/>
                <w:sz w:val="24"/>
                <w:szCs w:val="24"/>
                <w:highlight w:val="none"/>
                <w:lang w:val="en-US" w:eastAsia="zh-CN"/>
              </w:rPr>
              <w:t>3 生活垃圾</w:t>
            </w:r>
          </w:p>
          <w:p w14:paraId="1E866B35">
            <w:pPr>
              <w:keepNext w:val="0"/>
              <w:keepLines w:val="0"/>
              <w:pageBreakBefore w:val="0"/>
              <w:widowControl w:val="0"/>
              <w:shd w:val="clear"/>
              <w:kinsoku/>
              <w:wordWrap/>
              <w:overflowPunct/>
              <w:topLinePunct w:val="0"/>
              <w:autoSpaceDE/>
              <w:autoSpaceDN/>
              <w:bidi w:val="0"/>
              <w:textAlignment w:val="auto"/>
              <w:rPr>
                <w:rFonts w:hint="default"/>
                <w:color w:val="auto"/>
                <w:highlight w:val="none"/>
              </w:rPr>
            </w:pPr>
            <w:r>
              <w:rPr>
                <w:rFonts w:hint="eastAsia"/>
                <w:color w:val="auto"/>
                <w:highlight w:val="none"/>
                <w:lang w:val="en-US" w:eastAsia="zh-CN"/>
              </w:rPr>
              <w:t>本项目新增劳动定员9人，职工生活会产生一定量的生活垃圾，主要为</w:t>
            </w:r>
            <w:r>
              <w:rPr>
                <w:rFonts w:hint="default"/>
                <w:color w:val="auto"/>
                <w:highlight w:val="none"/>
              </w:rPr>
              <w:t>废纸、废塑料袋等，职工产生的垃圾按0.</w:t>
            </w:r>
            <w:r>
              <w:rPr>
                <w:rFonts w:hint="eastAsia"/>
                <w:color w:val="auto"/>
                <w:highlight w:val="none"/>
                <w:lang w:val="en-US" w:eastAsia="zh-CN"/>
              </w:rPr>
              <w:t>5</w:t>
            </w:r>
            <w:r>
              <w:rPr>
                <w:rFonts w:hint="default"/>
                <w:color w:val="auto"/>
                <w:highlight w:val="none"/>
              </w:rPr>
              <w:t>kg/人•天计，</w:t>
            </w:r>
            <w:r>
              <w:rPr>
                <w:rFonts w:hint="eastAsia"/>
                <w:color w:val="auto"/>
                <w:highlight w:val="none"/>
                <w:lang w:val="en-US" w:eastAsia="zh-CN"/>
              </w:rPr>
              <w:t>项目年工作300天，</w:t>
            </w:r>
            <w:r>
              <w:rPr>
                <w:rFonts w:hint="default"/>
                <w:color w:val="auto"/>
                <w:highlight w:val="none"/>
              </w:rPr>
              <w:t>垃圾产生量为</w:t>
            </w:r>
            <w:r>
              <w:rPr>
                <w:rFonts w:hint="eastAsia"/>
                <w:color w:val="auto"/>
                <w:highlight w:val="none"/>
                <w:lang w:val="en-US" w:eastAsia="zh-CN"/>
              </w:rPr>
              <w:t>1.35t/a</w:t>
            </w:r>
            <w:r>
              <w:rPr>
                <w:rFonts w:hint="default"/>
                <w:color w:val="auto"/>
                <w:highlight w:val="none"/>
              </w:rPr>
              <w:t>，袋装化</w:t>
            </w:r>
            <w:r>
              <w:rPr>
                <w:rFonts w:hint="eastAsia"/>
                <w:color w:val="auto"/>
                <w:highlight w:val="none"/>
                <w:lang w:eastAsia="zh-CN"/>
              </w:rPr>
              <w:t>，</w:t>
            </w:r>
            <w:r>
              <w:rPr>
                <w:rFonts w:hint="default"/>
                <w:color w:val="auto"/>
                <w:highlight w:val="none"/>
              </w:rPr>
              <w:t>集中收集，送当地环卫部门指定地点统一处理。</w:t>
            </w:r>
          </w:p>
          <w:p w14:paraId="3180D4EB">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4.4</w:t>
            </w:r>
            <w:r>
              <w:rPr>
                <w:rFonts w:hint="default" w:ascii="Times New Roman" w:hAnsi="Times New Roman" w:eastAsia="宋体" w:cs="Times New Roman"/>
                <w:b/>
                <w:bCs/>
                <w:color w:val="auto"/>
                <w:sz w:val="24"/>
                <w:szCs w:val="24"/>
                <w:highlight w:val="none"/>
                <w:lang w:val="en-US" w:eastAsia="zh-CN"/>
              </w:rPr>
              <w:t>固体废物</w:t>
            </w:r>
            <w:r>
              <w:rPr>
                <w:rFonts w:hint="eastAsia" w:ascii="Times New Roman" w:hAnsi="Times New Roman" w:eastAsia="宋体" w:cs="Times New Roman"/>
                <w:b/>
                <w:bCs/>
                <w:color w:val="auto"/>
                <w:sz w:val="24"/>
                <w:szCs w:val="24"/>
                <w:highlight w:val="none"/>
                <w:lang w:val="en-US" w:eastAsia="zh-CN"/>
              </w:rPr>
              <w:t>处置措施可行性分析</w:t>
            </w:r>
          </w:p>
          <w:p w14:paraId="252EEC94">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综上，本项目产生的固体废物均得到妥善处置，不会对环境造成二次污染。</w:t>
            </w:r>
            <w:r>
              <w:rPr>
                <w:rFonts w:hint="eastAsia" w:ascii="Times New Roman" w:hAnsi="Times New Roman" w:eastAsia="宋体" w:cs="Times New Roman"/>
                <w:color w:val="auto"/>
                <w:sz w:val="24"/>
                <w:szCs w:val="24"/>
                <w:highlight w:val="none"/>
                <w:lang w:val="en-US" w:eastAsia="zh-CN"/>
              </w:rPr>
              <w:t>根据《排污许可证申请与核发技术规范</w:t>
            </w:r>
            <w:r>
              <w:rPr>
                <w:rFonts w:hint="eastAsia"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工业固体废物（试行）》（HJ1200-2021）中污染防控技术要求可知，本项目一般固体废物暂存间以及一般固体废物管理要求满足一般固体废物自行贮存设施污染防控技术要求，危险废物管理要求满足危险废物自行贮存设施污染防控技术要求，因此</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本项目固体废物治理措施满足《排污许可证申请与核发技术规范</w:t>
            </w:r>
            <w:r>
              <w:rPr>
                <w:rFonts w:hint="eastAsia"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工业固体废物（试行）》（HJ1200-2021）相关要求。</w:t>
            </w:r>
          </w:p>
          <w:p w14:paraId="003FAC8E">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w:t>
            </w:r>
            <w:r>
              <w:rPr>
                <w:rFonts w:hint="eastAsia"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zh-CN"/>
              </w:rPr>
              <w:t>固体废物影响评价结论</w:t>
            </w:r>
          </w:p>
          <w:p w14:paraId="3539B976">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采取本项目提出的固体废物处置措施，各固体废物均得到合理处置，不会对环境造成二次污染。</w:t>
            </w:r>
          </w:p>
          <w:p w14:paraId="76D5005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5、土壤</w:t>
            </w:r>
            <w:r>
              <w:rPr>
                <w:rFonts w:hint="eastAsia" w:ascii="Times New Roman" w:hAnsi="Times New Roman" w:eastAsia="宋体" w:cs="Times New Roman"/>
                <w:b/>
                <w:bCs/>
                <w:color w:val="auto"/>
                <w:sz w:val="24"/>
                <w:szCs w:val="24"/>
                <w:highlight w:val="none"/>
                <w:lang w:val="en-US" w:eastAsia="zh-CN"/>
              </w:rPr>
              <w:t>、地下水环境影响分析</w:t>
            </w:r>
          </w:p>
          <w:p w14:paraId="323DA8AC">
            <w:pPr>
              <w:pStyle w:val="58"/>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根据《建设项目环境影响报告表编制技术指南（污染影响类）（试行</w:t>
            </w:r>
            <w:r>
              <w:rPr>
                <w:rFonts w:hint="eastAsia"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“土壤、声环境不开展专项评价”，因此</w:t>
            </w:r>
            <w:r>
              <w:rPr>
                <w:rFonts w:hint="eastAsia"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本项目无需开展土壤专项评价；</w:t>
            </w:r>
            <w:r>
              <w:rPr>
                <w:rFonts w:hint="default" w:ascii="Times New Roman" w:hAnsi="Times New Roman" w:eastAsia="宋体" w:cs="Times New Roman"/>
                <w:color w:val="auto"/>
                <w:sz w:val="24"/>
                <w:szCs w:val="24"/>
                <w:highlight w:val="none"/>
                <w:lang w:val="en-US" w:eastAsia="zh-CN"/>
              </w:rPr>
              <w:t>根据《建设项目环境影响报告表编制技术指南（污染影响类）（试行</w:t>
            </w:r>
            <w:r>
              <w:rPr>
                <w:rFonts w:hint="eastAsia"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地下水原则上不开展专项评价，涉及集中式饮用水水源和热水、矿泉水、温泉等特殊地下水资源保护区的开展地下水专项评价工作</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kern w:val="0"/>
                <w:sz w:val="24"/>
                <w:szCs w:val="24"/>
                <w:highlight w:val="none"/>
                <w:shd w:val="clear" w:color="auto" w:fill="auto"/>
                <w:lang w:val="en-US" w:eastAsia="zh-CN"/>
              </w:rPr>
              <w:t>本项目不</w:t>
            </w:r>
            <w:r>
              <w:rPr>
                <w:rFonts w:hint="eastAsia" w:ascii="Times New Roman" w:hAnsi="Times New Roman" w:eastAsia="宋体" w:cs="Times New Roman"/>
                <w:color w:val="auto"/>
                <w:sz w:val="24"/>
                <w:szCs w:val="24"/>
                <w:highlight w:val="none"/>
                <w:lang w:val="en-US" w:eastAsia="zh-CN"/>
              </w:rPr>
              <w:t>涉及集中式饮用水水源和热水、矿泉水、温泉等特殊地下水资源保护区</w:t>
            </w:r>
            <w:r>
              <w:rPr>
                <w:rFonts w:hint="eastAsia" w:ascii="Times New Roman" w:hAnsi="Times New Roman" w:eastAsia="宋体" w:cs="Times New Roman"/>
                <w:color w:val="auto"/>
                <w:kern w:val="0"/>
                <w:sz w:val="24"/>
                <w:szCs w:val="24"/>
                <w:highlight w:val="none"/>
                <w:shd w:val="clear" w:color="auto" w:fill="auto"/>
                <w:lang w:val="en-US" w:eastAsia="zh-CN"/>
              </w:rPr>
              <w:t>，因此</w:t>
            </w:r>
            <w:r>
              <w:rPr>
                <w:rFonts w:hint="eastAsia" w:eastAsia="宋体" w:cs="Times New Roman"/>
                <w:color w:val="auto"/>
                <w:kern w:val="0"/>
                <w:sz w:val="24"/>
                <w:szCs w:val="24"/>
                <w:highlight w:val="none"/>
                <w:shd w:val="clear" w:color="auto" w:fill="auto"/>
                <w:lang w:val="en-US" w:eastAsia="zh-CN"/>
              </w:rPr>
              <w:t>，</w:t>
            </w:r>
            <w:r>
              <w:rPr>
                <w:rFonts w:hint="eastAsia" w:ascii="Times New Roman" w:hAnsi="Times New Roman" w:eastAsia="宋体" w:cs="Times New Roman"/>
                <w:color w:val="auto"/>
                <w:kern w:val="0"/>
                <w:sz w:val="24"/>
                <w:szCs w:val="24"/>
                <w:highlight w:val="none"/>
                <w:shd w:val="clear" w:color="auto" w:fill="auto"/>
                <w:lang w:val="en-US" w:eastAsia="zh-CN"/>
              </w:rPr>
              <w:t>本项目无需做地下水专项评价。</w:t>
            </w:r>
          </w:p>
          <w:p w14:paraId="5CE9DB11">
            <w:pPr>
              <w:pStyle w:val="58"/>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⑴</w:t>
            </w:r>
            <w:r>
              <w:rPr>
                <w:rFonts w:hint="default" w:ascii="Times New Roman" w:hAnsi="Times New Roman" w:eastAsia="宋体" w:cs="Times New Roman"/>
                <w:color w:val="auto"/>
                <w:highlight w:val="none"/>
              </w:rPr>
              <w:t>影响源、影响因子和影响途径</w:t>
            </w:r>
          </w:p>
          <w:p w14:paraId="05AB652F">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auto"/>
                <w:sz w:val="24"/>
                <w:szCs w:val="24"/>
                <w:highlight w:val="none"/>
                <w:lang w:bidi="ar"/>
              </w:rPr>
            </w:pPr>
            <w:r>
              <w:rPr>
                <w:rFonts w:hint="default" w:ascii="Times New Roman" w:hAnsi="Times New Roman" w:eastAsia="宋体" w:cs="Times New Roman"/>
                <w:color w:val="auto"/>
                <w:sz w:val="24"/>
                <w:szCs w:val="24"/>
                <w:highlight w:val="none"/>
              </w:rPr>
              <w:t>①</w:t>
            </w:r>
            <w:r>
              <w:rPr>
                <w:rFonts w:hint="default" w:ascii="Times New Roman" w:hAnsi="Times New Roman" w:eastAsia="宋体" w:cs="Times New Roman"/>
                <w:bCs/>
                <w:color w:val="auto"/>
                <w:sz w:val="24"/>
                <w:szCs w:val="24"/>
                <w:highlight w:val="none"/>
                <w:lang w:bidi="ar"/>
              </w:rPr>
              <w:t>大气沉降</w:t>
            </w:r>
          </w:p>
          <w:p w14:paraId="58F2E837">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lang w:bidi="ar"/>
              </w:rPr>
              <w:t>本项目运营期废气中污染物主要为颗粒物</w:t>
            </w:r>
            <w:r>
              <w:rPr>
                <w:rFonts w:hint="default" w:ascii="Times New Roman" w:hAnsi="Times New Roman" w:eastAsia="宋体" w:cs="Times New Roman"/>
                <w:color w:val="auto"/>
                <w:sz w:val="24"/>
                <w:szCs w:val="24"/>
                <w:highlight w:val="none"/>
              </w:rPr>
              <w:t>，经</w:t>
            </w:r>
            <w:r>
              <w:rPr>
                <w:rFonts w:hint="eastAsia" w:ascii="Times New Roman" w:hAnsi="Times New Roman" w:eastAsia="宋体" w:cs="Times New Roman"/>
                <w:color w:val="auto"/>
                <w:sz w:val="24"/>
                <w:szCs w:val="24"/>
                <w:highlight w:val="none"/>
                <w:lang w:val="en-US" w:eastAsia="zh-CN"/>
              </w:rPr>
              <w:t>门</w:t>
            </w:r>
            <w:r>
              <w:rPr>
                <w:rFonts w:hint="default" w:ascii="Times New Roman" w:hAnsi="Times New Roman" w:eastAsia="宋体" w:cs="Times New Roman"/>
                <w:color w:val="auto"/>
                <w:sz w:val="24"/>
                <w:szCs w:val="24"/>
                <w:highlight w:val="none"/>
              </w:rPr>
              <w:t>排放后会落至厂区周边土壤上，对土壤造成影响。</w:t>
            </w:r>
          </w:p>
          <w:p w14:paraId="1E43BE71">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auto"/>
                <w:sz w:val="24"/>
                <w:szCs w:val="24"/>
                <w:highlight w:val="none"/>
                <w:lang w:bidi="ar"/>
              </w:rPr>
            </w:pPr>
            <w:r>
              <w:rPr>
                <w:rFonts w:hint="eastAsia" w:cs="Times New Roman"/>
                <w:bCs/>
                <w:color w:val="auto"/>
                <w:sz w:val="24"/>
                <w:szCs w:val="24"/>
                <w:highlight w:val="none"/>
                <w:lang w:eastAsia="zh-CN" w:bidi="ar"/>
              </w:rPr>
              <w:t>②</w:t>
            </w:r>
            <w:r>
              <w:rPr>
                <w:rFonts w:hint="default" w:ascii="Times New Roman" w:hAnsi="Times New Roman" w:eastAsia="宋体" w:cs="Times New Roman"/>
                <w:bCs/>
                <w:color w:val="auto"/>
                <w:sz w:val="24"/>
                <w:szCs w:val="24"/>
                <w:highlight w:val="none"/>
                <w:lang w:bidi="ar"/>
              </w:rPr>
              <w:t>垂直入渗</w:t>
            </w:r>
          </w:p>
          <w:p w14:paraId="486B6611">
            <w:pPr>
              <w:keepNext w:val="0"/>
              <w:keepLines w:val="0"/>
              <w:pageBreakBefore w:val="0"/>
              <w:widowControl w:val="0"/>
              <w:shd w:val="clear"/>
              <w:kinsoku/>
              <w:wordWrap/>
              <w:overflowPunct/>
              <w:topLinePunct w:val="0"/>
              <w:autoSpaceDE/>
              <w:autoSpaceDN/>
              <w:bidi w:val="0"/>
              <w:adjustRightInd/>
              <w:spacing w:line="480" w:lineRule="exact"/>
              <w:ind w:firstLine="480" w:firstLineChars="200"/>
              <w:jc w:val="both"/>
              <w:textAlignment w:val="auto"/>
              <w:rPr>
                <w:rFonts w:hint="eastAsia"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rPr>
              <w:t>本项目使用的</w:t>
            </w:r>
            <w:r>
              <w:rPr>
                <w:rFonts w:hint="eastAsia" w:ascii="Times New Roman" w:hAnsi="Times New Roman" w:eastAsia="宋体" w:cs="Times New Roman"/>
                <w:color w:val="auto"/>
                <w:sz w:val="24"/>
                <w:szCs w:val="22"/>
                <w:highlight w:val="none"/>
                <w:lang w:val="en-US" w:eastAsia="zh-CN"/>
              </w:rPr>
              <w:t>润滑油储存于</w:t>
            </w:r>
            <w:r>
              <w:rPr>
                <w:rFonts w:hint="eastAsia" w:cs="Times New Roman"/>
                <w:color w:val="auto"/>
                <w:sz w:val="24"/>
                <w:szCs w:val="22"/>
                <w:highlight w:val="none"/>
                <w:lang w:val="en-US" w:eastAsia="zh-CN"/>
              </w:rPr>
              <w:t>生产</w:t>
            </w:r>
            <w:r>
              <w:rPr>
                <w:rFonts w:hint="eastAsia" w:ascii="Times New Roman" w:hAnsi="Times New Roman" w:eastAsia="宋体" w:cs="Times New Roman"/>
                <w:color w:val="auto"/>
                <w:sz w:val="24"/>
                <w:szCs w:val="22"/>
                <w:highlight w:val="none"/>
                <w:lang w:val="en-US" w:eastAsia="zh-CN"/>
              </w:rPr>
              <w:t>设备中</w:t>
            </w:r>
            <w:r>
              <w:rPr>
                <w:rFonts w:hint="eastAsia" w:cs="Times New Roman"/>
                <w:color w:val="auto"/>
                <w:sz w:val="24"/>
                <w:szCs w:val="22"/>
                <w:highlight w:val="none"/>
                <w:lang w:val="en-US" w:eastAsia="zh-CN"/>
              </w:rPr>
              <w:t>，废润滑油暂存于危险废物暂存间内</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kern w:val="0"/>
                <w:sz w:val="24"/>
                <w:highlight w:val="none"/>
              </w:rPr>
              <w:t>事故状况下，</w:t>
            </w:r>
            <w:r>
              <w:rPr>
                <w:rFonts w:hint="eastAsia" w:ascii="Times New Roman" w:hAnsi="Times New Roman" w:eastAsia="宋体" w:cs="Times New Roman"/>
                <w:color w:val="auto"/>
                <w:sz w:val="24"/>
                <w:szCs w:val="32"/>
                <w:highlight w:val="none"/>
                <w:lang w:val="en-US" w:eastAsia="zh-CN"/>
              </w:rPr>
              <w:t>润滑油、</w:t>
            </w:r>
            <w:r>
              <w:rPr>
                <w:rFonts w:hint="eastAsia" w:cs="Times New Roman"/>
                <w:color w:val="auto"/>
                <w:sz w:val="24"/>
                <w:szCs w:val="32"/>
                <w:highlight w:val="none"/>
                <w:lang w:val="en-US" w:eastAsia="zh-CN"/>
              </w:rPr>
              <w:t>废润滑油</w:t>
            </w:r>
            <w:r>
              <w:rPr>
                <w:rFonts w:hint="eastAsia" w:ascii="Times New Roman" w:hAnsi="Times New Roman" w:eastAsia="宋体" w:cs="Times New Roman"/>
                <w:color w:val="auto"/>
                <w:sz w:val="24"/>
                <w:szCs w:val="32"/>
                <w:highlight w:val="none"/>
                <w:lang w:val="en-US" w:eastAsia="zh-CN"/>
              </w:rPr>
              <w:t>发生泄漏</w:t>
            </w:r>
            <w:r>
              <w:rPr>
                <w:rFonts w:hint="eastAsia" w:ascii="Times New Roman" w:hAnsi="Times New Roman" w:cs="Times New Roman"/>
                <w:color w:val="auto"/>
                <w:szCs w:val="24"/>
                <w:highlight w:val="none"/>
                <w:lang w:val="en-US" w:eastAsia="zh-CN"/>
              </w:rPr>
              <w:t>，</w:t>
            </w:r>
            <w:r>
              <w:rPr>
                <w:rFonts w:hint="eastAsia" w:ascii="Times New Roman" w:hAnsi="Times New Roman" w:eastAsia="宋体" w:cs="Times New Roman"/>
                <w:color w:val="auto"/>
                <w:kern w:val="0"/>
                <w:sz w:val="24"/>
                <w:highlight w:val="none"/>
                <w:lang w:val="en-US" w:eastAsia="zh-CN"/>
              </w:rPr>
              <w:t>泄漏物</w:t>
            </w:r>
            <w:r>
              <w:rPr>
                <w:rFonts w:hint="default" w:ascii="Times New Roman" w:hAnsi="Times New Roman" w:eastAsia="宋体" w:cs="Times New Roman"/>
                <w:color w:val="auto"/>
                <w:kern w:val="0"/>
                <w:sz w:val="24"/>
                <w:highlight w:val="none"/>
              </w:rPr>
              <w:t>通过垂直入渗的方式进入土壤环境，</w:t>
            </w:r>
            <w:r>
              <w:rPr>
                <w:rFonts w:hint="default" w:ascii="Times New Roman" w:hAnsi="Times New Roman" w:eastAsia="宋体" w:cs="Times New Roman"/>
                <w:color w:val="auto"/>
                <w:sz w:val="24"/>
                <w:szCs w:val="32"/>
                <w:highlight w:val="none"/>
              </w:rPr>
              <w:t>从而渗透至土壤中，会使土壤</w:t>
            </w:r>
            <w:r>
              <w:rPr>
                <w:rFonts w:hint="eastAsia" w:ascii="Times New Roman" w:hAnsi="Times New Roman" w:eastAsia="宋体" w:cs="Times New Roman"/>
                <w:color w:val="auto"/>
                <w:sz w:val="24"/>
                <w:szCs w:val="32"/>
                <w:highlight w:val="none"/>
                <w:lang w:val="en-US" w:eastAsia="zh-CN"/>
              </w:rPr>
              <w:t>和地下水</w:t>
            </w:r>
            <w:r>
              <w:rPr>
                <w:rFonts w:hint="default" w:ascii="Times New Roman" w:hAnsi="Times New Roman" w:eastAsia="宋体" w:cs="Times New Roman"/>
                <w:color w:val="auto"/>
                <w:sz w:val="24"/>
                <w:szCs w:val="32"/>
                <w:highlight w:val="none"/>
              </w:rPr>
              <w:t>造成污染。</w:t>
            </w:r>
            <w:r>
              <w:rPr>
                <w:rFonts w:hint="eastAsia" w:cs="Times New Roman"/>
                <w:color w:val="auto"/>
                <w:sz w:val="24"/>
                <w:szCs w:val="32"/>
                <w:highlight w:val="none"/>
                <w:lang w:val="en-US" w:eastAsia="zh-CN"/>
              </w:rPr>
              <w:t>危险废物暂存间、生产区均置于生产车间内。</w:t>
            </w:r>
          </w:p>
          <w:p w14:paraId="5118E57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土壤</w:t>
            </w:r>
            <w:r>
              <w:rPr>
                <w:rFonts w:hint="eastAsia" w:ascii="Times New Roman" w:hAnsi="Times New Roman" w:eastAsia="宋体" w:cs="Times New Roman"/>
                <w:b/>
                <w:bCs/>
                <w:color w:val="auto"/>
                <w:spacing w:val="0"/>
                <w:sz w:val="21"/>
                <w:szCs w:val="21"/>
                <w:highlight w:val="none"/>
                <w:lang w:val="en-US" w:eastAsia="zh-CN"/>
              </w:rPr>
              <w:t>、地下水</w:t>
            </w:r>
            <w:r>
              <w:rPr>
                <w:rFonts w:hint="default" w:ascii="Times New Roman" w:hAnsi="Times New Roman" w:eastAsia="宋体" w:cs="Times New Roman"/>
                <w:b/>
                <w:bCs/>
                <w:color w:val="auto"/>
                <w:spacing w:val="0"/>
                <w:sz w:val="21"/>
                <w:szCs w:val="21"/>
                <w:highlight w:val="none"/>
                <w:lang w:val="en-US" w:eastAsia="zh-CN"/>
              </w:rPr>
              <w:t>环境影响源及影响因子识别</w:t>
            </w:r>
            <w:r>
              <w:rPr>
                <w:rFonts w:hint="eastAsia" w:ascii="Times New Roman" w:hAnsi="Times New Roman" w:eastAsia="宋体" w:cs="Times New Roman"/>
                <w:b/>
                <w:bCs/>
                <w:color w:val="auto"/>
                <w:spacing w:val="0"/>
                <w:sz w:val="21"/>
                <w:szCs w:val="21"/>
                <w:highlight w:val="none"/>
                <w:lang w:val="en-US" w:eastAsia="zh-CN"/>
              </w:rPr>
              <w:t>一览</w:t>
            </w:r>
            <w:r>
              <w:rPr>
                <w:rFonts w:hint="default" w:ascii="Times New Roman" w:hAnsi="Times New Roman" w:eastAsia="宋体" w:cs="Times New Roman"/>
                <w:b/>
                <w:bCs/>
                <w:color w:val="auto"/>
                <w:spacing w:val="0"/>
                <w:sz w:val="21"/>
                <w:szCs w:val="21"/>
                <w:highlight w:val="none"/>
                <w:lang w:val="en-US" w:eastAsia="zh-CN"/>
              </w:rPr>
              <w:t>表</w:t>
            </w:r>
          </w:p>
          <w:tbl>
            <w:tblPr>
              <w:tblStyle w:val="32"/>
              <w:tblW w:w="768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718"/>
              <w:gridCol w:w="1575"/>
              <w:gridCol w:w="915"/>
              <w:gridCol w:w="1170"/>
              <w:gridCol w:w="899"/>
              <w:gridCol w:w="1411"/>
            </w:tblGrid>
            <w:tr w14:paraId="093F352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3" w:hRule="atLeast"/>
                <w:jc w:val="center"/>
              </w:trPr>
              <w:tc>
                <w:tcPr>
                  <w:tcW w:w="1718" w:type="dxa"/>
                  <w:tcBorders>
                    <w:tl2br w:val="nil"/>
                    <w:tr2bl w:val="nil"/>
                  </w:tcBorders>
                  <w:noWrap w:val="0"/>
                  <w:tcMar>
                    <w:top w:w="0" w:type="dxa"/>
                    <w:left w:w="0" w:type="dxa"/>
                    <w:bottom w:w="0" w:type="dxa"/>
                    <w:right w:w="0" w:type="dxa"/>
                  </w:tcMar>
                  <w:vAlign w:val="center"/>
                </w:tcPr>
                <w:p w14:paraId="000A65FC">
                  <w:pPr>
                    <w:pStyle w:val="58"/>
                    <w:shd w:val="clear"/>
                    <w:spacing w:line="24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污染源</w:t>
                  </w:r>
                </w:p>
              </w:tc>
              <w:tc>
                <w:tcPr>
                  <w:tcW w:w="1575" w:type="dxa"/>
                  <w:tcBorders>
                    <w:tl2br w:val="nil"/>
                    <w:tr2bl w:val="nil"/>
                  </w:tcBorders>
                  <w:noWrap w:val="0"/>
                  <w:tcMar>
                    <w:top w:w="0" w:type="dxa"/>
                    <w:left w:w="0" w:type="dxa"/>
                    <w:bottom w:w="0" w:type="dxa"/>
                    <w:right w:w="0" w:type="dxa"/>
                  </w:tcMar>
                  <w:vAlign w:val="center"/>
                </w:tcPr>
                <w:p w14:paraId="599340BC">
                  <w:pPr>
                    <w:pStyle w:val="58"/>
                    <w:shd w:val="clear"/>
                    <w:spacing w:line="24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工艺流程/节点</w:t>
                  </w:r>
                </w:p>
              </w:tc>
              <w:tc>
                <w:tcPr>
                  <w:tcW w:w="915" w:type="dxa"/>
                  <w:tcBorders>
                    <w:tl2br w:val="nil"/>
                    <w:tr2bl w:val="nil"/>
                  </w:tcBorders>
                  <w:noWrap w:val="0"/>
                  <w:tcMar>
                    <w:top w:w="0" w:type="dxa"/>
                    <w:left w:w="0" w:type="dxa"/>
                    <w:bottom w:w="0" w:type="dxa"/>
                    <w:right w:w="0" w:type="dxa"/>
                  </w:tcMar>
                  <w:vAlign w:val="center"/>
                </w:tcPr>
                <w:p w14:paraId="5BED881D">
                  <w:pPr>
                    <w:pStyle w:val="58"/>
                    <w:shd w:val="clear"/>
                    <w:spacing w:line="24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污染途径</w:t>
                  </w:r>
                </w:p>
              </w:tc>
              <w:tc>
                <w:tcPr>
                  <w:tcW w:w="1170" w:type="dxa"/>
                  <w:tcBorders>
                    <w:tl2br w:val="nil"/>
                    <w:tr2bl w:val="nil"/>
                  </w:tcBorders>
                  <w:noWrap w:val="0"/>
                  <w:tcMar>
                    <w:top w:w="0" w:type="dxa"/>
                    <w:left w:w="0" w:type="dxa"/>
                    <w:bottom w:w="0" w:type="dxa"/>
                    <w:right w:w="0" w:type="dxa"/>
                  </w:tcMar>
                  <w:vAlign w:val="center"/>
                </w:tcPr>
                <w:p w14:paraId="768CB06D">
                  <w:pPr>
                    <w:pStyle w:val="58"/>
                    <w:shd w:val="clear"/>
                    <w:spacing w:line="240" w:lineRule="auto"/>
                    <w:ind w:firstLine="0" w:firstLineChars="0"/>
                    <w:jc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全部污染物指标</w:t>
                  </w:r>
                  <w:r>
                    <w:rPr>
                      <w:rFonts w:hint="eastAsia" w:ascii="Times New Roman" w:hAnsi="Times New Roman" w:eastAsia="宋体" w:cs="Times New Roman"/>
                      <w:b w:val="0"/>
                      <w:bCs w:val="0"/>
                      <w:color w:val="auto"/>
                      <w:sz w:val="21"/>
                      <w:szCs w:val="21"/>
                      <w:highlight w:val="none"/>
                      <w:lang w:val="en-US" w:eastAsia="zh-CN"/>
                    </w:rPr>
                    <w:t>a</w:t>
                  </w:r>
                </w:p>
              </w:tc>
              <w:tc>
                <w:tcPr>
                  <w:tcW w:w="899" w:type="dxa"/>
                  <w:tcBorders>
                    <w:tl2br w:val="nil"/>
                    <w:tr2bl w:val="nil"/>
                  </w:tcBorders>
                  <w:noWrap w:val="0"/>
                  <w:tcMar>
                    <w:top w:w="0" w:type="dxa"/>
                    <w:left w:w="0" w:type="dxa"/>
                    <w:bottom w:w="0" w:type="dxa"/>
                    <w:right w:w="0" w:type="dxa"/>
                  </w:tcMar>
                  <w:vAlign w:val="center"/>
                </w:tcPr>
                <w:p w14:paraId="476C7EAF">
                  <w:pPr>
                    <w:pStyle w:val="58"/>
                    <w:shd w:val="clear"/>
                    <w:spacing w:line="24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特征因子</w:t>
                  </w:r>
                </w:p>
              </w:tc>
              <w:tc>
                <w:tcPr>
                  <w:tcW w:w="1411" w:type="dxa"/>
                  <w:tcBorders>
                    <w:tl2br w:val="nil"/>
                    <w:tr2bl w:val="nil"/>
                  </w:tcBorders>
                  <w:noWrap w:val="0"/>
                  <w:tcMar>
                    <w:top w:w="0" w:type="dxa"/>
                    <w:left w:w="0" w:type="dxa"/>
                    <w:bottom w:w="0" w:type="dxa"/>
                    <w:right w:w="0" w:type="dxa"/>
                  </w:tcMar>
                  <w:vAlign w:val="center"/>
                </w:tcPr>
                <w:p w14:paraId="6A3D3689">
                  <w:pPr>
                    <w:pStyle w:val="58"/>
                    <w:shd w:val="clear"/>
                    <w:spacing w:line="240" w:lineRule="auto"/>
                    <w:ind w:firstLine="0" w:firstLineChars="0"/>
                    <w:jc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备注</w:t>
                  </w:r>
                  <w:r>
                    <w:rPr>
                      <w:rFonts w:hint="eastAsia" w:ascii="Times New Roman" w:hAnsi="Times New Roman" w:eastAsia="宋体" w:cs="Times New Roman"/>
                      <w:b w:val="0"/>
                      <w:bCs w:val="0"/>
                      <w:color w:val="auto"/>
                      <w:sz w:val="21"/>
                      <w:szCs w:val="21"/>
                      <w:highlight w:val="none"/>
                      <w:lang w:val="en-US" w:eastAsia="zh-CN"/>
                    </w:rPr>
                    <w:t>b</w:t>
                  </w:r>
                </w:p>
              </w:tc>
            </w:tr>
            <w:tr w14:paraId="350CFC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9" w:hRule="atLeast"/>
                <w:jc w:val="center"/>
              </w:trPr>
              <w:tc>
                <w:tcPr>
                  <w:tcW w:w="1718" w:type="dxa"/>
                  <w:tcBorders>
                    <w:tl2br w:val="nil"/>
                    <w:tr2bl w:val="nil"/>
                  </w:tcBorders>
                  <w:noWrap w:val="0"/>
                  <w:tcMar>
                    <w:top w:w="0" w:type="dxa"/>
                    <w:left w:w="0" w:type="dxa"/>
                    <w:bottom w:w="0" w:type="dxa"/>
                    <w:right w:w="0" w:type="dxa"/>
                  </w:tcMar>
                  <w:vAlign w:val="center"/>
                </w:tcPr>
                <w:p w14:paraId="5CAC9A94">
                  <w:pPr>
                    <w:pStyle w:val="58"/>
                    <w:shd w:val="clear"/>
                    <w:adjustRightInd/>
                    <w:snapToGrid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eastAsia="宋体" w:cs="Times New Roman"/>
                      <w:color w:val="auto"/>
                      <w:sz w:val="21"/>
                      <w:szCs w:val="21"/>
                      <w:highlight w:val="none"/>
                      <w:lang w:eastAsia="zh-CN"/>
                    </w:rPr>
                    <w:t>预处理车间</w:t>
                  </w:r>
                </w:p>
              </w:tc>
              <w:tc>
                <w:tcPr>
                  <w:tcW w:w="1575" w:type="dxa"/>
                  <w:tcBorders>
                    <w:tl2br w:val="nil"/>
                    <w:tr2bl w:val="nil"/>
                  </w:tcBorders>
                  <w:noWrap w:val="0"/>
                  <w:tcMar>
                    <w:top w:w="0" w:type="dxa"/>
                    <w:left w:w="0" w:type="dxa"/>
                    <w:bottom w:w="0" w:type="dxa"/>
                    <w:right w:w="0" w:type="dxa"/>
                  </w:tcMar>
                  <w:vAlign w:val="center"/>
                </w:tcPr>
                <w:p w14:paraId="1B11C294">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破碎、筛分</w:t>
                  </w:r>
                </w:p>
              </w:tc>
              <w:tc>
                <w:tcPr>
                  <w:tcW w:w="915" w:type="dxa"/>
                  <w:tcBorders>
                    <w:tl2br w:val="nil"/>
                    <w:tr2bl w:val="nil"/>
                  </w:tcBorders>
                  <w:noWrap w:val="0"/>
                  <w:tcMar>
                    <w:top w:w="0" w:type="dxa"/>
                    <w:left w:w="0" w:type="dxa"/>
                    <w:bottom w:w="0" w:type="dxa"/>
                    <w:right w:w="0" w:type="dxa"/>
                  </w:tcMar>
                  <w:vAlign w:val="center"/>
                </w:tcPr>
                <w:p w14:paraId="734C0730">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大气沉降</w:t>
                  </w:r>
                </w:p>
              </w:tc>
              <w:tc>
                <w:tcPr>
                  <w:tcW w:w="1170" w:type="dxa"/>
                  <w:tcBorders>
                    <w:tl2br w:val="nil"/>
                    <w:tr2bl w:val="nil"/>
                  </w:tcBorders>
                  <w:noWrap w:val="0"/>
                  <w:tcMar>
                    <w:top w:w="0" w:type="dxa"/>
                    <w:left w:w="0" w:type="dxa"/>
                    <w:bottom w:w="0" w:type="dxa"/>
                    <w:right w:w="0" w:type="dxa"/>
                  </w:tcMar>
                  <w:vAlign w:val="center"/>
                </w:tcPr>
                <w:p w14:paraId="18E5445E">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颗粒物</w:t>
                  </w:r>
                </w:p>
              </w:tc>
              <w:tc>
                <w:tcPr>
                  <w:tcW w:w="899" w:type="dxa"/>
                  <w:tcBorders>
                    <w:tl2br w:val="nil"/>
                    <w:tr2bl w:val="nil"/>
                  </w:tcBorders>
                  <w:noWrap w:val="0"/>
                  <w:tcMar>
                    <w:top w:w="0" w:type="dxa"/>
                    <w:left w:w="0" w:type="dxa"/>
                    <w:bottom w:w="0" w:type="dxa"/>
                    <w:right w:w="0" w:type="dxa"/>
                  </w:tcMar>
                  <w:vAlign w:val="center"/>
                </w:tcPr>
                <w:p w14:paraId="7617D5D5">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w:t>
                  </w:r>
                </w:p>
              </w:tc>
              <w:tc>
                <w:tcPr>
                  <w:tcW w:w="1411" w:type="dxa"/>
                  <w:tcBorders>
                    <w:tl2br w:val="nil"/>
                    <w:tr2bl w:val="nil"/>
                  </w:tcBorders>
                  <w:noWrap w:val="0"/>
                  <w:tcMar>
                    <w:top w:w="0" w:type="dxa"/>
                    <w:left w:w="0" w:type="dxa"/>
                    <w:bottom w:w="0" w:type="dxa"/>
                    <w:right w:w="0" w:type="dxa"/>
                  </w:tcMar>
                  <w:vAlign w:val="center"/>
                </w:tcPr>
                <w:p w14:paraId="1E9A42E7">
                  <w:pPr>
                    <w:pStyle w:val="58"/>
                    <w:shd w:val="clear"/>
                    <w:spacing w:line="240" w:lineRule="auto"/>
                    <w:ind w:firstLine="0" w:firstLineChars="0"/>
                    <w:jc w:val="center"/>
                    <w:rPr>
                      <w:rFonts w:hint="default" w:ascii="Times New Roman" w:hAnsi="Times New Roman" w:eastAsia="宋体" w:cs="Times New Roman"/>
                      <w:color w:val="auto"/>
                      <w:sz w:val="21"/>
                      <w:szCs w:val="21"/>
                      <w:highlight w:val="none"/>
                      <w:lang w:bidi="ar"/>
                    </w:rPr>
                  </w:pPr>
                  <w:r>
                    <w:rPr>
                      <w:rFonts w:hint="default" w:ascii="Times New Roman" w:hAnsi="Times New Roman" w:eastAsia="宋体" w:cs="Times New Roman"/>
                      <w:color w:val="auto"/>
                      <w:sz w:val="21"/>
                      <w:szCs w:val="21"/>
                      <w:highlight w:val="none"/>
                    </w:rPr>
                    <w:t>连续</w:t>
                  </w:r>
                </w:p>
              </w:tc>
            </w:tr>
            <w:tr w14:paraId="64855D0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90" w:hRule="atLeast"/>
                <w:jc w:val="center"/>
              </w:trPr>
              <w:tc>
                <w:tcPr>
                  <w:tcW w:w="1718" w:type="dxa"/>
                  <w:tcBorders>
                    <w:tl2br w:val="nil"/>
                    <w:tr2bl w:val="nil"/>
                  </w:tcBorders>
                  <w:noWrap w:val="0"/>
                  <w:tcMar>
                    <w:top w:w="0" w:type="dxa"/>
                    <w:left w:w="0" w:type="dxa"/>
                    <w:bottom w:w="0" w:type="dxa"/>
                    <w:right w:w="0" w:type="dxa"/>
                  </w:tcMar>
                  <w:vAlign w:val="center"/>
                </w:tcPr>
                <w:p w14:paraId="24B30690">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生产车间内</w:t>
                  </w:r>
                  <w:r>
                    <w:rPr>
                      <w:rFonts w:hint="eastAsia" w:ascii="Times New Roman" w:hAnsi="Times New Roman" w:eastAsia="宋体" w:cs="Times New Roman"/>
                      <w:color w:val="auto"/>
                      <w:sz w:val="21"/>
                      <w:szCs w:val="21"/>
                      <w:highlight w:val="none"/>
                      <w:lang w:val="en-US" w:eastAsia="zh-CN"/>
                    </w:rPr>
                    <w:t>危险废物暂存间、</w:t>
                  </w:r>
                  <w:r>
                    <w:rPr>
                      <w:rFonts w:hint="eastAsia" w:eastAsia="宋体" w:cs="Times New Roman"/>
                      <w:color w:val="auto"/>
                      <w:sz w:val="21"/>
                      <w:szCs w:val="21"/>
                      <w:highlight w:val="none"/>
                      <w:lang w:val="en-US" w:eastAsia="zh-CN"/>
                    </w:rPr>
                    <w:t>生产区</w:t>
                  </w:r>
                </w:p>
              </w:tc>
              <w:tc>
                <w:tcPr>
                  <w:tcW w:w="1575" w:type="dxa"/>
                  <w:tcBorders>
                    <w:tl2br w:val="nil"/>
                    <w:tr2bl w:val="nil"/>
                  </w:tcBorders>
                  <w:noWrap w:val="0"/>
                  <w:tcMar>
                    <w:top w:w="0" w:type="dxa"/>
                    <w:left w:w="0" w:type="dxa"/>
                    <w:bottom w:w="0" w:type="dxa"/>
                    <w:right w:w="0" w:type="dxa"/>
                  </w:tcMar>
                  <w:vAlign w:val="center"/>
                </w:tcPr>
                <w:p w14:paraId="4D56824B">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存储/设备维护</w:t>
                  </w:r>
                </w:p>
              </w:tc>
              <w:tc>
                <w:tcPr>
                  <w:tcW w:w="915" w:type="dxa"/>
                  <w:tcBorders>
                    <w:tl2br w:val="nil"/>
                    <w:tr2bl w:val="nil"/>
                  </w:tcBorders>
                  <w:noWrap w:val="0"/>
                  <w:tcMar>
                    <w:top w:w="0" w:type="dxa"/>
                    <w:left w:w="0" w:type="dxa"/>
                    <w:bottom w:w="0" w:type="dxa"/>
                    <w:right w:w="0" w:type="dxa"/>
                  </w:tcMar>
                  <w:vAlign w:val="center"/>
                </w:tcPr>
                <w:p w14:paraId="201B4CA9">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垂直入渗</w:t>
                  </w:r>
                </w:p>
              </w:tc>
              <w:tc>
                <w:tcPr>
                  <w:tcW w:w="1170" w:type="dxa"/>
                  <w:tcBorders>
                    <w:tl2br w:val="nil"/>
                    <w:tr2bl w:val="nil"/>
                  </w:tcBorders>
                  <w:noWrap w:val="0"/>
                  <w:tcMar>
                    <w:top w:w="0" w:type="dxa"/>
                    <w:left w:w="0" w:type="dxa"/>
                    <w:bottom w:w="0" w:type="dxa"/>
                    <w:right w:w="0" w:type="dxa"/>
                  </w:tcMar>
                  <w:vAlign w:val="center"/>
                </w:tcPr>
                <w:p w14:paraId="57A48B85">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石油烃</w:t>
                  </w:r>
                </w:p>
              </w:tc>
              <w:tc>
                <w:tcPr>
                  <w:tcW w:w="899" w:type="dxa"/>
                  <w:tcBorders>
                    <w:tl2br w:val="nil"/>
                    <w:tr2bl w:val="nil"/>
                  </w:tcBorders>
                  <w:noWrap w:val="0"/>
                  <w:tcMar>
                    <w:top w:w="0" w:type="dxa"/>
                    <w:left w:w="0" w:type="dxa"/>
                    <w:bottom w:w="0" w:type="dxa"/>
                    <w:right w:w="0" w:type="dxa"/>
                  </w:tcMar>
                  <w:vAlign w:val="center"/>
                </w:tcPr>
                <w:p w14:paraId="38516D7B">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石油烃</w:t>
                  </w:r>
                </w:p>
              </w:tc>
              <w:tc>
                <w:tcPr>
                  <w:tcW w:w="1411" w:type="dxa"/>
                  <w:tcBorders>
                    <w:tl2br w:val="nil"/>
                    <w:tr2bl w:val="nil"/>
                  </w:tcBorders>
                  <w:noWrap w:val="0"/>
                  <w:tcMar>
                    <w:top w:w="0" w:type="dxa"/>
                    <w:left w:w="0" w:type="dxa"/>
                    <w:bottom w:w="0" w:type="dxa"/>
                    <w:right w:w="0" w:type="dxa"/>
                  </w:tcMar>
                  <w:vAlign w:val="center"/>
                </w:tcPr>
                <w:p w14:paraId="54293780">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事故工况</w:t>
                  </w:r>
                </w:p>
              </w:tc>
            </w:tr>
            <w:tr w14:paraId="114C255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15" w:hRule="atLeast"/>
                <w:jc w:val="center"/>
              </w:trPr>
              <w:tc>
                <w:tcPr>
                  <w:tcW w:w="7688" w:type="dxa"/>
                  <w:gridSpan w:val="6"/>
                  <w:tcBorders>
                    <w:tl2br w:val="nil"/>
                    <w:tr2bl w:val="nil"/>
                  </w:tcBorders>
                  <w:noWrap w:val="0"/>
                  <w:tcMar>
                    <w:top w:w="0" w:type="dxa"/>
                    <w:left w:w="0" w:type="dxa"/>
                    <w:bottom w:w="0" w:type="dxa"/>
                    <w:right w:w="0" w:type="dxa"/>
                  </w:tcMar>
                  <w:vAlign w:val="center"/>
                </w:tcPr>
                <w:p w14:paraId="72ABF648">
                  <w:pPr>
                    <w:pStyle w:val="58"/>
                    <w:shd w:val="clear"/>
                    <w:spacing w:line="240" w:lineRule="auto"/>
                    <w:ind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a根据工程分析结果填写。</w:t>
                  </w:r>
                </w:p>
                <w:p w14:paraId="7756C1A7">
                  <w:pPr>
                    <w:pStyle w:val="58"/>
                    <w:shd w:val="clea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b</w:t>
                  </w:r>
                  <w:r>
                    <w:rPr>
                      <w:rFonts w:hint="default" w:ascii="Times New Roman" w:hAnsi="Times New Roman" w:eastAsia="宋体" w:cs="Times New Roman"/>
                      <w:color w:val="auto"/>
                      <w:sz w:val="21"/>
                      <w:szCs w:val="21"/>
                      <w:highlight w:val="none"/>
                    </w:rPr>
                    <w:t>应描述污染源特征，如连续、间断、正常、事故等；涉及大气沉降途径的，应识别建设项目周边的土壤环境敏感目标。</w:t>
                  </w:r>
                </w:p>
              </w:tc>
            </w:tr>
          </w:tbl>
          <w:p w14:paraId="1B6928F5">
            <w:pPr>
              <w:keepNext w:val="0"/>
              <w:keepLines w:val="0"/>
              <w:pageBreakBefore w:val="0"/>
              <w:widowControl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⑵</w:t>
            </w:r>
            <w:r>
              <w:rPr>
                <w:rFonts w:hint="default" w:ascii="Times New Roman" w:hAnsi="Times New Roman" w:eastAsia="宋体" w:cs="Times New Roman"/>
                <w:color w:val="auto"/>
                <w:sz w:val="24"/>
                <w:szCs w:val="24"/>
                <w:highlight w:val="none"/>
                <w:lang w:val="en-US" w:eastAsia="zh-CN"/>
              </w:rPr>
              <w:t>环境污染防控措施</w:t>
            </w:r>
          </w:p>
          <w:p w14:paraId="1182D0A5">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1"/>
                <w:highlight w:val="none"/>
                <w:lang w:bidi="ar"/>
              </w:rPr>
            </w:pPr>
            <w:r>
              <w:rPr>
                <w:rFonts w:hint="default" w:ascii="Times New Roman" w:hAnsi="Times New Roman" w:eastAsia="宋体" w:cs="Times New Roman"/>
                <w:color w:val="auto"/>
                <w:sz w:val="24"/>
                <w:szCs w:val="21"/>
                <w:highlight w:val="none"/>
                <w:lang w:bidi="ar"/>
              </w:rPr>
              <w:t>①源头控制措施</w:t>
            </w:r>
          </w:p>
          <w:p w14:paraId="33707BB2">
            <w:pPr>
              <w:pStyle w:val="65"/>
              <w:keepNext w:val="0"/>
              <w:keepLines w:val="0"/>
              <w:pageBreakBefore w:val="0"/>
              <w:shd w:val="clear"/>
              <w:kinsoku/>
              <w:wordWrap/>
              <w:overflowPunct/>
              <w:topLinePunct w:val="0"/>
              <w:autoSpaceDE/>
              <w:autoSpaceDN/>
              <w:bidi w:val="0"/>
              <w:spacing w:line="480" w:lineRule="exact"/>
              <w:ind w:firstLine="480" w:firstLineChars="200"/>
              <w:rPr>
                <w:color w:val="auto"/>
                <w:kern w:val="0"/>
                <w:szCs w:val="24"/>
                <w:highlight w:val="none"/>
                <w:lang w:bidi="ar"/>
              </w:rPr>
            </w:pPr>
            <w:r>
              <w:rPr>
                <w:color w:val="auto"/>
                <w:kern w:val="0"/>
                <w:szCs w:val="24"/>
                <w:highlight w:val="none"/>
                <w:lang w:bidi="ar"/>
              </w:rPr>
              <w:t>源头控制的措施首先是领导重视，全员加强安全生产和环境保护意识，只有这样才有可能从工程建设、生产和建设期后各阶段的工程活动，都能在相关的法律法规约束下，将安全生产和清洁生产作为一种自觉的行动，降低甚至杜绝突发事故的发生。</w:t>
            </w:r>
          </w:p>
          <w:p w14:paraId="4C3CA8A9">
            <w:pPr>
              <w:pStyle w:val="65"/>
              <w:keepNext w:val="0"/>
              <w:keepLines w:val="0"/>
              <w:pageBreakBefore w:val="0"/>
              <w:shd w:val="clear"/>
              <w:kinsoku/>
              <w:wordWrap/>
              <w:overflowPunct/>
              <w:topLinePunct w:val="0"/>
              <w:autoSpaceDE/>
              <w:autoSpaceDN/>
              <w:bidi w:val="0"/>
              <w:spacing w:line="480" w:lineRule="exact"/>
              <w:ind w:firstLine="480" w:firstLineChars="200"/>
              <w:rPr>
                <w:color w:val="auto"/>
                <w:kern w:val="0"/>
                <w:szCs w:val="24"/>
                <w:highlight w:val="none"/>
                <w:lang w:bidi="ar"/>
              </w:rPr>
            </w:pPr>
            <w:r>
              <w:rPr>
                <w:color w:val="auto"/>
                <w:kern w:val="0"/>
                <w:szCs w:val="24"/>
                <w:highlight w:val="none"/>
                <w:lang w:bidi="ar"/>
              </w:rPr>
              <w:t>加强危险废物暂存间</w:t>
            </w:r>
            <w:r>
              <w:rPr>
                <w:rFonts w:hint="eastAsia"/>
                <w:color w:val="auto"/>
                <w:kern w:val="0"/>
                <w:szCs w:val="24"/>
                <w:highlight w:val="none"/>
                <w:lang w:bidi="ar"/>
              </w:rPr>
              <w:t>、</w:t>
            </w:r>
            <w:r>
              <w:rPr>
                <w:rFonts w:hint="eastAsia"/>
                <w:color w:val="auto"/>
                <w:kern w:val="0"/>
                <w:szCs w:val="24"/>
                <w:highlight w:val="none"/>
                <w:lang w:eastAsia="zh-CN" w:bidi="ar"/>
              </w:rPr>
              <w:t>生产区</w:t>
            </w:r>
            <w:r>
              <w:rPr>
                <w:color w:val="auto"/>
                <w:kern w:val="0"/>
                <w:szCs w:val="24"/>
                <w:highlight w:val="none"/>
                <w:lang w:bidi="ar"/>
              </w:rPr>
              <w:t>的巡视和监控。在项目运营过程中，要定期对设备进行维护，保持设备运行处于良好的状态；定期检查建、构筑物是否存在异常</w:t>
            </w:r>
            <w:r>
              <w:rPr>
                <w:rFonts w:hint="eastAsia"/>
                <w:color w:val="auto"/>
                <w:kern w:val="0"/>
                <w:szCs w:val="24"/>
                <w:highlight w:val="none"/>
                <w:lang w:bidi="ar"/>
              </w:rPr>
              <w:t>；</w:t>
            </w:r>
            <w:r>
              <w:rPr>
                <w:bCs/>
                <w:color w:val="auto"/>
                <w:szCs w:val="24"/>
                <w:highlight w:val="none"/>
                <w:lang w:bidi="ar"/>
              </w:rPr>
              <w:t>对于</w:t>
            </w:r>
            <w:r>
              <w:rPr>
                <w:rFonts w:hint="eastAsia"/>
                <w:bCs/>
                <w:color w:val="auto"/>
                <w:szCs w:val="24"/>
                <w:highlight w:val="none"/>
                <w:lang w:eastAsia="zh-CN" w:bidi="ar"/>
              </w:rPr>
              <w:t>润滑油，</w:t>
            </w:r>
            <w:r>
              <w:rPr>
                <w:bCs/>
                <w:color w:val="auto"/>
                <w:szCs w:val="24"/>
                <w:highlight w:val="none"/>
                <w:lang w:bidi="ar"/>
              </w:rPr>
              <w:t>保证其包装完好，装卸、使用、储存过程中不要损坏其包装桶，</w:t>
            </w:r>
            <w:r>
              <w:rPr>
                <w:color w:val="auto"/>
                <w:kern w:val="0"/>
                <w:szCs w:val="24"/>
                <w:highlight w:val="none"/>
                <w:lang w:bidi="ar"/>
              </w:rPr>
              <w:t>杜绝</w:t>
            </w:r>
            <w:r>
              <w:rPr>
                <w:rFonts w:hint="eastAsia"/>
                <w:color w:val="auto"/>
                <w:kern w:val="0"/>
                <w:szCs w:val="24"/>
                <w:highlight w:val="none"/>
                <w:lang w:eastAsia="zh-CN" w:bidi="ar"/>
              </w:rPr>
              <w:t>润滑油</w:t>
            </w:r>
            <w:r>
              <w:rPr>
                <w:color w:val="auto"/>
                <w:kern w:val="0"/>
                <w:szCs w:val="24"/>
                <w:highlight w:val="none"/>
                <w:lang w:bidi="ar"/>
              </w:rPr>
              <w:t>的跑、冒、滴、漏现象产生，力求将泄漏的环境风险事故降低到最低程度。本项目</w:t>
            </w:r>
            <w:r>
              <w:rPr>
                <w:rFonts w:hint="eastAsia"/>
                <w:color w:val="auto"/>
                <w:kern w:val="0"/>
                <w:szCs w:val="24"/>
                <w:highlight w:val="none"/>
                <w:lang w:bidi="ar"/>
              </w:rPr>
              <w:t>着重</w:t>
            </w:r>
            <w:r>
              <w:rPr>
                <w:rFonts w:hint="eastAsia"/>
                <w:bCs/>
                <w:color w:val="auto"/>
                <w:szCs w:val="24"/>
                <w:highlight w:val="none"/>
                <w:lang w:bidi="ar"/>
              </w:rPr>
              <w:t>对车间内</w:t>
            </w:r>
            <w:r>
              <w:rPr>
                <w:bCs/>
                <w:color w:val="auto"/>
                <w:szCs w:val="24"/>
                <w:highlight w:val="none"/>
                <w:lang w:bidi="ar"/>
              </w:rPr>
              <w:t>使用润滑油设备</w:t>
            </w:r>
            <w:r>
              <w:rPr>
                <w:color w:val="auto"/>
                <w:kern w:val="0"/>
                <w:szCs w:val="24"/>
                <w:highlight w:val="none"/>
                <w:lang w:bidi="ar"/>
              </w:rPr>
              <w:t>危险废物暂存间定期</w:t>
            </w:r>
            <w:r>
              <w:rPr>
                <w:rFonts w:hint="eastAsia"/>
                <w:color w:val="auto"/>
                <w:kern w:val="0"/>
                <w:szCs w:val="24"/>
                <w:highlight w:val="none"/>
                <w:lang w:val="en-US" w:eastAsia="zh-CN" w:bidi="ar"/>
              </w:rPr>
              <w:t>检查维护</w:t>
            </w:r>
            <w:r>
              <w:rPr>
                <w:color w:val="auto"/>
                <w:kern w:val="0"/>
                <w:szCs w:val="24"/>
                <w:highlight w:val="none"/>
                <w:lang w:bidi="ar"/>
              </w:rPr>
              <w:t>，对</w:t>
            </w:r>
            <w:r>
              <w:rPr>
                <w:rFonts w:hint="eastAsia"/>
                <w:color w:val="auto"/>
                <w:kern w:val="0"/>
                <w:szCs w:val="24"/>
                <w:highlight w:val="none"/>
                <w:lang w:bidi="ar"/>
              </w:rPr>
              <w:t>车间</w:t>
            </w:r>
            <w:r>
              <w:rPr>
                <w:color w:val="auto"/>
                <w:kern w:val="0"/>
                <w:szCs w:val="24"/>
                <w:highlight w:val="none"/>
                <w:lang w:bidi="ar"/>
              </w:rPr>
              <w:t>地面防渗措施进行定期检查，保证防渗措施的有效性。</w:t>
            </w:r>
          </w:p>
          <w:p w14:paraId="233B36F5">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②过程防控措施</w:t>
            </w:r>
          </w:p>
          <w:p w14:paraId="59E151AC">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A、</w:t>
            </w:r>
            <w:r>
              <w:rPr>
                <w:rFonts w:hint="default" w:ascii="Times New Roman" w:hAnsi="Times New Roman" w:eastAsia="宋体" w:cs="Times New Roman"/>
                <w:color w:val="auto"/>
                <w:sz w:val="24"/>
                <w:highlight w:val="none"/>
              </w:rPr>
              <w:t>大气沉降防控措施</w:t>
            </w:r>
          </w:p>
          <w:p w14:paraId="0442F629">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在厂区外多种植能够吸附粉尘的植物，使项目排放的污染物落至土壤上的量减少，从而减少对土壤的污染。</w:t>
            </w:r>
          </w:p>
          <w:p w14:paraId="09C01E15">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B、</w:t>
            </w:r>
            <w:r>
              <w:rPr>
                <w:rFonts w:hint="default" w:ascii="Times New Roman" w:hAnsi="Times New Roman" w:eastAsia="宋体" w:cs="Times New Roman"/>
                <w:color w:val="auto"/>
                <w:sz w:val="24"/>
                <w:highlight w:val="none"/>
              </w:rPr>
              <w:t>垂直入渗防控措施</w:t>
            </w:r>
          </w:p>
          <w:p w14:paraId="2DD063CD">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2"/>
                <w:highlight w:val="none"/>
                <w:lang w:bidi="ar"/>
              </w:rPr>
            </w:pPr>
            <w:r>
              <w:rPr>
                <w:rFonts w:hint="default" w:ascii="Times New Roman" w:hAnsi="Times New Roman" w:eastAsia="宋体" w:cs="Times New Roman"/>
                <w:color w:val="auto"/>
                <w:sz w:val="24"/>
                <w:szCs w:val="21"/>
                <w:highlight w:val="none"/>
                <w:lang w:bidi="ar"/>
              </w:rPr>
              <w:t>对厂区可能泄漏污染物的地面进行防渗处理，可有效防止污染物渗入地下，并及时地将泄漏、渗漏的污染物收集并进行集中处理。</w:t>
            </w:r>
            <w:r>
              <w:rPr>
                <w:rFonts w:hint="eastAsia" w:cs="Times New Roman"/>
                <w:color w:val="auto"/>
                <w:sz w:val="24"/>
                <w:szCs w:val="21"/>
                <w:highlight w:val="none"/>
                <w:lang w:eastAsia="zh-CN" w:bidi="ar"/>
              </w:rPr>
              <w:t>现有工程建构筑物已按要求进行了防渗处理。</w:t>
            </w:r>
            <w:r>
              <w:rPr>
                <w:rFonts w:hint="default" w:ascii="Times New Roman" w:hAnsi="Times New Roman" w:eastAsia="宋体" w:cs="Times New Roman"/>
                <w:color w:val="auto"/>
                <w:sz w:val="24"/>
                <w:szCs w:val="21"/>
                <w:highlight w:val="none"/>
                <w:lang w:bidi="ar"/>
              </w:rPr>
              <w:t>按照《防渗技术规范》要求</w:t>
            </w:r>
            <w:r>
              <w:rPr>
                <w:rFonts w:hint="eastAsia" w:cs="Times New Roman"/>
                <w:color w:val="auto"/>
                <w:sz w:val="24"/>
                <w:szCs w:val="21"/>
                <w:highlight w:val="none"/>
                <w:lang w:eastAsia="zh-CN" w:bidi="ar"/>
              </w:rPr>
              <w:t>对本次新建的预处理车间进行防渗处理。</w:t>
            </w:r>
            <w:r>
              <w:rPr>
                <w:rFonts w:hint="default" w:ascii="Times New Roman" w:hAnsi="Times New Roman" w:eastAsia="宋体" w:cs="Times New Roman"/>
                <w:color w:val="auto"/>
                <w:sz w:val="24"/>
                <w:szCs w:val="22"/>
                <w:highlight w:val="none"/>
                <w:lang w:bidi="ar"/>
              </w:rPr>
              <w:t>防渗措施为采用等效黏土防渗层Mb≥1.5m，K≤1×10</w:t>
            </w:r>
            <w:r>
              <w:rPr>
                <w:rFonts w:hint="default" w:ascii="Times New Roman" w:hAnsi="Times New Roman" w:eastAsia="宋体" w:cs="Times New Roman"/>
                <w:snapToGrid w:val="0"/>
                <w:color w:val="auto"/>
                <w:kern w:val="0"/>
                <w:sz w:val="24"/>
                <w:szCs w:val="24"/>
                <w:highlight w:val="none"/>
                <w:vertAlign w:val="superscript"/>
              </w:rPr>
              <w:t>-7</w:t>
            </w:r>
            <w:r>
              <w:rPr>
                <w:rFonts w:hint="default" w:ascii="Times New Roman" w:hAnsi="Times New Roman" w:eastAsia="宋体" w:cs="Times New Roman"/>
                <w:color w:val="auto"/>
                <w:sz w:val="24"/>
                <w:szCs w:val="22"/>
                <w:highlight w:val="none"/>
                <w:lang w:bidi="ar"/>
              </w:rPr>
              <w:t>cm/s，或参考GB</w:t>
            </w:r>
            <w:r>
              <w:rPr>
                <w:rFonts w:hint="eastAsia" w:cs="Times New Roman"/>
                <w:color w:val="auto"/>
                <w:sz w:val="24"/>
                <w:szCs w:val="22"/>
                <w:highlight w:val="none"/>
                <w:lang w:eastAsia="zh-CN" w:bidi="ar"/>
              </w:rPr>
              <w:t>16889</w:t>
            </w:r>
            <w:r>
              <w:rPr>
                <w:rFonts w:hint="default" w:ascii="Times New Roman" w:hAnsi="Times New Roman" w:eastAsia="宋体" w:cs="Times New Roman"/>
                <w:color w:val="auto"/>
                <w:sz w:val="24"/>
                <w:szCs w:val="22"/>
                <w:highlight w:val="none"/>
                <w:lang w:bidi="ar"/>
              </w:rPr>
              <w:t>执行。</w:t>
            </w:r>
          </w:p>
          <w:p w14:paraId="1B8D472D">
            <w:pPr>
              <w:keepNext w:val="0"/>
              <w:keepLines w:val="0"/>
              <w:pageBreakBefore w:val="0"/>
              <w:widowControl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2"/>
                <w:highlight w:val="none"/>
                <w:lang w:bidi="ar"/>
              </w:rPr>
              <w:t>项目对可能产生土壤</w:t>
            </w:r>
            <w:r>
              <w:rPr>
                <w:rFonts w:hint="eastAsia"/>
                <w:color w:val="auto"/>
                <w:highlight w:val="none"/>
                <w:lang w:eastAsia="zh-CN"/>
              </w:rPr>
              <w:t>、</w:t>
            </w:r>
            <w:r>
              <w:rPr>
                <w:rFonts w:hint="eastAsia"/>
                <w:color w:val="auto"/>
                <w:highlight w:val="none"/>
                <w:lang w:val="en-US" w:eastAsia="zh-CN"/>
              </w:rPr>
              <w:t>地下水</w:t>
            </w:r>
            <w:r>
              <w:rPr>
                <w:rFonts w:hint="default" w:ascii="Times New Roman" w:hAnsi="Times New Roman" w:eastAsia="宋体" w:cs="Times New Roman"/>
                <w:color w:val="auto"/>
                <w:sz w:val="24"/>
                <w:szCs w:val="22"/>
                <w:highlight w:val="none"/>
                <w:lang w:bidi="ar"/>
              </w:rPr>
              <w:t>影响的各项途径进行有效预防，在做好各项防渗措施，加强维护和厂区环境管理的基础上，可有效控制厂区内的污染物渗漏至土壤</w:t>
            </w:r>
            <w:r>
              <w:rPr>
                <w:rFonts w:hint="eastAsia"/>
                <w:color w:val="auto"/>
                <w:highlight w:val="none"/>
                <w:lang w:eastAsia="zh-CN"/>
              </w:rPr>
              <w:t>、</w:t>
            </w:r>
            <w:r>
              <w:rPr>
                <w:rFonts w:hint="eastAsia"/>
                <w:color w:val="auto"/>
                <w:highlight w:val="none"/>
                <w:lang w:val="en-US" w:eastAsia="zh-CN"/>
              </w:rPr>
              <w:t>地下水</w:t>
            </w:r>
            <w:r>
              <w:rPr>
                <w:rFonts w:hint="default" w:ascii="Times New Roman" w:hAnsi="Times New Roman" w:eastAsia="宋体" w:cs="Times New Roman"/>
                <w:color w:val="auto"/>
                <w:sz w:val="24"/>
                <w:szCs w:val="22"/>
                <w:highlight w:val="none"/>
                <w:lang w:bidi="ar"/>
              </w:rPr>
              <w:t>中的现象，避免土壤</w:t>
            </w:r>
            <w:r>
              <w:rPr>
                <w:rFonts w:hint="eastAsia" w:ascii="Times New Roman" w:hAnsi="Times New Roman" w:eastAsia="宋体" w:cs="Times New Roman"/>
                <w:color w:val="auto"/>
                <w:sz w:val="24"/>
                <w:szCs w:val="22"/>
                <w:highlight w:val="none"/>
                <w:lang w:eastAsia="zh-CN" w:bidi="ar"/>
              </w:rPr>
              <w:t>、</w:t>
            </w:r>
            <w:r>
              <w:rPr>
                <w:rFonts w:hint="eastAsia" w:ascii="Times New Roman" w:hAnsi="Times New Roman" w:eastAsia="宋体" w:cs="Times New Roman"/>
                <w:color w:val="auto"/>
                <w:sz w:val="24"/>
                <w:szCs w:val="22"/>
                <w:highlight w:val="none"/>
                <w:lang w:val="en-US" w:eastAsia="zh-CN" w:bidi="ar"/>
              </w:rPr>
              <w:t>地下水</w:t>
            </w:r>
            <w:r>
              <w:rPr>
                <w:rFonts w:hint="default" w:ascii="Times New Roman" w:hAnsi="Times New Roman" w:eastAsia="宋体" w:cs="Times New Roman"/>
                <w:color w:val="auto"/>
                <w:sz w:val="24"/>
                <w:szCs w:val="22"/>
                <w:highlight w:val="none"/>
                <w:lang w:bidi="ar"/>
              </w:rPr>
              <w:t>的污染。综上所述，项目</w:t>
            </w:r>
            <w:r>
              <w:rPr>
                <w:rFonts w:hint="default" w:ascii="Times New Roman" w:hAnsi="Times New Roman" w:eastAsia="宋体" w:cs="Times New Roman"/>
                <w:color w:val="auto"/>
                <w:sz w:val="24"/>
                <w:szCs w:val="22"/>
                <w:highlight w:val="none"/>
                <w:lang w:val="en-US" w:eastAsia="zh-CN" w:bidi="ar"/>
              </w:rPr>
              <w:t>运营</w:t>
            </w:r>
            <w:r>
              <w:rPr>
                <w:rFonts w:hint="default" w:ascii="Times New Roman" w:hAnsi="Times New Roman" w:eastAsia="宋体" w:cs="Times New Roman"/>
                <w:color w:val="auto"/>
                <w:sz w:val="24"/>
                <w:szCs w:val="22"/>
                <w:highlight w:val="none"/>
                <w:lang w:bidi="ar"/>
              </w:rPr>
              <w:t>后对土壤</w:t>
            </w:r>
            <w:r>
              <w:rPr>
                <w:rFonts w:hint="eastAsia" w:ascii="Times New Roman" w:hAnsi="Times New Roman" w:eastAsia="宋体" w:cs="Times New Roman"/>
                <w:color w:val="auto"/>
                <w:sz w:val="24"/>
                <w:szCs w:val="22"/>
                <w:highlight w:val="none"/>
                <w:lang w:eastAsia="zh-CN" w:bidi="ar"/>
              </w:rPr>
              <w:t>、</w:t>
            </w:r>
            <w:r>
              <w:rPr>
                <w:rFonts w:hint="eastAsia" w:ascii="Times New Roman" w:hAnsi="Times New Roman" w:eastAsia="宋体" w:cs="Times New Roman"/>
                <w:color w:val="auto"/>
                <w:sz w:val="24"/>
                <w:szCs w:val="22"/>
                <w:highlight w:val="none"/>
                <w:lang w:val="en-US" w:eastAsia="zh-CN" w:bidi="ar"/>
              </w:rPr>
              <w:t>地下水</w:t>
            </w:r>
            <w:r>
              <w:rPr>
                <w:rFonts w:hint="default" w:ascii="Times New Roman" w:hAnsi="Times New Roman" w:eastAsia="宋体" w:cs="Times New Roman"/>
                <w:color w:val="auto"/>
                <w:sz w:val="24"/>
                <w:szCs w:val="22"/>
                <w:highlight w:val="none"/>
                <w:lang w:bidi="ar"/>
              </w:rPr>
              <w:t>环境影响较小</w:t>
            </w:r>
            <w:r>
              <w:rPr>
                <w:rFonts w:hint="eastAsia" w:ascii="Times New Roman" w:hAnsi="Times New Roman" w:eastAsia="宋体" w:cs="Times New Roman"/>
                <w:color w:val="auto"/>
                <w:sz w:val="24"/>
                <w:szCs w:val="22"/>
                <w:highlight w:val="none"/>
                <w:lang w:eastAsia="zh-CN" w:bidi="ar"/>
              </w:rPr>
              <w:t>，</w:t>
            </w:r>
            <w:r>
              <w:rPr>
                <w:rFonts w:hint="eastAsia" w:ascii="Times New Roman" w:hAnsi="Times New Roman" w:eastAsia="宋体" w:cs="Times New Roman"/>
                <w:color w:val="auto"/>
                <w:sz w:val="24"/>
                <w:szCs w:val="22"/>
                <w:highlight w:val="none"/>
                <w:lang w:val="en-US" w:eastAsia="zh-CN" w:bidi="ar"/>
              </w:rPr>
              <w:t>措施可行。</w:t>
            </w:r>
          </w:p>
          <w:p w14:paraId="2966D64D">
            <w:pPr>
              <w:keepNext w:val="0"/>
              <w:keepLines w:val="0"/>
              <w:pageBreakBefore w:val="0"/>
              <w:widowControl w:val="0"/>
              <w:shd w:val="clear"/>
              <w:kinsoku/>
              <w:wordWrap/>
              <w:overflowPunct/>
              <w:topLinePunct w:val="0"/>
              <w:autoSpaceDE/>
              <w:autoSpaceDN/>
              <w:bidi w:val="0"/>
              <w:adjustRightInd/>
              <w:snapToGrid w:val="0"/>
              <w:spacing w:line="480" w:lineRule="exact"/>
              <w:ind w:firstLine="482" w:firstLineChars="200"/>
              <w:jc w:val="left"/>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6、生态</w:t>
            </w:r>
          </w:p>
          <w:p w14:paraId="14072B22">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b w:val="0"/>
                <w:bCs/>
                <w:smallCaps w:val="0"/>
                <w:color w:val="auto"/>
                <w:spacing w:val="0"/>
                <w:position w:val="0"/>
                <w:sz w:val="24"/>
                <w:szCs w:val="24"/>
                <w:highlight w:val="none"/>
                <w:lang w:val="en-US" w:eastAsia="zh-CN"/>
              </w:rPr>
            </w:pPr>
            <w:r>
              <w:rPr>
                <w:rFonts w:hint="eastAsia" w:cs="Times New Roman"/>
                <w:color w:val="auto"/>
                <w:sz w:val="24"/>
                <w:szCs w:val="24"/>
                <w:highlight w:val="none"/>
                <w:lang w:val="en-US" w:eastAsia="zh-CN"/>
              </w:rPr>
              <w:t>本项目位于河北省唐山市滦州市雷庄镇耀隆宝峰矿业有限公司院内，依托原有厂区进行建设，不新增占地，项目用地范围内无生态环境保护目标</w:t>
            </w:r>
            <w:r>
              <w:rPr>
                <w:rFonts w:hint="default" w:ascii="Times New Roman" w:hAnsi="Times New Roman" w:eastAsia="宋体" w:cs="Times New Roman"/>
                <w:b w:val="0"/>
                <w:bCs/>
                <w:smallCaps w:val="0"/>
                <w:color w:val="auto"/>
                <w:spacing w:val="0"/>
                <w:position w:val="0"/>
                <w:sz w:val="24"/>
                <w:szCs w:val="24"/>
                <w:highlight w:val="none"/>
                <w:lang w:val="en-US" w:eastAsia="zh-CN"/>
              </w:rPr>
              <w:t>。</w:t>
            </w:r>
          </w:p>
          <w:p w14:paraId="1FDCA1BD">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7、环境风险</w:t>
            </w:r>
          </w:p>
          <w:p w14:paraId="44923C57">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smallCaps w:val="0"/>
                <w:color w:val="auto"/>
                <w:spacing w:val="0"/>
                <w:position w:val="0"/>
                <w:sz w:val="24"/>
                <w:szCs w:val="24"/>
                <w:highlight w:val="none"/>
              </w:rPr>
            </w:pPr>
            <w:r>
              <w:rPr>
                <w:rFonts w:hint="default" w:ascii="Times New Roman" w:hAnsi="Times New Roman" w:eastAsia="宋体" w:cs="Times New Roman"/>
                <w:smallCaps w:val="0"/>
                <w:color w:val="auto"/>
                <w:spacing w:val="0"/>
                <w:position w:val="0"/>
                <w:sz w:val="24"/>
                <w:szCs w:val="24"/>
                <w:highlight w:val="none"/>
                <w:lang w:eastAsia="zh-CN"/>
              </w:rPr>
              <w:t>⑴</w:t>
            </w:r>
            <w:r>
              <w:rPr>
                <w:rFonts w:hint="default" w:ascii="Times New Roman" w:hAnsi="Times New Roman" w:eastAsia="宋体" w:cs="Times New Roman"/>
                <w:smallCaps w:val="0"/>
                <w:color w:val="auto"/>
                <w:spacing w:val="0"/>
                <w:position w:val="0"/>
                <w:sz w:val="24"/>
                <w:szCs w:val="24"/>
                <w:highlight w:val="none"/>
              </w:rPr>
              <w:t>风险源调查</w:t>
            </w:r>
          </w:p>
          <w:p w14:paraId="39098F07">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smallCaps w:val="0"/>
                <w:color w:val="auto"/>
                <w:spacing w:val="0"/>
                <w:position w:val="0"/>
                <w:sz w:val="24"/>
                <w:szCs w:val="24"/>
                <w:highlight w:val="none"/>
                <w:lang w:eastAsia="zh-CN"/>
              </w:rPr>
              <w:t>根据《建设项目环境风险评价技术导则》（HJ169-2018）：“7.2风险识别方法”中“7.2.2物质危险性识别按附录B识别出的危险物质，以图表的方式给出其易燃易爆、有毒有害危险特性，明确危险物质的分布。”识别物质危险性。因此，根据《建设项目环境风险评价技术导则》（HJ169-2018）附录B.1和B.2、《化学品分类和标签规范第18部分：急性毒性》（GB30000.18-2013）和《化学品分类和标签规范第28部分：对水生环境的危害》（GB30000.28-2013），</w:t>
            </w:r>
            <w:r>
              <w:rPr>
                <w:rFonts w:hint="default" w:ascii="Times New Roman" w:hAnsi="Times New Roman" w:eastAsia="宋体" w:cs="Times New Roman"/>
                <w:smallCaps w:val="0"/>
                <w:color w:val="auto"/>
                <w:spacing w:val="0"/>
                <w:position w:val="0"/>
                <w:sz w:val="24"/>
                <w:szCs w:val="24"/>
                <w:highlight w:val="none"/>
                <w:lang w:eastAsia="zh-CN"/>
              </w:rPr>
              <w:t>本次评价从原辅材料、产品以及生产运营过程排放的</w:t>
            </w:r>
            <w:r>
              <w:rPr>
                <w:rFonts w:hint="eastAsia" w:ascii="Times New Roman" w:hAnsi="Times New Roman" w:eastAsia="宋体" w:cs="Times New Roman"/>
                <w:smallCaps w:val="0"/>
                <w:color w:val="auto"/>
                <w:spacing w:val="0"/>
                <w:position w:val="0"/>
                <w:sz w:val="24"/>
                <w:szCs w:val="24"/>
                <w:highlight w:val="none"/>
                <w:lang w:eastAsia="zh-CN"/>
              </w:rPr>
              <w:t>“三废”</w:t>
            </w:r>
            <w:r>
              <w:rPr>
                <w:rFonts w:hint="default" w:ascii="Times New Roman" w:hAnsi="Times New Roman" w:eastAsia="宋体" w:cs="Times New Roman"/>
                <w:smallCaps w:val="0"/>
                <w:color w:val="auto"/>
                <w:spacing w:val="0"/>
                <w:position w:val="0"/>
                <w:sz w:val="24"/>
                <w:szCs w:val="24"/>
                <w:highlight w:val="none"/>
                <w:lang w:eastAsia="zh-CN"/>
              </w:rPr>
              <w:t>污染物等识别危险物质</w:t>
            </w:r>
            <w:r>
              <w:rPr>
                <w:rFonts w:hint="eastAsia" w:ascii="Times New Roman" w:hAnsi="Times New Roman" w:eastAsia="宋体" w:cs="Times New Roman"/>
                <w:smallCaps w:val="0"/>
                <w:color w:val="auto"/>
                <w:spacing w:val="0"/>
                <w:position w:val="0"/>
                <w:sz w:val="24"/>
                <w:szCs w:val="24"/>
                <w:highlight w:val="none"/>
                <w:lang w:eastAsia="zh-CN"/>
              </w:rPr>
              <w:t>。确定与项目有关的主要易燃易爆、有毒有害的危险物质</w:t>
            </w:r>
            <w:r>
              <w:rPr>
                <w:rFonts w:hint="eastAsia" w:cs="Times New Roman"/>
                <w:smallCaps w:val="0"/>
                <w:color w:val="auto"/>
                <w:spacing w:val="0"/>
                <w:position w:val="0"/>
                <w:sz w:val="24"/>
                <w:szCs w:val="24"/>
                <w:highlight w:val="none"/>
                <w:lang w:eastAsia="zh-CN"/>
              </w:rPr>
              <w:t>为润滑油、</w:t>
            </w:r>
            <w:r>
              <w:rPr>
                <w:rFonts w:hint="eastAsia" w:ascii="Times New Roman" w:hAnsi="Times New Roman" w:eastAsia="宋体" w:cs="Times New Roman"/>
                <w:smallCaps w:val="0"/>
                <w:color w:val="auto"/>
                <w:spacing w:val="0"/>
                <w:position w:val="0"/>
                <w:sz w:val="24"/>
                <w:szCs w:val="24"/>
                <w:highlight w:val="none"/>
                <w:lang w:eastAsia="zh-CN"/>
              </w:rPr>
              <w:t>废润滑油</w:t>
            </w:r>
            <w:r>
              <w:rPr>
                <w:rFonts w:hint="default" w:ascii="Times New Roman" w:hAnsi="Times New Roman" w:eastAsia="宋体" w:cs="Times New Roman"/>
                <w:smallCaps w:val="0"/>
                <w:color w:val="auto"/>
                <w:spacing w:val="0"/>
                <w:position w:val="0"/>
                <w:sz w:val="24"/>
                <w:szCs w:val="24"/>
                <w:highlight w:val="none"/>
                <w:lang w:eastAsia="zh-CN"/>
              </w:rPr>
              <w:t>，上述物质在储存、使用过程中可能发生泄漏事故</w:t>
            </w:r>
            <w:r>
              <w:rPr>
                <w:rFonts w:hint="eastAsia" w:ascii="Times New Roman" w:hAnsi="Times New Roman" w:eastAsia="宋体" w:cs="Times New Roman"/>
                <w:smallCaps w:val="0"/>
                <w:color w:val="auto"/>
                <w:spacing w:val="0"/>
                <w:position w:val="0"/>
                <w:sz w:val="24"/>
                <w:szCs w:val="24"/>
                <w:highlight w:val="none"/>
                <w:lang w:eastAsia="zh-CN"/>
              </w:rPr>
              <w:t>、</w:t>
            </w:r>
            <w:r>
              <w:rPr>
                <w:rFonts w:hint="eastAsia" w:ascii="Times New Roman" w:hAnsi="Times New Roman" w:eastAsia="宋体" w:cs="Times New Roman"/>
                <w:smallCaps w:val="0"/>
                <w:color w:val="auto"/>
                <w:spacing w:val="0"/>
                <w:position w:val="0"/>
                <w:sz w:val="24"/>
                <w:szCs w:val="24"/>
                <w:highlight w:val="none"/>
                <w:lang w:val="en-US" w:eastAsia="zh-CN"/>
              </w:rPr>
              <w:t>火灾事故</w:t>
            </w:r>
            <w:r>
              <w:rPr>
                <w:rFonts w:hint="default" w:ascii="Times New Roman" w:hAnsi="Times New Roman" w:eastAsia="宋体" w:cs="Times New Roman"/>
                <w:smallCaps w:val="0"/>
                <w:color w:val="auto"/>
                <w:spacing w:val="0"/>
                <w:position w:val="0"/>
                <w:sz w:val="24"/>
                <w:szCs w:val="24"/>
                <w:highlight w:val="none"/>
                <w:lang w:eastAsia="zh-CN"/>
              </w:rPr>
              <w:t>。润滑油</w:t>
            </w:r>
            <w:r>
              <w:rPr>
                <w:rFonts w:hint="eastAsia" w:cs="Times New Roman"/>
                <w:smallCaps w:val="0"/>
                <w:color w:val="auto"/>
                <w:spacing w:val="0"/>
                <w:position w:val="0"/>
                <w:sz w:val="24"/>
                <w:szCs w:val="24"/>
                <w:highlight w:val="none"/>
                <w:lang w:eastAsia="zh-CN"/>
              </w:rPr>
              <w:t>储</w:t>
            </w:r>
            <w:r>
              <w:rPr>
                <w:rFonts w:hint="eastAsia" w:ascii="Times New Roman" w:hAnsi="Times New Roman" w:eastAsia="宋体" w:cs="Times New Roman"/>
                <w:smallCaps w:val="0"/>
                <w:color w:val="auto"/>
                <w:spacing w:val="0"/>
                <w:position w:val="0"/>
                <w:sz w:val="24"/>
                <w:szCs w:val="24"/>
                <w:highlight w:val="none"/>
                <w:lang w:val="en-US" w:eastAsia="zh-CN"/>
              </w:rPr>
              <w:t>存于</w:t>
            </w:r>
            <w:r>
              <w:rPr>
                <w:rFonts w:hint="eastAsia" w:cs="Times New Roman"/>
                <w:smallCaps w:val="0"/>
                <w:color w:val="auto"/>
                <w:spacing w:val="0"/>
                <w:position w:val="0"/>
                <w:sz w:val="24"/>
                <w:szCs w:val="24"/>
                <w:highlight w:val="none"/>
                <w:lang w:val="en-US" w:eastAsia="zh-CN"/>
              </w:rPr>
              <w:t>生产</w:t>
            </w:r>
            <w:r>
              <w:rPr>
                <w:rFonts w:hint="eastAsia" w:ascii="Times New Roman" w:hAnsi="Times New Roman" w:eastAsia="宋体" w:cs="Times New Roman"/>
                <w:smallCaps w:val="0"/>
                <w:color w:val="auto"/>
                <w:spacing w:val="0"/>
                <w:position w:val="0"/>
                <w:sz w:val="24"/>
                <w:szCs w:val="24"/>
                <w:highlight w:val="none"/>
                <w:lang w:val="en-US" w:eastAsia="zh-CN"/>
              </w:rPr>
              <w:t>设备内</w:t>
            </w:r>
            <w:r>
              <w:rPr>
                <w:rFonts w:hint="default" w:ascii="Times New Roman" w:hAnsi="Times New Roman" w:eastAsia="宋体" w:cs="Times New Roman"/>
                <w:smallCaps w:val="0"/>
                <w:color w:val="auto"/>
                <w:spacing w:val="0"/>
                <w:position w:val="0"/>
                <w:sz w:val="24"/>
                <w:szCs w:val="24"/>
                <w:highlight w:val="none"/>
                <w:lang w:eastAsia="zh-CN"/>
              </w:rPr>
              <w:t>，</w:t>
            </w:r>
            <w:r>
              <w:rPr>
                <w:rFonts w:hint="eastAsia" w:ascii="Times New Roman" w:hAnsi="Times New Roman" w:eastAsia="宋体" w:cs="Times New Roman"/>
                <w:smallCaps w:val="0"/>
                <w:color w:val="auto"/>
                <w:spacing w:val="0"/>
                <w:position w:val="0"/>
                <w:sz w:val="24"/>
                <w:szCs w:val="24"/>
                <w:highlight w:val="none"/>
                <w:lang w:val="en-US" w:eastAsia="zh-CN"/>
              </w:rPr>
              <w:t>废润滑油均桶装</w:t>
            </w:r>
            <w:r>
              <w:rPr>
                <w:rFonts w:hint="default" w:ascii="Times New Roman" w:hAnsi="Times New Roman" w:eastAsia="宋体" w:cs="Times New Roman"/>
                <w:smallCaps w:val="0"/>
                <w:color w:val="auto"/>
                <w:spacing w:val="0"/>
                <w:position w:val="0"/>
                <w:sz w:val="24"/>
                <w:szCs w:val="24"/>
                <w:highlight w:val="none"/>
                <w:lang w:eastAsia="zh-CN"/>
              </w:rPr>
              <w:t>储存于</w:t>
            </w:r>
            <w:r>
              <w:rPr>
                <w:rFonts w:hint="eastAsia" w:cs="Times New Roman"/>
                <w:smallCaps w:val="0"/>
                <w:color w:val="auto"/>
                <w:spacing w:val="0"/>
                <w:position w:val="0"/>
                <w:sz w:val="24"/>
                <w:szCs w:val="24"/>
                <w:highlight w:val="none"/>
                <w:lang w:eastAsia="zh-CN"/>
              </w:rPr>
              <w:t>危险废物暂存间</w:t>
            </w:r>
            <w:r>
              <w:rPr>
                <w:rFonts w:hint="eastAsia" w:ascii="Times New Roman" w:hAnsi="Times New Roman" w:eastAsia="宋体" w:cs="Times New Roman"/>
                <w:smallCaps w:val="0"/>
                <w:color w:val="auto"/>
                <w:spacing w:val="0"/>
                <w:position w:val="0"/>
                <w:sz w:val="24"/>
                <w:szCs w:val="24"/>
                <w:highlight w:val="none"/>
                <w:lang w:eastAsia="zh-CN"/>
              </w:rPr>
              <w:t>内</w:t>
            </w:r>
            <w:r>
              <w:rPr>
                <w:rFonts w:hint="eastAsia" w:ascii="Times New Roman" w:hAnsi="Times New Roman" w:eastAsia="宋体" w:cs="Times New Roman"/>
                <w:color w:val="auto"/>
                <w:sz w:val="24"/>
                <w:szCs w:val="22"/>
                <w:highlight w:val="none"/>
                <w:lang w:val="en-US" w:eastAsia="zh-CN"/>
              </w:rPr>
              <w:t>。</w:t>
            </w:r>
          </w:p>
          <w:p w14:paraId="2EC8388F">
            <w:pPr>
              <w:keepNext w:val="0"/>
              <w:keepLines w:val="0"/>
              <w:pageBreakBefore w:val="0"/>
              <w:widowControl w:val="0"/>
              <w:numPr>
                <w:ilvl w:val="0"/>
                <w:numId w:val="0"/>
              </w:numPr>
              <w:shd w:val="clear"/>
              <w:kinsoku/>
              <w:wordWrap/>
              <w:overflowPunct/>
              <w:topLinePunct w:val="0"/>
              <w:autoSpaceDE/>
              <w:autoSpaceDN/>
              <w:bidi w:val="0"/>
              <w:spacing w:line="480" w:lineRule="exact"/>
              <w:ind w:leftChars="0" w:firstLine="480" w:firstLineChars="200"/>
              <w:textAlignment w:val="auto"/>
              <w:rPr>
                <w:rFonts w:hint="default" w:ascii="Times New Roman" w:hAnsi="Times New Roman" w:cs="Times New Roman"/>
                <w:smallCaps w:val="0"/>
                <w:color w:val="auto"/>
                <w:spacing w:val="0"/>
                <w:position w:val="0"/>
                <w:sz w:val="24"/>
                <w:szCs w:val="24"/>
                <w:highlight w:val="none"/>
                <w:lang w:val="en-US" w:eastAsia="zh-CN"/>
              </w:rPr>
            </w:pPr>
            <w:r>
              <w:rPr>
                <w:rFonts w:hint="default" w:ascii="Times New Roman" w:hAnsi="Times New Roman" w:cs="Times New Roman"/>
                <w:smallCaps w:val="0"/>
                <w:color w:val="auto"/>
                <w:spacing w:val="0"/>
                <w:position w:val="0"/>
                <w:sz w:val="24"/>
                <w:szCs w:val="24"/>
                <w:highlight w:val="none"/>
                <w:lang w:val="en-US" w:eastAsia="zh-CN"/>
              </w:rPr>
              <w:t>⑵临界量</w:t>
            </w:r>
          </w:p>
          <w:p w14:paraId="37DF5CA1">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auto"/>
                <w:spacing w:val="0"/>
                <w:position w:val="0"/>
                <w:sz w:val="24"/>
                <w:szCs w:val="24"/>
                <w:highlight w:val="none"/>
              </w:rPr>
            </w:pPr>
            <w:r>
              <w:rPr>
                <w:rFonts w:hint="default" w:ascii="Times New Roman" w:hAnsi="Times New Roman" w:eastAsia="宋体" w:cs="Times New Roman"/>
                <w:smallCaps w:val="0"/>
                <w:color w:val="auto"/>
                <w:spacing w:val="0"/>
                <w:position w:val="0"/>
                <w:sz w:val="24"/>
                <w:szCs w:val="24"/>
                <w:highlight w:val="none"/>
              </w:rPr>
              <w:t>根据《建设项目环境风险评价技术导则》（</w:t>
            </w:r>
            <w:r>
              <w:rPr>
                <w:rFonts w:hint="default" w:ascii="Times New Roman" w:hAnsi="Times New Roman" w:eastAsia="宋体" w:cs="Times New Roman"/>
                <w:smallCaps w:val="0"/>
                <w:color w:val="auto"/>
                <w:spacing w:val="0"/>
                <w:position w:val="0"/>
                <w:sz w:val="24"/>
                <w:szCs w:val="24"/>
                <w:highlight w:val="none"/>
                <w:lang w:eastAsia="zh-CN"/>
              </w:rPr>
              <w:t>HJ</w:t>
            </w:r>
            <w:r>
              <w:rPr>
                <w:rFonts w:hint="default" w:ascii="Times New Roman" w:hAnsi="Times New Roman" w:eastAsia="宋体" w:cs="Times New Roman"/>
                <w:smallCaps w:val="0"/>
                <w:color w:val="auto"/>
                <w:spacing w:val="0"/>
                <w:position w:val="0"/>
                <w:sz w:val="24"/>
                <w:szCs w:val="24"/>
                <w:highlight w:val="none"/>
              </w:rPr>
              <w:t>169-2018）</w:t>
            </w:r>
            <w:r>
              <w:rPr>
                <w:rFonts w:hint="default" w:ascii="Times New Roman" w:hAnsi="Times New Roman" w:eastAsia="宋体" w:cs="Times New Roman"/>
                <w:bCs/>
                <w:smallCaps w:val="0"/>
                <w:color w:val="auto"/>
                <w:spacing w:val="0"/>
                <w:position w:val="0"/>
                <w:sz w:val="24"/>
                <w:szCs w:val="24"/>
                <w:highlight w:val="none"/>
              </w:rPr>
              <w:t>导则附录C中，计算Q值。</w:t>
            </w:r>
          </w:p>
          <w:p w14:paraId="6BBF582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smallCaps w:val="0"/>
                <w:color w:val="auto"/>
                <w:spacing w:val="0"/>
                <w:position w:val="0"/>
                <w:sz w:val="24"/>
                <w:szCs w:val="24"/>
                <w:highlight w:val="none"/>
              </w:rPr>
            </w:pPr>
            <w:r>
              <w:rPr>
                <w:rFonts w:hint="default" w:ascii="Times New Roman" w:hAnsi="Times New Roman" w:eastAsia="宋体" w:cs="Times New Roman"/>
                <w:smallCaps w:val="0"/>
                <w:color w:val="auto"/>
                <w:spacing w:val="0"/>
                <w:position w:val="0"/>
                <w:sz w:val="24"/>
                <w:szCs w:val="24"/>
                <w:highlight w:val="none"/>
              </w:rPr>
              <w:object>
                <v:shape id="_x0000_i1039" o:spt="75" type="#_x0000_t75" style="height:34.5pt;width:99.5pt;" o:ole="t" filled="f" o:preferrelative="t" stroked="f" coordsize="21600,21600">
                  <v:path/>
                  <v:fill on="f" focussize="0,0"/>
                  <v:stroke on="f"/>
                  <v:imagedata r:id="rId43" o:title=""/>
                  <o:lock v:ext="edit" aspectratio="t"/>
                  <w10:wrap type="none"/>
                  <w10:anchorlock/>
                </v:shape>
                <o:OLEObject Type="Embed" ProgID="Equation.KSEE3" ShapeID="_x0000_i1039" DrawAspect="Content" ObjectID="_1468075739" r:id="rId42">
                  <o:LockedField>false</o:LockedField>
                </o:OLEObject>
              </w:object>
            </w:r>
          </w:p>
          <w:p w14:paraId="69046FA2">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auto"/>
                <w:spacing w:val="0"/>
                <w:position w:val="0"/>
                <w:sz w:val="24"/>
                <w:szCs w:val="24"/>
                <w:highlight w:val="none"/>
              </w:rPr>
            </w:pPr>
            <w:r>
              <w:rPr>
                <w:rFonts w:hint="default" w:ascii="Times New Roman" w:hAnsi="Times New Roman" w:eastAsia="宋体" w:cs="Times New Roman"/>
                <w:bCs/>
                <w:smallCaps w:val="0"/>
                <w:color w:val="auto"/>
                <w:spacing w:val="0"/>
                <w:position w:val="0"/>
                <w:sz w:val="24"/>
                <w:szCs w:val="24"/>
                <w:highlight w:val="none"/>
              </w:rPr>
              <w:t>式中：q</w:t>
            </w:r>
            <w:r>
              <w:rPr>
                <w:rFonts w:hint="default" w:ascii="Times New Roman" w:hAnsi="Times New Roman" w:eastAsia="宋体" w:cs="Times New Roman"/>
                <w:bCs/>
                <w:smallCaps w:val="0"/>
                <w:color w:val="auto"/>
                <w:spacing w:val="0"/>
                <w:position w:val="0"/>
                <w:sz w:val="24"/>
                <w:szCs w:val="24"/>
                <w:highlight w:val="none"/>
                <w:vertAlign w:val="subscript"/>
              </w:rPr>
              <w:t>1</w:t>
            </w:r>
            <w:r>
              <w:rPr>
                <w:rFonts w:hint="default" w:ascii="Times New Roman" w:hAnsi="Times New Roman" w:eastAsia="宋体" w:cs="Times New Roman"/>
                <w:bCs/>
                <w:smallCaps w:val="0"/>
                <w:color w:val="auto"/>
                <w:spacing w:val="0"/>
                <w:position w:val="0"/>
                <w:sz w:val="24"/>
                <w:szCs w:val="24"/>
                <w:highlight w:val="none"/>
              </w:rPr>
              <w:t>，q</w:t>
            </w:r>
            <w:r>
              <w:rPr>
                <w:rFonts w:hint="default" w:ascii="Times New Roman" w:hAnsi="Times New Roman" w:eastAsia="宋体" w:cs="Times New Roman"/>
                <w:bCs/>
                <w:smallCaps w:val="0"/>
                <w:color w:val="auto"/>
                <w:spacing w:val="0"/>
                <w:position w:val="0"/>
                <w:sz w:val="24"/>
                <w:szCs w:val="24"/>
                <w:highlight w:val="none"/>
                <w:vertAlign w:val="subscript"/>
              </w:rPr>
              <w:t>2</w:t>
            </w:r>
            <w:r>
              <w:rPr>
                <w:rFonts w:hint="default" w:ascii="Times New Roman" w:hAnsi="Times New Roman" w:eastAsia="宋体" w:cs="Times New Roman"/>
                <w:bCs/>
                <w:smallCaps w:val="0"/>
                <w:color w:val="auto"/>
                <w:spacing w:val="0"/>
                <w:position w:val="0"/>
                <w:sz w:val="24"/>
                <w:szCs w:val="24"/>
                <w:highlight w:val="none"/>
              </w:rPr>
              <w:t>，...，q</w:t>
            </w:r>
            <w:r>
              <w:rPr>
                <w:rFonts w:hint="default" w:ascii="Times New Roman" w:hAnsi="Times New Roman" w:eastAsia="宋体" w:cs="Times New Roman"/>
                <w:bCs/>
                <w:smallCaps w:val="0"/>
                <w:color w:val="auto"/>
                <w:spacing w:val="0"/>
                <w:position w:val="0"/>
                <w:sz w:val="24"/>
                <w:szCs w:val="24"/>
                <w:highlight w:val="none"/>
                <w:vertAlign w:val="subscript"/>
              </w:rPr>
              <w:t>n</w:t>
            </w:r>
            <w:r>
              <w:rPr>
                <w:rFonts w:hint="default" w:ascii="Times New Roman" w:hAnsi="Times New Roman" w:eastAsia="宋体" w:cs="Times New Roman"/>
                <w:bCs/>
                <w:smallCaps w:val="0"/>
                <w:color w:val="auto"/>
                <w:spacing w:val="0"/>
                <w:position w:val="0"/>
                <w:sz w:val="24"/>
                <w:szCs w:val="24"/>
                <w:highlight w:val="none"/>
              </w:rPr>
              <w:t>—每种风险物质的最大存在总量，t；</w:t>
            </w:r>
          </w:p>
          <w:p w14:paraId="792EC142">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auto"/>
                <w:spacing w:val="0"/>
                <w:position w:val="0"/>
                <w:sz w:val="24"/>
                <w:szCs w:val="24"/>
                <w:highlight w:val="none"/>
              </w:rPr>
            </w:pPr>
            <w:r>
              <w:rPr>
                <w:rFonts w:hint="default" w:ascii="Times New Roman" w:hAnsi="Times New Roman" w:eastAsia="宋体" w:cs="Times New Roman"/>
                <w:bCs/>
                <w:smallCaps w:val="0"/>
                <w:color w:val="auto"/>
                <w:spacing w:val="0"/>
                <w:position w:val="0"/>
                <w:sz w:val="24"/>
                <w:szCs w:val="24"/>
                <w:highlight w:val="none"/>
              </w:rPr>
              <w:t>Q</w:t>
            </w:r>
            <w:r>
              <w:rPr>
                <w:rFonts w:hint="default" w:ascii="Times New Roman" w:hAnsi="Times New Roman" w:eastAsia="宋体" w:cs="Times New Roman"/>
                <w:bCs/>
                <w:smallCaps w:val="0"/>
                <w:color w:val="auto"/>
                <w:spacing w:val="0"/>
                <w:position w:val="0"/>
                <w:sz w:val="24"/>
                <w:szCs w:val="24"/>
                <w:highlight w:val="none"/>
                <w:vertAlign w:val="subscript"/>
              </w:rPr>
              <w:t>1</w:t>
            </w:r>
            <w:r>
              <w:rPr>
                <w:rFonts w:hint="default" w:ascii="Times New Roman" w:hAnsi="Times New Roman" w:eastAsia="宋体" w:cs="Times New Roman"/>
                <w:bCs/>
                <w:smallCaps w:val="0"/>
                <w:color w:val="auto"/>
                <w:spacing w:val="0"/>
                <w:position w:val="0"/>
                <w:sz w:val="24"/>
                <w:szCs w:val="24"/>
                <w:highlight w:val="none"/>
              </w:rPr>
              <w:t>，Q</w:t>
            </w:r>
            <w:r>
              <w:rPr>
                <w:rFonts w:hint="default" w:ascii="Times New Roman" w:hAnsi="Times New Roman" w:eastAsia="宋体" w:cs="Times New Roman"/>
                <w:bCs/>
                <w:smallCaps w:val="0"/>
                <w:color w:val="auto"/>
                <w:spacing w:val="0"/>
                <w:position w:val="0"/>
                <w:sz w:val="24"/>
                <w:szCs w:val="24"/>
                <w:highlight w:val="none"/>
                <w:vertAlign w:val="subscript"/>
              </w:rPr>
              <w:t>2</w:t>
            </w:r>
            <w:r>
              <w:rPr>
                <w:rFonts w:hint="default" w:ascii="Times New Roman" w:hAnsi="Times New Roman" w:eastAsia="宋体" w:cs="Times New Roman"/>
                <w:bCs/>
                <w:smallCaps w:val="0"/>
                <w:color w:val="auto"/>
                <w:spacing w:val="0"/>
                <w:position w:val="0"/>
                <w:sz w:val="24"/>
                <w:szCs w:val="24"/>
                <w:highlight w:val="none"/>
              </w:rPr>
              <w:t>，...，Q</w:t>
            </w:r>
            <w:r>
              <w:rPr>
                <w:rFonts w:hint="default" w:ascii="Times New Roman" w:hAnsi="Times New Roman" w:eastAsia="宋体" w:cs="Times New Roman"/>
                <w:bCs/>
                <w:smallCaps w:val="0"/>
                <w:color w:val="auto"/>
                <w:spacing w:val="0"/>
                <w:position w:val="0"/>
                <w:sz w:val="24"/>
                <w:szCs w:val="24"/>
                <w:highlight w:val="none"/>
                <w:vertAlign w:val="subscript"/>
              </w:rPr>
              <w:t>n</w:t>
            </w:r>
            <w:r>
              <w:rPr>
                <w:rFonts w:hint="default" w:ascii="Times New Roman" w:hAnsi="Times New Roman" w:eastAsia="宋体" w:cs="Times New Roman"/>
                <w:bCs/>
                <w:smallCaps w:val="0"/>
                <w:color w:val="auto"/>
                <w:spacing w:val="0"/>
                <w:position w:val="0"/>
                <w:sz w:val="24"/>
                <w:szCs w:val="24"/>
                <w:highlight w:val="none"/>
              </w:rPr>
              <w:t>—每种风险物质的临界量，t。</w:t>
            </w:r>
          </w:p>
          <w:p w14:paraId="2DEEBAF5">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auto"/>
                <w:spacing w:val="0"/>
                <w:position w:val="0"/>
                <w:sz w:val="24"/>
                <w:szCs w:val="24"/>
                <w:highlight w:val="none"/>
              </w:rPr>
            </w:pPr>
            <w:r>
              <w:rPr>
                <w:rFonts w:hint="default" w:ascii="Times New Roman" w:hAnsi="Times New Roman" w:eastAsia="宋体" w:cs="Times New Roman"/>
                <w:bCs/>
                <w:smallCaps w:val="0"/>
                <w:color w:val="auto"/>
                <w:spacing w:val="0"/>
                <w:position w:val="0"/>
                <w:sz w:val="24"/>
                <w:szCs w:val="24"/>
                <w:highlight w:val="none"/>
              </w:rPr>
              <w:t>当Q＜1时，该项目环境风险潜势为Ⅰ。</w:t>
            </w:r>
          </w:p>
          <w:p w14:paraId="413FD198">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auto"/>
                <w:spacing w:val="0"/>
                <w:position w:val="0"/>
                <w:sz w:val="24"/>
                <w:szCs w:val="24"/>
                <w:highlight w:val="none"/>
              </w:rPr>
            </w:pPr>
            <w:r>
              <w:rPr>
                <w:rFonts w:hint="default" w:ascii="Times New Roman" w:hAnsi="Times New Roman" w:eastAsia="宋体" w:cs="Times New Roman"/>
                <w:bCs/>
                <w:smallCaps w:val="0"/>
                <w:color w:val="auto"/>
                <w:spacing w:val="0"/>
                <w:position w:val="0"/>
                <w:sz w:val="24"/>
                <w:szCs w:val="24"/>
                <w:highlight w:val="none"/>
              </w:rPr>
              <w:t>当Q≥1时，将Q值划分为：（1）1≤Q＜10；（2）10≤Q＜100；（3）Q≥100；</w:t>
            </w:r>
          </w:p>
          <w:p w14:paraId="0A672929">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eastAsia" w:cs="Times New Roman"/>
                <w:bCs/>
                <w:smallCaps w:val="0"/>
                <w:color w:val="auto"/>
                <w:spacing w:val="0"/>
                <w:position w:val="0"/>
                <w:sz w:val="24"/>
                <w:szCs w:val="24"/>
                <w:highlight w:val="none"/>
                <w:lang w:eastAsia="zh-CN"/>
              </w:rPr>
            </w:pPr>
            <w:r>
              <w:rPr>
                <w:rFonts w:hint="default" w:ascii="Times New Roman" w:hAnsi="Times New Roman" w:eastAsia="宋体" w:cs="Times New Roman"/>
                <w:bCs/>
                <w:smallCaps w:val="0"/>
                <w:color w:val="auto"/>
                <w:spacing w:val="0"/>
                <w:position w:val="0"/>
                <w:sz w:val="24"/>
                <w:szCs w:val="24"/>
                <w:highlight w:val="none"/>
              </w:rPr>
              <w:t>Q值计算结果如下</w:t>
            </w:r>
            <w:r>
              <w:rPr>
                <w:rFonts w:hint="eastAsia" w:cs="Times New Roman"/>
                <w:bCs/>
                <w:smallCaps w:val="0"/>
                <w:color w:val="auto"/>
                <w:spacing w:val="0"/>
                <w:position w:val="0"/>
                <w:sz w:val="24"/>
                <w:szCs w:val="24"/>
                <w:highlight w:val="none"/>
                <w:lang w:eastAsia="zh-CN"/>
              </w:rPr>
              <w:t>：</w:t>
            </w:r>
          </w:p>
          <w:p w14:paraId="28CB931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Q值计算结果</w:t>
            </w:r>
          </w:p>
          <w:tbl>
            <w:tblPr>
              <w:tblStyle w:val="32"/>
              <w:tblW w:w="797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617"/>
              <w:gridCol w:w="1889"/>
              <w:gridCol w:w="1299"/>
              <w:gridCol w:w="1073"/>
              <w:gridCol w:w="1138"/>
              <w:gridCol w:w="962"/>
            </w:tblGrid>
            <w:tr w14:paraId="33240EA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33" w:hRule="atLeast"/>
                <w:jc w:val="center"/>
              </w:trPr>
              <w:tc>
                <w:tcPr>
                  <w:tcW w:w="1617" w:type="dxa"/>
                  <w:tcBorders>
                    <w:tl2br w:val="nil"/>
                    <w:tr2bl w:val="nil"/>
                  </w:tcBorders>
                  <w:noWrap w:val="0"/>
                  <w:tcMar>
                    <w:top w:w="15" w:type="dxa"/>
                    <w:left w:w="15" w:type="dxa"/>
                    <w:right w:w="15" w:type="dxa"/>
                  </w:tcMar>
                  <w:vAlign w:val="center"/>
                </w:tcPr>
                <w:p w14:paraId="0F8F545A">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b w:val="0"/>
                      <w:bCs w:val="0"/>
                      <w:color w:val="auto"/>
                      <w:sz w:val="21"/>
                      <w:szCs w:val="21"/>
                      <w:highlight w:val="none"/>
                      <w:shd w:val="clear" w:color="auto" w:fill="auto"/>
                      <w:lang w:eastAsia="zh-CN"/>
                    </w:rPr>
                  </w:pPr>
                  <w:r>
                    <w:rPr>
                      <w:rFonts w:hint="eastAsia" w:ascii="Times New Roman" w:hAnsi="Times New Roman" w:eastAsia="宋体" w:cs="Times New Roman"/>
                      <w:b w:val="0"/>
                      <w:bCs w:val="0"/>
                      <w:color w:val="auto"/>
                      <w:sz w:val="21"/>
                      <w:szCs w:val="21"/>
                      <w:highlight w:val="none"/>
                      <w:shd w:val="clear" w:color="auto" w:fill="auto"/>
                      <w:lang w:eastAsia="zh-CN"/>
                    </w:rPr>
                    <w:t>风险物质名称</w:t>
                  </w:r>
                </w:p>
              </w:tc>
              <w:tc>
                <w:tcPr>
                  <w:tcW w:w="1889" w:type="dxa"/>
                  <w:tcBorders>
                    <w:tl2br w:val="nil"/>
                    <w:tr2bl w:val="nil"/>
                  </w:tcBorders>
                  <w:noWrap w:val="0"/>
                  <w:tcMar>
                    <w:top w:w="15" w:type="dxa"/>
                    <w:left w:w="15" w:type="dxa"/>
                    <w:right w:w="15" w:type="dxa"/>
                  </w:tcMar>
                  <w:vAlign w:val="center"/>
                </w:tcPr>
                <w:p w14:paraId="757D6834">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eastAsia="zh-CN"/>
                    </w:rPr>
                  </w:pPr>
                  <w:r>
                    <w:rPr>
                      <w:rFonts w:hint="eastAsia" w:ascii="Times New Roman" w:hAnsi="Times New Roman" w:eastAsia="宋体" w:cs="Times New Roman"/>
                      <w:b w:val="0"/>
                      <w:bCs w:val="0"/>
                      <w:color w:val="auto"/>
                      <w:sz w:val="21"/>
                      <w:szCs w:val="21"/>
                      <w:highlight w:val="none"/>
                      <w:shd w:val="clear" w:color="auto" w:fill="auto"/>
                      <w:lang w:eastAsia="zh-CN"/>
                    </w:rPr>
                    <w:t>储存场所</w:t>
                  </w:r>
                </w:p>
              </w:tc>
              <w:tc>
                <w:tcPr>
                  <w:tcW w:w="1299" w:type="dxa"/>
                  <w:tcBorders>
                    <w:tl2br w:val="nil"/>
                    <w:tr2bl w:val="nil"/>
                  </w:tcBorders>
                  <w:noWrap w:val="0"/>
                  <w:tcMar>
                    <w:top w:w="15" w:type="dxa"/>
                    <w:left w:w="15" w:type="dxa"/>
                    <w:right w:w="15" w:type="dxa"/>
                  </w:tcMar>
                  <w:vAlign w:val="center"/>
                </w:tcPr>
                <w:p w14:paraId="4BB20745">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ascii="Times New Roman" w:hAnsi="Times New Roman" w:eastAsia="宋体" w:cs="Times New Roman"/>
                      <w:b w:val="0"/>
                      <w:bCs w:val="0"/>
                      <w:color w:val="auto"/>
                      <w:sz w:val="21"/>
                      <w:szCs w:val="21"/>
                      <w:highlight w:val="none"/>
                      <w:shd w:val="clear" w:color="auto" w:fill="auto"/>
                      <w:lang w:val="en-US" w:eastAsia="zh-CN"/>
                    </w:rPr>
                    <w:t>储存方式</w:t>
                  </w:r>
                </w:p>
              </w:tc>
              <w:tc>
                <w:tcPr>
                  <w:tcW w:w="1073" w:type="dxa"/>
                  <w:tcBorders>
                    <w:tl2br w:val="nil"/>
                    <w:tr2bl w:val="nil"/>
                  </w:tcBorders>
                  <w:noWrap w:val="0"/>
                  <w:tcMar>
                    <w:top w:w="15" w:type="dxa"/>
                    <w:left w:w="15" w:type="dxa"/>
                    <w:right w:w="15" w:type="dxa"/>
                  </w:tcMar>
                  <w:vAlign w:val="center"/>
                </w:tcPr>
                <w:p w14:paraId="1A7A916C">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b w:val="0"/>
                      <w:bCs w:val="0"/>
                      <w:color w:val="auto"/>
                      <w:sz w:val="21"/>
                      <w:szCs w:val="21"/>
                      <w:highlight w:val="none"/>
                      <w:shd w:val="clear" w:color="auto" w:fill="auto"/>
                      <w:lang w:val="en-US"/>
                    </w:rPr>
                  </w:pPr>
                  <w:r>
                    <w:rPr>
                      <w:rFonts w:hint="eastAsia" w:ascii="Times New Roman" w:hAnsi="Times New Roman" w:eastAsia="宋体" w:cs="Times New Roman"/>
                      <w:b w:val="0"/>
                      <w:bCs w:val="0"/>
                      <w:color w:val="auto"/>
                      <w:sz w:val="21"/>
                      <w:szCs w:val="21"/>
                      <w:highlight w:val="none"/>
                      <w:shd w:val="clear" w:color="auto" w:fill="auto"/>
                      <w:lang w:val="en-US" w:eastAsia="zh-CN"/>
                    </w:rPr>
                    <w:t>最大储存量（t/a）</w:t>
                  </w:r>
                </w:p>
              </w:tc>
              <w:tc>
                <w:tcPr>
                  <w:tcW w:w="1138" w:type="dxa"/>
                  <w:tcBorders>
                    <w:tl2br w:val="nil"/>
                    <w:tr2bl w:val="nil"/>
                  </w:tcBorders>
                  <w:noWrap w:val="0"/>
                  <w:tcMar>
                    <w:top w:w="15" w:type="dxa"/>
                    <w:left w:w="15" w:type="dxa"/>
                    <w:right w:w="15" w:type="dxa"/>
                  </w:tcMar>
                  <w:vAlign w:val="center"/>
                </w:tcPr>
                <w:p w14:paraId="7D80E132">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b w:val="0"/>
                      <w:bCs w:val="0"/>
                      <w:color w:val="auto"/>
                      <w:sz w:val="21"/>
                      <w:szCs w:val="21"/>
                      <w:highlight w:val="none"/>
                      <w:shd w:val="clear" w:color="auto" w:fill="auto"/>
                      <w:lang w:val="en-US" w:eastAsia="zh-CN"/>
                    </w:rPr>
                  </w:pPr>
                  <w:r>
                    <w:rPr>
                      <w:rFonts w:hint="eastAsia" w:ascii="Times New Roman" w:hAnsi="Times New Roman" w:eastAsia="宋体" w:cs="Times New Roman"/>
                      <w:b w:val="0"/>
                      <w:bCs w:val="0"/>
                      <w:color w:val="auto"/>
                      <w:sz w:val="21"/>
                      <w:szCs w:val="21"/>
                      <w:highlight w:val="none"/>
                      <w:shd w:val="clear" w:color="auto" w:fill="auto"/>
                      <w:lang w:val="en-US" w:eastAsia="zh-CN"/>
                    </w:rPr>
                    <w:t>临界量（t/a）</w:t>
                  </w:r>
                </w:p>
              </w:tc>
              <w:tc>
                <w:tcPr>
                  <w:tcW w:w="962" w:type="dxa"/>
                  <w:tcBorders>
                    <w:tl2br w:val="nil"/>
                    <w:tr2bl w:val="nil"/>
                  </w:tcBorders>
                  <w:noWrap w:val="0"/>
                  <w:tcMar>
                    <w:top w:w="15" w:type="dxa"/>
                    <w:left w:w="15" w:type="dxa"/>
                    <w:right w:w="15" w:type="dxa"/>
                  </w:tcMar>
                  <w:vAlign w:val="center"/>
                </w:tcPr>
                <w:p w14:paraId="40DB15FE">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b w:val="0"/>
                      <w:bCs w:val="0"/>
                      <w:color w:val="auto"/>
                      <w:sz w:val="21"/>
                      <w:szCs w:val="21"/>
                      <w:highlight w:val="none"/>
                      <w:shd w:val="clear" w:color="auto" w:fill="auto"/>
                      <w:lang w:val="en-US" w:eastAsia="zh-CN"/>
                    </w:rPr>
                  </w:pPr>
                  <w:r>
                    <w:rPr>
                      <w:rFonts w:hint="eastAsia" w:ascii="Times New Roman" w:hAnsi="Times New Roman" w:eastAsia="宋体" w:cs="Times New Roman"/>
                      <w:b w:val="0"/>
                      <w:bCs w:val="0"/>
                      <w:color w:val="auto"/>
                      <w:sz w:val="21"/>
                      <w:szCs w:val="21"/>
                      <w:highlight w:val="none"/>
                      <w:shd w:val="clear" w:color="auto" w:fill="auto"/>
                      <w:lang w:val="en-US" w:eastAsia="zh-CN"/>
                    </w:rPr>
                    <w:t>Q值</w:t>
                  </w:r>
                </w:p>
              </w:tc>
            </w:tr>
            <w:tr w14:paraId="621669D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21" w:hRule="atLeast"/>
                <w:jc w:val="center"/>
              </w:trPr>
              <w:tc>
                <w:tcPr>
                  <w:tcW w:w="1617" w:type="dxa"/>
                  <w:tcBorders>
                    <w:tl2br w:val="nil"/>
                    <w:tr2bl w:val="nil"/>
                  </w:tcBorders>
                  <w:noWrap w:val="0"/>
                  <w:tcMar>
                    <w:top w:w="15" w:type="dxa"/>
                    <w:left w:w="15" w:type="dxa"/>
                    <w:right w:w="15" w:type="dxa"/>
                  </w:tcMar>
                  <w:vAlign w:val="center"/>
                </w:tcPr>
                <w:p w14:paraId="5817F9A5">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废润滑油</w:t>
                  </w:r>
                </w:p>
              </w:tc>
              <w:tc>
                <w:tcPr>
                  <w:tcW w:w="1889" w:type="dxa"/>
                  <w:tcBorders>
                    <w:tl2br w:val="nil"/>
                    <w:tr2bl w:val="nil"/>
                  </w:tcBorders>
                  <w:noWrap w:val="0"/>
                  <w:tcMar>
                    <w:top w:w="15" w:type="dxa"/>
                    <w:left w:w="15" w:type="dxa"/>
                    <w:right w:w="15" w:type="dxa"/>
                  </w:tcMar>
                  <w:vAlign w:val="center"/>
                </w:tcPr>
                <w:p w14:paraId="6BAD38C0">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lang w:eastAsia="zh-CN"/>
                    </w:rPr>
                    <w:t>危险废物暂存间</w:t>
                  </w:r>
                </w:p>
              </w:tc>
              <w:tc>
                <w:tcPr>
                  <w:tcW w:w="1299" w:type="dxa"/>
                  <w:tcBorders>
                    <w:tl2br w:val="nil"/>
                    <w:tr2bl w:val="nil"/>
                  </w:tcBorders>
                  <w:noWrap w:val="0"/>
                  <w:tcMar>
                    <w:top w:w="15" w:type="dxa"/>
                    <w:left w:w="15" w:type="dxa"/>
                    <w:right w:w="15" w:type="dxa"/>
                  </w:tcMar>
                  <w:vAlign w:val="center"/>
                </w:tcPr>
                <w:p w14:paraId="211DC97F">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桶装</w:t>
                  </w:r>
                </w:p>
              </w:tc>
              <w:tc>
                <w:tcPr>
                  <w:tcW w:w="1073" w:type="dxa"/>
                  <w:tcBorders>
                    <w:tl2br w:val="nil"/>
                    <w:tr2bl w:val="nil"/>
                  </w:tcBorders>
                  <w:noWrap w:val="0"/>
                  <w:tcMar>
                    <w:top w:w="15" w:type="dxa"/>
                    <w:left w:w="15" w:type="dxa"/>
                    <w:right w:w="15" w:type="dxa"/>
                  </w:tcMar>
                  <w:vAlign w:val="center"/>
                </w:tcPr>
                <w:p w14:paraId="6EED302C">
                  <w:pPr>
                    <w:keepNext w:val="0"/>
                    <w:keepLines w:val="0"/>
                    <w:pageBreakBefore w:val="0"/>
                    <w:shd w:val="clear"/>
                    <w:kinsoku/>
                    <w:wordWrap/>
                    <w:overflowPunct/>
                    <w:topLinePunct w:val="0"/>
                    <w:autoSpaceDE/>
                    <w:autoSpaceDN/>
                    <w:bidi w:val="0"/>
                    <w:spacing w:line="0" w:lineRule="atLeas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0.35</w:t>
                  </w:r>
                </w:p>
              </w:tc>
              <w:tc>
                <w:tcPr>
                  <w:tcW w:w="1138" w:type="dxa"/>
                  <w:vMerge w:val="restart"/>
                  <w:tcBorders>
                    <w:tl2br w:val="nil"/>
                    <w:tr2bl w:val="nil"/>
                  </w:tcBorders>
                  <w:noWrap w:val="0"/>
                  <w:tcMar>
                    <w:top w:w="15" w:type="dxa"/>
                    <w:left w:w="15" w:type="dxa"/>
                    <w:right w:w="15" w:type="dxa"/>
                  </w:tcMar>
                  <w:vAlign w:val="center"/>
                </w:tcPr>
                <w:p w14:paraId="6CB9A7CF">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100</w:t>
                  </w:r>
                </w:p>
              </w:tc>
              <w:tc>
                <w:tcPr>
                  <w:tcW w:w="962" w:type="dxa"/>
                  <w:tcBorders>
                    <w:tl2br w:val="nil"/>
                    <w:tr2bl w:val="nil"/>
                  </w:tcBorders>
                  <w:noWrap w:val="0"/>
                  <w:tcMar>
                    <w:top w:w="15" w:type="dxa"/>
                    <w:left w:w="15" w:type="dxa"/>
                    <w:right w:w="15" w:type="dxa"/>
                  </w:tcMar>
                  <w:vAlign w:val="center"/>
                </w:tcPr>
                <w:p w14:paraId="2BD031B1">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0.0035</w:t>
                  </w:r>
                </w:p>
              </w:tc>
            </w:tr>
            <w:tr w14:paraId="6E50FB7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21" w:hRule="atLeast"/>
                <w:jc w:val="center"/>
              </w:trPr>
              <w:tc>
                <w:tcPr>
                  <w:tcW w:w="1617" w:type="dxa"/>
                  <w:tcBorders>
                    <w:tl2br w:val="nil"/>
                    <w:tr2bl w:val="nil"/>
                  </w:tcBorders>
                  <w:noWrap w:val="0"/>
                  <w:tcMar>
                    <w:top w:w="15" w:type="dxa"/>
                    <w:left w:w="15" w:type="dxa"/>
                    <w:right w:w="15" w:type="dxa"/>
                  </w:tcMar>
                  <w:vAlign w:val="center"/>
                </w:tcPr>
                <w:p w14:paraId="5C348C84">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润滑油</w:t>
                  </w:r>
                </w:p>
              </w:tc>
              <w:tc>
                <w:tcPr>
                  <w:tcW w:w="1889" w:type="dxa"/>
                  <w:tcBorders>
                    <w:tl2br w:val="nil"/>
                    <w:tr2bl w:val="nil"/>
                  </w:tcBorders>
                  <w:noWrap w:val="0"/>
                  <w:tcMar>
                    <w:top w:w="15" w:type="dxa"/>
                    <w:left w:w="15" w:type="dxa"/>
                    <w:right w:w="15" w:type="dxa"/>
                  </w:tcMar>
                  <w:vAlign w:val="center"/>
                </w:tcPr>
                <w:p w14:paraId="6D7E70AE">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设备</w:t>
                  </w:r>
                </w:p>
              </w:tc>
              <w:tc>
                <w:tcPr>
                  <w:tcW w:w="1299" w:type="dxa"/>
                  <w:tcBorders>
                    <w:tl2br w:val="nil"/>
                    <w:tr2bl w:val="nil"/>
                  </w:tcBorders>
                  <w:noWrap w:val="0"/>
                  <w:tcMar>
                    <w:top w:w="15" w:type="dxa"/>
                    <w:left w:w="15" w:type="dxa"/>
                    <w:right w:w="15" w:type="dxa"/>
                  </w:tcMar>
                  <w:vAlign w:val="center"/>
                </w:tcPr>
                <w:p w14:paraId="0D6F3847">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073" w:type="dxa"/>
                  <w:tcBorders>
                    <w:tl2br w:val="nil"/>
                    <w:tr2bl w:val="nil"/>
                  </w:tcBorders>
                  <w:noWrap w:val="0"/>
                  <w:tcMar>
                    <w:top w:w="15" w:type="dxa"/>
                    <w:left w:w="15" w:type="dxa"/>
                    <w:right w:w="15" w:type="dxa"/>
                  </w:tcMar>
                  <w:vAlign w:val="center"/>
                </w:tcPr>
                <w:p w14:paraId="6F4A6743">
                  <w:pPr>
                    <w:keepNext w:val="0"/>
                    <w:keepLines w:val="0"/>
                    <w:pageBreakBefore w:val="0"/>
                    <w:shd w:val="clear"/>
                    <w:kinsoku/>
                    <w:wordWrap/>
                    <w:overflowPunct/>
                    <w:topLinePunct w:val="0"/>
                    <w:autoSpaceDE/>
                    <w:autoSpaceDN/>
                    <w:bidi w:val="0"/>
                    <w:spacing w:line="0" w:lineRule="atLeas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0.10</w:t>
                  </w:r>
                </w:p>
              </w:tc>
              <w:tc>
                <w:tcPr>
                  <w:tcW w:w="1138" w:type="dxa"/>
                  <w:vMerge w:val="continue"/>
                  <w:tcBorders>
                    <w:tl2br w:val="nil"/>
                    <w:tr2bl w:val="nil"/>
                  </w:tcBorders>
                  <w:noWrap w:val="0"/>
                  <w:tcMar>
                    <w:top w:w="15" w:type="dxa"/>
                    <w:left w:w="15" w:type="dxa"/>
                    <w:right w:w="15" w:type="dxa"/>
                  </w:tcMar>
                  <w:vAlign w:val="center"/>
                </w:tcPr>
                <w:p w14:paraId="7DE9D0B8">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62" w:type="dxa"/>
                  <w:tcBorders>
                    <w:tl2br w:val="nil"/>
                    <w:tr2bl w:val="nil"/>
                  </w:tcBorders>
                  <w:noWrap w:val="0"/>
                  <w:tcMar>
                    <w:top w:w="15" w:type="dxa"/>
                    <w:left w:w="15" w:type="dxa"/>
                    <w:right w:w="15" w:type="dxa"/>
                  </w:tcMar>
                  <w:vAlign w:val="center"/>
                </w:tcPr>
                <w:p w14:paraId="58B2FFC6">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0.0010</w:t>
                  </w:r>
                </w:p>
              </w:tc>
            </w:tr>
            <w:tr w14:paraId="706119F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49" w:hRule="atLeast"/>
                <w:jc w:val="center"/>
              </w:trPr>
              <w:tc>
                <w:tcPr>
                  <w:tcW w:w="1617" w:type="dxa"/>
                  <w:tcBorders>
                    <w:tl2br w:val="nil"/>
                    <w:tr2bl w:val="nil"/>
                  </w:tcBorders>
                  <w:noWrap w:val="0"/>
                  <w:tcMar>
                    <w:top w:w="15" w:type="dxa"/>
                    <w:left w:w="15" w:type="dxa"/>
                    <w:right w:w="15" w:type="dxa"/>
                  </w:tcMar>
                  <w:vAlign w:val="center"/>
                </w:tcPr>
                <w:p w14:paraId="63C8562D">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合计</w:t>
                  </w:r>
                </w:p>
              </w:tc>
              <w:tc>
                <w:tcPr>
                  <w:tcW w:w="1889" w:type="dxa"/>
                  <w:tcBorders>
                    <w:tl2br w:val="nil"/>
                    <w:tr2bl w:val="nil"/>
                  </w:tcBorders>
                  <w:noWrap w:val="0"/>
                  <w:tcMar>
                    <w:top w:w="15" w:type="dxa"/>
                    <w:left w:w="15" w:type="dxa"/>
                    <w:right w:w="15" w:type="dxa"/>
                  </w:tcMar>
                  <w:vAlign w:val="center"/>
                </w:tcPr>
                <w:p w14:paraId="47191959">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1299" w:type="dxa"/>
                  <w:tcBorders>
                    <w:tl2br w:val="nil"/>
                    <w:tr2bl w:val="nil"/>
                  </w:tcBorders>
                  <w:noWrap w:val="0"/>
                  <w:tcMar>
                    <w:top w:w="15" w:type="dxa"/>
                    <w:left w:w="15" w:type="dxa"/>
                    <w:right w:w="15" w:type="dxa"/>
                  </w:tcMar>
                  <w:vAlign w:val="center"/>
                </w:tcPr>
                <w:p w14:paraId="4E278814">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073" w:type="dxa"/>
                  <w:tcBorders>
                    <w:tl2br w:val="nil"/>
                    <w:tr2bl w:val="nil"/>
                  </w:tcBorders>
                  <w:noWrap w:val="0"/>
                  <w:tcMar>
                    <w:top w:w="15" w:type="dxa"/>
                    <w:left w:w="15" w:type="dxa"/>
                    <w:right w:w="15" w:type="dxa"/>
                  </w:tcMar>
                  <w:vAlign w:val="center"/>
                </w:tcPr>
                <w:p w14:paraId="75D6EDF9">
                  <w:pPr>
                    <w:keepNext w:val="0"/>
                    <w:keepLines w:val="0"/>
                    <w:pageBreakBefore w:val="0"/>
                    <w:shd w:val="clear"/>
                    <w:kinsoku/>
                    <w:wordWrap/>
                    <w:overflowPunct/>
                    <w:topLinePunct w:val="0"/>
                    <w:autoSpaceDE/>
                    <w:autoSpaceDN/>
                    <w:bidi w:val="0"/>
                    <w:spacing w:line="0" w:lineRule="atLeas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1138" w:type="dxa"/>
                  <w:tcBorders>
                    <w:tl2br w:val="nil"/>
                    <w:tr2bl w:val="nil"/>
                  </w:tcBorders>
                  <w:noWrap w:val="0"/>
                  <w:tcMar>
                    <w:top w:w="15" w:type="dxa"/>
                    <w:left w:w="15" w:type="dxa"/>
                    <w:right w:w="15" w:type="dxa"/>
                  </w:tcMar>
                  <w:vAlign w:val="center"/>
                </w:tcPr>
                <w:p w14:paraId="3C03F026">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lang w:val="en-US" w:eastAsia="zh-CN"/>
                    </w:rPr>
                    <w:t>/</w:t>
                  </w:r>
                </w:p>
              </w:tc>
              <w:tc>
                <w:tcPr>
                  <w:tcW w:w="962" w:type="dxa"/>
                  <w:tcBorders>
                    <w:tl2br w:val="nil"/>
                    <w:tr2bl w:val="nil"/>
                  </w:tcBorders>
                  <w:noWrap w:val="0"/>
                  <w:tcMar>
                    <w:top w:w="15" w:type="dxa"/>
                    <w:left w:w="15" w:type="dxa"/>
                    <w:right w:w="15" w:type="dxa"/>
                  </w:tcMar>
                  <w:vAlign w:val="center"/>
                </w:tcPr>
                <w:p w14:paraId="7132C47F">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0.0045</w:t>
                  </w:r>
                </w:p>
              </w:tc>
            </w:tr>
          </w:tbl>
          <w:p w14:paraId="19DB9C0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outlineLvl w:val="9"/>
              <w:rPr>
                <w:rFonts w:hint="eastAsia" w:ascii="Times New Roman" w:hAnsi="Times New Roman" w:eastAsia="宋体" w:cs="Times New Roman"/>
                <w:b w:val="0"/>
                <w:bCs w:val="0"/>
                <w:color w:val="auto"/>
                <w:sz w:val="24"/>
                <w:szCs w:val="21"/>
                <w:highlight w:val="none"/>
                <w:shd w:val="clear" w:color="auto" w:fill="auto"/>
                <w:lang w:val="en-US" w:eastAsia="zh-CN"/>
              </w:rPr>
            </w:pPr>
            <w:r>
              <w:rPr>
                <w:rFonts w:hint="eastAsia" w:ascii="Times New Roman" w:hAnsi="Times New Roman" w:eastAsia="宋体" w:cs="Times New Roman"/>
                <w:b w:val="0"/>
                <w:bCs w:val="0"/>
                <w:color w:val="auto"/>
                <w:sz w:val="24"/>
                <w:szCs w:val="21"/>
                <w:highlight w:val="none"/>
                <w:shd w:val="clear" w:color="auto" w:fill="auto"/>
                <w:lang w:val="en-US" w:eastAsia="zh-CN"/>
              </w:rPr>
              <w:t>本项目涉及的风险物质的理化性质见下表。</w:t>
            </w:r>
          </w:p>
          <w:p w14:paraId="4EC70B7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zh-CN" w:eastAsia="zh-CN"/>
              </w:rPr>
              <w:t>润滑油的理化性质及危险性识别</w:t>
            </w:r>
            <w:r>
              <w:rPr>
                <w:rFonts w:hint="eastAsia" w:ascii="Times New Roman" w:hAnsi="Times New Roman" w:eastAsia="宋体" w:cs="Times New Roman"/>
                <w:b/>
                <w:bCs/>
                <w:color w:val="auto"/>
                <w:spacing w:val="0"/>
                <w:sz w:val="21"/>
                <w:szCs w:val="21"/>
                <w:highlight w:val="none"/>
                <w:lang w:val="en-US" w:eastAsia="zh-CN"/>
              </w:rPr>
              <w:t>一览表</w:t>
            </w:r>
          </w:p>
          <w:tbl>
            <w:tblPr>
              <w:tblStyle w:val="32"/>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720"/>
              <w:gridCol w:w="1766"/>
              <w:gridCol w:w="1398"/>
              <w:gridCol w:w="1631"/>
              <w:gridCol w:w="1422"/>
            </w:tblGrid>
            <w:tr w14:paraId="7E8CA08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83" w:hRule="atLeast"/>
                <w:jc w:val="center"/>
              </w:trPr>
              <w:tc>
                <w:tcPr>
                  <w:tcW w:w="1720" w:type="dxa"/>
                  <w:tcBorders>
                    <w:tl2br w:val="nil"/>
                    <w:tr2bl w:val="nil"/>
                  </w:tcBorders>
                  <w:noWrap w:val="0"/>
                  <w:vAlign w:val="center"/>
                </w:tcPr>
                <w:p w14:paraId="77F79E2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物质名称</w:t>
                  </w:r>
                </w:p>
              </w:tc>
              <w:tc>
                <w:tcPr>
                  <w:tcW w:w="1766" w:type="dxa"/>
                  <w:tcBorders>
                    <w:tl2br w:val="nil"/>
                    <w:tr2bl w:val="nil"/>
                  </w:tcBorders>
                  <w:noWrap w:val="0"/>
                  <w:vAlign w:val="center"/>
                </w:tcPr>
                <w:p w14:paraId="52BBC65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分子式</w:t>
                  </w:r>
                </w:p>
              </w:tc>
              <w:tc>
                <w:tcPr>
                  <w:tcW w:w="1398" w:type="dxa"/>
                  <w:tcBorders>
                    <w:tl2br w:val="nil"/>
                    <w:tr2bl w:val="nil"/>
                  </w:tcBorders>
                  <w:noWrap w:val="0"/>
                  <w:vAlign w:val="center"/>
                </w:tcPr>
                <w:p w14:paraId="2F32D8E3">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分子量</w:t>
                  </w:r>
                </w:p>
              </w:tc>
              <w:tc>
                <w:tcPr>
                  <w:tcW w:w="1631" w:type="dxa"/>
                  <w:tcBorders>
                    <w:tl2br w:val="nil"/>
                    <w:tr2bl w:val="nil"/>
                  </w:tcBorders>
                  <w:noWrap w:val="0"/>
                  <w:vAlign w:val="center"/>
                </w:tcPr>
                <w:p w14:paraId="5AF7568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沸点</w:t>
                  </w:r>
                </w:p>
              </w:tc>
              <w:tc>
                <w:tcPr>
                  <w:tcW w:w="1422" w:type="dxa"/>
                  <w:tcBorders>
                    <w:tl2br w:val="nil"/>
                    <w:tr2bl w:val="nil"/>
                  </w:tcBorders>
                  <w:noWrap w:val="0"/>
                  <w:vAlign w:val="center"/>
                </w:tcPr>
                <w:p w14:paraId="46B146F0">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自燃点</w:t>
                  </w:r>
                </w:p>
              </w:tc>
            </w:tr>
            <w:tr w14:paraId="6E43124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0" w:hRule="atLeast"/>
                <w:jc w:val="center"/>
              </w:trPr>
              <w:tc>
                <w:tcPr>
                  <w:tcW w:w="1720" w:type="dxa"/>
                  <w:tcBorders>
                    <w:tl2br w:val="nil"/>
                    <w:tr2bl w:val="nil"/>
                  </w:tcBorders>
                  <w:noWrap w:val="0"/>
                  <w:vAlign w:val="center"/>
                </w:tcPr>
                <w:p w14:paraId="389B68D5">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润滑油</w:t>
                  </w:r>
                </w:p>
              </w:tc>
              <w:tc>
                <w:tcPr>
                  <w:tcW w:w="1766" w:type="dxa"/>
                  <w:tcBorders>
                    <w:tl2br w:val="nil"/>
                    <w:tr2bl w:val="nil"/>
                  </w:tcBorders>
                  <w:noWrap w:val="0"/>
                  <w:vAlign w:val="center"/>
                </w:tcPr>
                <w:p w14:paraId="2C301364">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outlineLvl w:val="2"/>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398" w:type="dxa"/>
                  <w:tcBorders>
                    <w:tl2br w:val="nil"/>
                    <w:tr2bl w:val="nil"/>
                  </w:tcBorders>
                  <w:noWrap w:val="0"/>
                  <w:vAlign w:val="center"/>
                </w:tcPr>
                <w:p w14:paraId="74FE6627">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631" w:type="dxa"/>
                  <w:tcBorders>
                    <w:tl2br w:val="nil"/>
                    <w:tr2bl w:val="nil"/>
                  </w:tcBorders>
                  <w:noWrap w:val="0"/>
                  <w:vAlign w:val="center"/>
                </w:tcPr>
                <w:p w14:paraId="7ABC4C1B">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w:t>
                  </w:r>
                </w:p>
              </w:tc>
              <w:tc>
                <w:tcPr>
                  <w:tcW w:w="1422" w:type="dxa"/>
                  <w:tcBorders>
                    <w:tl2br w:val="nil"/>
                    <w:tr2bl w:val="nil"/>
                  </w:tcBorders>
                  <w:noWrap w:val="0"/>
                  <w:vAlign w:val="center"/>
                </w:tcPr>
                <w:p w14:paraId="6BBFFE0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300-350℃</w:t>
                  </w:r>
                </w:p>
              </w:tc>
            </w:tr>
            <w:tr w14:paraId="43803F4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0" w:hRule="atLeast"/>
                <w:jc w:val="center"/>
              </w:trPr>
              <w:tc>
                <w:tcPr>
                  <w:tcW w:w="1720" w:type="dxa"/>
                  <w:tcBorders>
                    <w:tl2br w:val="nil"/>
                    <w:tr2bl w:val="nil"/>
                  </w:tcBorders>
                  <w:noWrap w:val="0"/>
                  <w:vAlign w:val="center"/>
                </w:tcPr>
                <w:p w14:paraId="66098751">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闪点（开口）</w:t>
                  </w:r>
                </w:p>
              </w:tc>
              <w:tc>
                <w:tcPr>
                  <w:tcW w:w="1766" w:type="dxa"/>
                  <w:tcBorders>
                    <w:tl2br w:val="nil"/>
                    <w:tr2bl w:val="nil"/>
                  </w:tcBorders>
                  <w:noWrap w:val="0"/>
                  <w:vAlign w:val="center"/>
                </w:tcPr>
                <w:p w14:paraId="08FFAD21">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蒸汽压（145.8℃）</w:t>
                  </w:r>
                </w:p>
              </w:tc>
              <w:tc>
                <w:tcPr>
                  <w:tcW w:w="1398" w:type="dxa"/>
                  <w:tcBorders>
                    <w:tl2br w:val="nil"/>
                    <w:tr2bl w:val="nil"/>
                  </w:tcBorders>
                  <w:noWrap w:val="0"/>
                  <w:vAlign w:val="center"/>
                </w:tcPr>
                <w:p w14:paraId="51E6120B">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引燃温度</w:t>
                  </w:r>
                </w:p>
              </w:tc>
              <w:tc>
                <w:tcPr>
                  <w:tcW w:w="1631" w:type="dxa"/>
                  <w:tcBorders>
                    <w:tl2br w:val="nil"/>
                    <w:tr2bl w:val="nil"/>
                  </w:tcBorders>
                  <w:noWrap w:val="0"/>
                  <w:vAlign w:val="center"/>
                </w:tcPr>
                <w:p w14:paraId="4F5513F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密度（水=1）</w:t>
                  </w:r>
                </w:p>
              </w:tc>
              <w:tc>
                <w:tcPr>
                  <w:tcW w:w="1422" w:type="dxa"/>
                  <w:tcBorders>
                    <w:tl2br w:val="nil"/>
                    <w:tr2bl w:val="nil"/>
                  </w:tcBorders>
                  <w:noWrap w:val="0"/>
                  <w:vAlign w:val="center"/>
                </w:tcPr>
                <w:p w14:paraId="76BEE345">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爆炸下限</w:t>
                  </w:r>
                </w:p>
              </w:tc>
            </w:tr>
            <w:tr w14:paraId="0C9C48A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0" w:hRule="atLeast"/>
                <w:jc w:val="center"/>
              </w:trPr>
              <w:tc>
                <w:tcPr>
                  <w:tcW w:w="1720" w:type="dxa"/>
                  <w:tcBorders>
                    <w:tl2br w:val="nil"/>
                    <w:tr2bl w:val="nil"/>
                  </w:tcBorders>
                  <w:noWrap w:val="0"/>
                  <w:vAlign w:val="center"/>
                </w:tcPr>
                <w:p w14:paraId="21963DD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120-340℃</w:t>
                  </w:r>
                </w:p>
              </w:tc>
              <w:tc>
                <w:tcPr>
                  <w:tcW w:w="1766" w:type="dxa"/>
                  <w:tcBorders>
                    <w:tl2br w:val="nil"/>
                    <w:tr2bl w:val="nil"/>
                  </w:tcBorders>
                  <w:noWrap w:val="0"/>
                  <w:vAlign w:val="center"/>
                </w:tcPr>
                <w:p w14:paraId="079F7C88">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0.13Pa</w:t>
                  </w:r>
                </w:p>
              </w:tc>
              <w:tc>
                <w:tcPr>
                  <w:tcW w:w="1398" w:type="dxa"/>
                  <w:tcBorders>
                    <w:tl2br w:val="nil"/>
                    <w:tr2bl w:val="nil"/>
                  </w:tcBorders>
                  <w:noWrap w:val="0"/>
                  <w:vAlign w:val="center"/>
                </w:tcPr>
                <w:p w14:paraId="2D0A136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631" w:type="dxa"/>
                  <w:tcBorders>
                    <w:tl2br w:val="nil"/>
                    <w:tr2bl w:val="nil"/>
                  </w:tcBorders>
                  <w:noWrap w:val="0"/>
                  <w:vAlign w:val="center"/>
                </w:tcPr>
                <w:p w14:paraId="7FF9A336">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0.91</w:t>
                  </w:r>
                </w:p>
              </w:tc>
              <w:tc>
                <w:tcPr>
                  <w:tcW w:w="1422" w:type="dxa"/>
                  <w:tcBorders>
                    <w:tl2br w:val="nil"/>
                    <w:tr2bl w:val="nil"/>
                  </w:tcBorders>
                  <w:noWrap w:val="0"/>
                  <w:vAlign w:val="center"/>
                </w:tcPr>
                <w:p w14:paraId="7737F7F1">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FF18CD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0" w:hRule="atLeast"/>
                <w:jc w:val="center"/>
              </w:trPr>
              <w:tc>
                <w:tcPr>
                  <w:tcW w:w="1720" w:type="dxa"/>
                  <w:tcBorders>
                    <w:tl2br w:val="nil"/>
                    <w:tr2bl w:val="nil"/>
                  </w:tcBorders>
                  <w:noWrap w:val="0"/>
                  <w:vAlign w:val="center"/>
                </w:tcPr>
                <w:p w14:paraId="2620FEC0">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形状和溶解性</w:t>
                  </w:r>
                </w:p>
              </w:tc>
              <w:tc>
                <w:tcPr>
                  <w:tcW w:w="6217" w:type="dxa"/>
                  <w:gridSpan w:val="4"/>
                  <w:tcBorders>
                    <w:tl2br w:val="nil"/>
                    <w:tr2bl w:val="nil"/>
                  </w:tcBorders>
                  <w:noWrap w:val="0"/>
                  <w:vAlign w:val="center"/>
                </w:tcPr>
                <w:p w14:paraId="78AAC7F0">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淡黄色粘稠液体，溶于苯、乙醇、乙醚、氯仿、丙酮等多数有机溶剂。</w:t>
                  </w:r>
                </w:p>
              </w:tc>
            </w:tr>
            <w:tr w14:paraId="6997A4F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0" w:hRule="atLeast"/>
                <w:jc w:val="center"/>
              </w:trPr>
              <w:tc>
                <w:tcPr>
                  <w:tcW w:w="1720" w:type="dxa"/>
                  <w:tcBorders>
                    <w:tl2br w:val="nil"/>
                    <w:tr2bl w:val="nil"/>
                  </w:tcBorders>
                  <w:noWrap w:val="0"/>
                  <w:vAlign w:val="center"/>
                </w:tcPr>
                <w:p w14:paraId="7CE3191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储存注意</w:t>
                  </w:r>
                </w:p>
              </w:tc>
              <w:tc>
                <w:tcPr>
                  <w:tcW w:w="6217" w:type="dxa"/>
                  <w:gridSpan w:val="4"/>
                  <w:tcBorders>
                    <w:tl2br w:val="nil"/>
                    <w:tr2bl w:val="nil"/>
                  </w:tcBorders>
                  <w:noWrap w:val="0"/>
                  <w:vAlign w:val="center"/>
                </w:tcPr>
                <w:p w14:paraId="1D4BCEFE">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储存于阴凉、通风的库房。远离火种、热源。应与氧化剂分开存放，切忌混储。</w:t>
                  </w:r>
                </w:p>
              </w:tc>
            </w:tr>
            <w:tr w14:paraId="773F32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89" w:hRule="atLeast"/>
                <w:jc w:val="center"/>
              </w:trPr>
              <w:tc>
                <w:tcPr>
                  <w:tcW w:w="1720" w:type="dxa"/>
                  <w:tcBorders>
                    <w:tl2br w:val="nil"/>
                    <w:tr2bl w:val="nil"/>
                  </w:tcBorders>
                  <w:noWrap w:val="0"/>
                  <w:vAlign w:val="center"/>
                </w:tcPr>
                <w:p w14:paraId="3C55C7FC">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健康危害</w:t>
                  </w:r>
                </w:p>
              </w:tc>
              <w:tc>
                <w:tcPr>
                  <w:tcW w:w="6217" w:type="dxa"/>
                  <w:gridSpan w:val="4"/>
                  <w:tcBorders>
                    <w:tl2br w:val="nil"/>
                    <w:tr2bl w:val="nil"/>
                  </w:tcBorders>
                  <w:noWrap w:val="0"/>
                  <w:vAlign w:val="center"/>
                </w:tcPr>
                <w:p w14:paraId="4DD53B93">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急性吸入可出现乏力、头痛、头晕、恶心，严重者可引起油脂性肺炎。慢接触者，暴露部位可发生油性痤疮和接触性皮炎，可引发神经衰弱综合征，呼吸道和眼刺激症状及慢性油脂性肺炎。</w:t>
                  </w:r>
                </w:p>
              </w:tc>
            </w:tr>
          </w:tbl>
          <w:p w14:paraId="1FD0CB13">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cs="Times New Roman"/>
                <w:b w:val="0"/>
                <w:bCs/>
                <w:smallCaps w:val="0"/>
                <w:color w:val="auto"/>
                <w:spacing w:val="0"/>
                <w:position w:val="0"/>
                <w:sz w:val="24"/>
                <w:szCs w:val="24"/>
                <w:highlight w:val="none"/>
                <w:lang w:val="en-US" w:eastAsia="zh-CN"/>
              </w:rPr>
            </w:pPr>
            <w:r>
              <w:rPr>
                <w:rFonts w:hint="eastAsia" w:cs="Times New Roman"/>
                <w:b w:val="0"/>
                <w:bCs/>
                <w:smallCaps w:val="0"/>
                <w:color w:val="auto"/>
                <w:spacing w:val="0"/>
                <w:position w:val="0"/>
                <w:sz w:val="24"/>
                <w:szCs w:val="24"/>
                <w:highlight w:val="none"/>
                <w:lang w:val="en-US" w:eastAsia="zh-CN"/>
              </w:rPr>
              <w:t>经上述分析可知，</w:t>
            </w:r>
            <w:r>
              <w:rPr>
                <w:rFonts w:hint="default" w:ascii="Times New Roman" w:hAnsi="Times New Roman" w:eastAsia="宋体" w:cs="Times New Roman"/>
                <w:bCs/>
                <w:smallCaps w:val="0"/>
                <w:color w:val="auto"/>
                <w:spacing w:val="0"/>
                <w:position w:val="0"/>
                <w:sz w:val="24"/>
                <w:szCs w:val="24"/>
                <w:highlight w:val="none"/>
                <w:lang w:val="en-US" w:eastAsia="zh-CN"/>
              </w:rPr>
              <w:t>本项目有毒有害、易燃易爆危险物质储存量</w:t>
            </w:r>
            <w:r>
              <w:rPr>
                <w:rFonts w:hint="eastAsia" w:cs="Times New Roman"/>
                <w:bCs/>
                <w:smallCaps w:val="0"/>
                <w:color w:val="auto"/>
                <w:spacing w:val="0"/>
                <w:position w:val="0"/>
                <w:sz w:val="24"/>
                <w:szCs w:val="24"/>
                <w:highlight w:val="none"/>
                <w:lang w:val="en-US" w:eastAsia="zh-CN"/>
              </w:rPr>
              <w:t>均</w:t>
            </w:r>
            <w:r>
              <w:rPr>
                <w:rFonts w:hint="default" w:ascii="Times New Roman" w:hAnsi="Times New Roman" w:eastAsia="宋体" w:cs="Times New Roman"/>
                <w:bCs/>
                <w:smallCaps w:val="0"/>
                <w:color w:val="auto"/>
                <w:spacing w:val="0"/>
                <w:position w:val="0"/>
                <w:sz w:val="24"/>
                <w:szCs w:val="24"/>
                <w:highlight w:val="none"/>
                <w:lang w:val="en-US" w:eastAsia="zh-CN"/>
              </w:rPr>
              <w:t>小于</w:t>
            </w:r>
            <w:r>
              <w:rPr>
                <w:rFonts w:hint="default" w:ascii="Times New Roman" w:hAnsi="Times New Roman" w:eastAsia="宋体" w:cs="Times New Roman"/>
                <w:bCs/>
                <w:smallCaps w:val="0"/>
                <w:color w:val="auto"/>
                <w:spacing w:val="0"/>
                <w:position w:val="0"/>
                <w:sz w:val="24"/>
                <w:szCs w:val="24"/>
                <w:highlight w:val="none"/>
              </w:rPr>
              <w:t>《建设项目环境风险评价技术导则》（</w:t>
            </w:r>
            <w:r>
              <w:rPr>
                <w:rFonts w:hint="default" w:ascii="Times New Roman" w:hAnsi="Times New Roman" w:eastAsia="宋体" w:cs="Times New Roman"/>
                <w:bCs/>
                <w:smallCaps w:val="0"/>
                <w:color w:val="auto"/>
                <w:spacing w:val="0"/>
                <w:position w:val="0"/>
                <w:sz w:val="24"/>
                <w:szCs w:val="24"/>
                <w:highlight w:val="none"/>
                <w:lang w:eastAsia="zh-CN"/>
              </w:rPr>
              <w:t>HJ</w:t>
            </w:r>
            <w:r>
              <w:rPr>
                <w:rFonts w:hint="default" w:ascii="Times New Roman" w:hAnsi="Times New Roman" w:eastAsia="宋体" w:cs="Times New Roman"/>
                <w:bCs/>
                <w:smallCaps w:val="0"/>
                <w:color w:val="auto"/>
                <w:spacing w:val="0"/>
                <w:position w:val="0"/>
                <w:sz w:val="24"/>
                <w:szCs w:val="24"/>
                <w:highlight w:val="none"/>
              </w:rPr>
              <w:t>169-2018）</w:t>
            </w:r>
            <w:r>
              <w:rPr>
                <w:rFonts w:hint="default" w:ascii="Times New Roman" w:hAnsi="Times New Roman" w:eastAsia="宋体" w:cs="Times New Roman"/>
                <w:bCs/>
                <w:smallCaps w:val="0"/>
                <w:color w:val="auto"/>
                <w:spacing w:val="0"/>
                <w:position w:val="0"/>
                <w:sz w:val="24"/>
                <w:szCs w:val="24"/>
                <w:highlight w:val="none"/>
                <w:lang w:val="en-US" w:eastAsia="zh-CN"/>
              </w:rPr>
              <w:t>中规定的临界量，Q值小于1</w:t>
            </w:r>
            <w:r>
              <w:rPr>
                <w:rFonts w:hint="default" w:ascii="Times New Roman" w:hAnsi="Times New Roman" w:cs="Times New Roman"/>
                <w:b w:val="0"/>
                <w:bCs/>
                <w:smallCaps w:val="0"/>
                <w:color w:val="auto"/>
                <w:spacing w:val="0"/>
                <w:position w:val="0"/>
                <w:sz w:val="24"/>
                <w:szCs w:val="24"/>
                <w:highlight w:val="none"/>
                <w:lang w:val="en-US" w:eastAsia="zh-CN"/>
              </w:rPr>
              <w:t>，根据《建设项目环境影响报告表编制技术指南（污染影响类）（试行）》中专项评价设置原则可知，本项目不开展环境风险专项评价。</w:t>
            </w:r>
          </w:p>
          <w:p w14:paraId="642E6881">
            <w:pPr>
              <w:keepNext w:val="0"/>
              <w:keepLines w:val="0"/>
              <w:pageBreakBefore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lang w:val="en-US" w:eastAsia="zh-CN"/>
              </w:rPr>
              <w:t>⑶</w:t>
            </w:r>
            <w:r>
              <w:rPr>
                <w:rFonts w:hint="default" w:ascii="Times New Roman" w:hAnsi="Times New Roman" w:eastAsia="宋体" w:cs="Times New Roman"/>
                <w:b w:val="0"/>
                <w:bCs w:val="0"/>
                <w:smallCaps w:val="0"/>
                <w:color w:val="auto"/>
                <w:spacing w:val="0"/>
                <w:position w:val="0"/>
                <w:sz w:val="24"/>
                <w:szCs w:val="24"/>
                <w:highlight w:val="none"/>
              </w:rPr>
              <w:t>环境风险识别</w:t>
            </w:r>
          </w:p>
          <w:p w14:paraId="49C58691">
            <w:pPr>
              <w:keepNext w:val="0"/>
              <w:keepLines w:val="0"/>
              <w:pageBreakBefore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rPr>
              <w:t>本项目可能影响环境的途径分别为：</w:t>
            </w:r>
          </w:p>
          <w:p w14:paraId="31DCF941">
            <w:pPr>
              <w:keepNext w:val="0"/>
              <w:keepLines w:val="0"/>
              <w:pageBreakBefore w:val="0"/>
              <w:shd w:val="clear"/>
              <w:kinsoku/>
              <w:wordWrap/>
              <w:overflowPunct/>
              <w:topLinePunct w:val="0"/>
              <w:autoSpaceDE/>
              <w:autoSpaceDN/>
              <w:bidi w:val="0"/>
              <w:spacing w:line="480" w:lineRule="exact"/>
              <w:ind w:firstLine="480" w:firstLineChars="200"/>
              <w:textAlignment w:val="auto"/>
              <w:rPr>
                <w:rFonts w:hint="eastAsia"/>
                <w:color w:val="auto"/>
                <w:highlight w:val="none"/>
                <w:lang w:bidi="ar"/>
              </w:rPr>
            </w:pPr>
            <w:r>
              <w:rPr>
                <w:rFonts w:hint="eastAsia"/>
                <w:color w:val="auto"/>
                <w:highlight w:val="none"/>
                <w:lang w:eastAsia="zh-CN" w:bidi="ar"/>
              </w:rPr>
              <w:t>①</w:t>
            </w:r>
            <w:r>
              <w:rPr>
                <w:rFonts w:hint="eastAsia"/>
                <w:color w:val="auto"/>
                <w:highlight w:val="none"/>
                <w:lang w:bidi="ar"/>
              </w:rPr>
              <w:t>大气环境：润滑油、废润滑油泄漏，遇明火和高温燃烧</w:t>
            </w:r>
            <w:r>
              <w:rPr>
                <w:rFonts w:hint="eastAsia"/>
                <w:color w:val="auto"/>
                <w:highlight w:val="none"/>
                <w:lang w:val="en-US" w:eastAsia="zh-CN" w:bidi="ar"/>
              </w:rPr>
              <w:t>，</w:t>
            </w:r>
            <w:r>
              <w:rPr>
                <w:rFonts w:hint="eastAsia"/>
                <w:color w:val="auto"/>
                <w:highlight w:val="none"/>
                <w:lang w:bidi="ar"/>
              </w:rPr>
              <w:t>火灾引发的伴生/次生污染物二氧化硫、一氧化碳影响大气环境。</w:t>
            </w:r>
          </w:p>
          <w:p w14:paraId="5354B64B">
            <w:pPr>
              <w:keepNext w:val="0"/>
              <w:keepLines w:val="0"/>
              <w:pageBreakBefore w:val="0"/>
              <w:shd w:val="clear"/>
              <w:kinsoku/>
              <w:wordWrap/>
              <w:overflowPunct/>
              <w:topLinePunct w:val="0"/>
              <w:autoSpaceDE/>
              <w:autoSpaceDN/>
              <w:bidi w:val="0"/>
              <w:spacing w:line="480" w:lineRule="exact"/>
              <w:ind w:firstLine="480" w:firstLineChars="200"/>
              <w:textAlignment w:val="auto"/>
              <w:rPr>
                <w:color w:val="auto"/>
                <w:highlight w:val="none"/>
                <w:lang w:bidi="ar"/>
              </w:rPr>
            </w:pPr>
            <w:r>
              <w:rPr>
                <w:rFonts w:hint="eastAsia"/>
                <w:color w:val="auto"/>
                <w:highlight w:val="none"/>
                <w:lang w:eastAsia="zh-CN" w:bidi="ar"/>
              </w:rPr>
              <w:t>②</w:t>
            </w:r>
            <w:r>
              <w:rPr>
                <w:rFonts w:hint="eastAsia"/>
                <w:color w:val="auto"/>
                <w:highlight w:val="none"/>
                <w:lang w:bidi="ar"/>
              </w:rPr>
              <w:t>地表水：润滑油、废润滑油在厂区运输过程，其包装物运输过程中操作不当造成物料泄漏，一般为</w:t>
            </w:r>
            <w:r>
              <w:rPr>
                <w:rFonts w:hint="eastAsia"/>
                <w:color w:val="auto"/>
                <w:highlight w:val="none"/>
                <w:lang w:val="en-US" w:eastAsia="zh-CN" w:bidi="ar"/>
              </w:rPr>
              <w:t>单件储存容器</w:t>
            </w:r>
            <w:r>
              <w:rPr>
                <w:rFonts w:hint="eastAsia"/>
                <w:color w:val="auto"/>
                <w:highlight w:val="none"/>
                <w:lang w:bidi="ar"/>
              </w:rPr>
              <w:t>泄漏，泄漏量较小，</w:t>
            </w:r>
            <w:r>
              <w:rPr>
                <w:color w:val="auto"/>
                <w:highlight w:val="none"/>
                <w:lang w:bidi="ar"/>
              </w:rPr>
              <w:t>通过应急措施，基本能够阻隔在厂区内</w:t>
            </w:r>
            <w:r>
              <w:rPr>
                <w:rFonts w:hint="eastAsia"/>
                <w:color w:val="auto"/>
                <w:highlight w:val="none"/>
                <w:lang w:bidi="ar"/>
              </w:rPr>
              <w:t>，基本不会对地表水环境产生影响；火灾引发的伴生/次生污染物消防废水，进入地表水环境，对地表水环境产生影响。</w:t>
            </w:r>
          </w:p>
          <w:p w14:paraId="5C7B2F97">
            <w:pPr>
              <w:keepNext w:val="0"/>
              <w:keepLines w:val="0"/>
              <w:pageBreakBefore w:val="0"/>
              <w:shd w:val="clear"/>
              <w:kinsoku/>
              <w:wordWrap/>
              <w:overflowPunct/>
              <w:topLinePunct w:val="0"/>
              <w:autoSpaceDE/>
              <w:autoSpaceDN/>
              <w:bidi w:val="0"/>
              <w:spacing w:line="480" w:lineRule="exact"/>
              <w:ind w:firstLine="480" w:firstLineChars="200"/>
              <w:textAlignment w:val="auto"/>
              <w:rPr>
                <w:color w:val="auto"/>
                <w:highlight w:val="none"/>
                <w:lang w:bidi="ar"/>
              </w:rPr>
            </w:pPr>
            <w:r>
              <w:rPr>
                <w:rFonts w:hint="eastAsia"/>
                <w:color w:val="auto"/>
                <w:highlight w:val="none"/>
                <w:lang w:eastAsia="zh-CN" w:bidi="ar"/>
              </w:rPr>
              <w:t>③</w:t>
            </w:r>
            <w:r>
              <w:rPr>
                <w:rFonts w:hint="eastAsia"/>
                <w:color w:val="auto"/>
                <w:highlight w:val="none"/>
                <w:lang w:bidi="ar"/>
              </w:rPr>
              <w:t>土壤</w:t>
            </w:r>
            <w:r>
              <w:rPr>
                <w:rFonts w:hint="eastAsia"/>
                <w:color w:val="auto"/>
                <w:highlight w:val="none"/>
                <w:lang w:eastAsia="zh-CN" w:bidi="ar"/>
              </w:rPr>
              <w:t>：</w:t>
            </w:r>
            <w:r>
              <w:rPr>
                <w:rFonts w:hint="eastAsia"/>
                <w:color w:val="auto"/>
                <w:highlight w:val="none"/>
                <w:lang w:bidi="ar"/>
              </w:rPr>
              <w:t>润滑油、废润滑油泄漏，如果防渗层破损，风险物质对土壤和地下水环境造成影响。</w:t>
            </w:r>
          </w:p>
          <w:p w14:paraId="6F5CFDD7">
            <w:pPr>
              <w:keepNext w:val="0"/>
              <w:keepLines w:val="0"/>
              <w:pageBreakBefore w:val="0"/>
              <w:widowControl/>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lang w:val="en-US" w:eastAsia="zh-CN"/>
              </w:rPr>
              <w:t>⑷</w:t>
            </w:r>
            <w:r>
              <w:rPr>
                <w:rFonts w:hint="default" w:ascii="Times New Roman" w:hAnsi="Times New Roman" w:eastAsia="宋体" w:cs="Times New Roman"/>
                <w:b w:val="0"/>
                <w:bCs w:val="0"/>
                <w:smallCaps w:val="0"/>
                <w:color w:val="auto"/>
                <w:spacing w:val="0"/>
                <w:position w:val="0"/>
                <w:sz w:val="24"/>
                <w:szCs w:val="24"/>
                <w:highlight w:val="none"/>
              </w:rPr>
              <w:t>环境风险防范措施</w:t>
            </w:r>
          </w:p>
          <w:p w14:paraId="3CB8BADE">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auto"/>
                <w:highlight w:val="none"/>
                <w:lang w:bidi="ar"/>
              </w:rPr>
            </w:pPr>
            <w:r>
              <w:rPr>
                <w:rFonts w:hint="eastAsia"/>
                <w:color w:val="auto"/>
                <w:highlight w:val="none"/>
                <w:lang w:bidi="ar"/>
              </w:rPr>
              <w:t>①危险废物暂存间</w:t>
            </w:r>
            <w:r>
              <w:rPr>
                <w:rFonts w:hint="eastAsia"/>
                <w:color w:val="auto"/>
                <w:highlight w:val="none"/>
                <w:lang w:val="en-US" w:eastAsia="zh-CN" w:bidi="ar"/>
              </w:rPr>
              <w:t>、预处理车间</w:t>
            </w:r>
            <w:r>
              <w:rPr>
                <w:rFonts w:hint="eastAsia"/>
                <w:color w:val="auto"/>
                <w:highlight w:val="none"/>
                <w:lang w:bidi="ar"/>
              </w:rPr>
              <w:t>均采取防腐防渗措施，可有效防止风险物质泄漏污染土壤及地下水。</w:t>
            </w:r>
          </w:p>
          <w:p w14:paraId="30659E34">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auto"/>
                <w:highlight w:val="none"/>
                <w:lang w:bidi="ar"/>
              </w:rPr>
            </w:pPr>
            <w:r>
              <w:rPr>
                <w:rFonts w:hint="eastAsia"/>
                <w:color w:val="auto"/>
                <w:highlight w:val="none"/>
                <w:lang w:bidi="ar"/>
              </w:rPr>
              <w:t>②危险废物暂存间、</w:t>
            </w:r>
            <w:r>
              <w:rPr>
                <w:rFonts w:hint="eastAsia"/>
                <w:color w:val="auto"/>
                <w:highlight w:val="none"/>
                <w:lang w:val="en-US" w:eastAsia="zh-CN" w:bidi="ar"/>
              </w:rPr>
              <w:t>预处理车间</w:t>
            </w:r>
            <w:r>
              <w:rPr>
                <w:rFonts w:hint="eastAsia"/>
                <w:color w:val="auto"/>
                <w:highlight w:val="none"/>
                <w:lang w:bidi="ar"/>
              </w:rPr>
              <w:t>、厂区内均</w:t>
            </w:r>
            <w:r>
              <w:rPr>
                <w:color w:val="auto"/>
                <w:highlight w:val="none"/>
                <w:lang w:bidi="ar"/>
              </w:rPr>
              <w:t>安装监控，并对储存容器、生产设备进行定期检查，按要求规范的进行生产操作，发现潜在危险立即处理。监控中心值班人员认真履行监控职责，坚守岗位，落实各项监控措施，确保监控系统24小时不间断正常运行。</w:t>
            </w:r>
          </w:p>
          <w:p w14:paraId="4D8D3102">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auto"/>
                <w:highlight w:val="none"/>
                <w:lang w:bidi="ar"/>
              </w:rPr>
            </w:pPr>
            <w:r>
              <w:rPr>
                <w:rFonts w:hint="eastAsia"/>
                <w:color w:val="auto"/>
                <w:highlight w:val="none"/>
                <w:lang w:bidi="ar"/>
              </w:rPr>
              <w:t>③</w:t>
            </w:r>
            <w:r>
              <w:rPr>
                <w:color w:val="auto"/>
                <w:highlight w:val="none"/>
                <w:lang w:bidi="ar"/>
              </w:rPr>
              <w:t>制定班组、车间级、厂级严格巡检制度，设专人巡检</w:t>
            </w:r>
            <w:r>
              <w:rPr>
                <w:rFonts w:hint="eastAsia"/>
                <w:color w:val="auto"/>
                <w:highlight w:val="none"/>
                <w:lang w:bidi="ar"/>
              </w:rPr>
              <w:t>，</w:t>
            </w:r>
            <w:r>
              <w:rPr>
                <w:color w:val="auto"/>
                <w:highlight w:val="none"/>
                <w:lang w:bidi="ar"/>
              </w:rPr>
              <w:t>检查储存设施或容器是否有渗漏或破损，如发现及时采取措施清理更换。</w:t>
            </w:r>
          </w:p>
          <w:p w14:paraId="604EAE20">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auto"/>
                <w:highlight w:val="none"/>
                <w:lang w:bidi="ar"/>
              </w:rPr>
            </w:pPr>
            <w:r>
              <w:rPr>
                <w:rFonts w:hint="eastAsia"/>
                <w:color w:val="auto"/>
                <w:highlight w:val="none"/>
                <w:lang w:bidi="ar"/>
              </w:rPr>
              <w:t>④</w:t>
            </w:r>
            <w:r>
              <w:rPr>
                <w:color w:val="auto"/>
                <w:highlight w:val="none"/>
                <w:lang w:bidi="ar"/>
              </w:rPr>
              <w:t>设置沙包沙袋、沙土</w:t>
            </w:r>
            <w:r>
              <w:rPr>
                <w:rFonts w:hint="eastAsia"/>
                <w:color w:val="auto"/>
                <w:highlight w:val="none"/>
                <w:lang w:eastAsia="zh-CN" w:bidi="ar"/>
              </w:rPr>
              <w:t>储存点</w:t>
            </w:r>
            <w:r>
              <w:rPr>
                <w:color w:val="auto"/>
                <w:highlight w:val="none"/>
                <w:lang w:bidi="ar"/>
              </w:rPr>
              <w:t>，</w:t>
            </w:r>
            <w:r>
              <w:rPr>
                <w:rFonts w:hint="eastAsia"/>
                <w:color w:val="auto"/>
                <w:highlight w:val="none"/>
                <w:lang w:bidi="ar"/>
              </w:rPr>
              <w:t>一旦发生泄漏事故，立即</w:t>
            </w:r>
            <w:r>
              <w:rPr>
                <w:color w:val="auto"/>
                <w:highlight w:val="none"/>
                <w:lang w:bidi="ar"/>
              </w:rPr>
              <w:t>围挡泄漏区域，及时控制。</w:t>
            </w:r>
            <w:r>
              <w:rPr>
                <w:rFonts w:hint="eastAsia"/>
                <w:color w:val="auto"/>
                <w:highlight w:val="none"/>
                <w:lang w:bidi="ar"/>
              </w:rPr>
              <w:t>收容的泄漏物及沙土转移至专用收集容器内，送</w:t>
            </w:r>
            <w:r>
              <w:rPr>
                <w:rFonts w:hint="eastAsia"/>
                <w:color w:val="auto"/>
                <w:highlight w:val="none"/>
                <w:lang w:eastAsia="zh-CN" w:bidi="ar"/>
              </w:rPr>
              <w:t>有资质的危险废物处置单位</w:t>
            </w:r>
            <w:r>
              <w:rPr>
                <w:rFonts w:hint="eastAsia"/>
                <w:color w:val="auto"/>
                <w:highlight w:val="none"/>
                <w:lang w:bidi="ar"/>
              </w:rPr>
              <w:t>处置。</w:t>
            </w:r>
          </w:p>
          <w:p w14:paraId="2F4FC034">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auto"/>
                <w:highlight w:val="none"/>
                <w:lang w:bidi="ar"/>
              </w:rPr>
            </w:pPr>
            <w:r>
              <w:rPr>
                <w:rFonts w:hint="eastAsia"/>
                <w:color w:val="auto"/>
                <w:highlight w:val="none"/>
                <w:lang w:eastAsia="zh-CN" w:bidi="ar"/>
              </w:rPr>
              <w:t>⑤</w:t>
            </w:r>
            <w:r>
              <w:rPr>
                <w:rFonts w:hint="eastAsia"/>
                <w:color w:val="auto"/>
                <w:highlight w:val="none"/>
                <w:lang w:bidi="ar"/>
              </w:rPr>
              <w:t>配备相应品种和数量的消防器材及泄漏应急处理设备。</w:t>
            </w:r>
          </w:p>
          <w:p w14:paraId="5C342FEE">
            <w:pPr>
              <w:keepNext w:val="0"/>
              <w:keepLines w:val="0"/>
              <w:pageBreakBefore w:val="0"/>
              <w:widowControl w:val="0"/>
              <w:shd w:val="clear"/>
              <w:kinsoku/>
              <w:wordWrap/>
              <w:overflowPunct/>
              <w:topLinePunct w:val="0"/>
              <w:autoSpaceDE/>
              <w:autoSpaceDN/>
              <w:bidi w:val="0"/>
              <w:adjustRightInd w:val="0"/>
              <w:snapToGrid w:val="0"/>
              <w:spacing w:before="0" w:beforeAutospacing="0" w:after="0" w:afterAutospacing="0" w:line="480" w:lineRule="exact"/>
              <w:ind w:right="0" w:firstLine="480" w:firstLineChars="200"/>
              <w:jc w:val="both"/>
              <w:textAlignment w:val="auto"/>
              <w:rPr>
                <w:rFonts w:hint="default" w:ascii="Times New Roman" w:hAnsi="Times New Roman" w:eastAsia="宋体" w:cs="Times New Roman"/>
                <w:b w:val="0"/>
                <w:bCs w:val="0"/>
                <w:smallCaps w:val="0"/>
                <w:color w:val="auto"/>
                <w:spacing w:val="0"/>
                <w:kern w:val="0"/>
                <w:position w:val="0"/>
                <w:sz w:val="24"/>
                <w:szCs w:val="24"/>
                <w:highlight w:val="none"/>
                <w:lang w:val="en-US" w:eastAsia="zh-CN" w:bidi="ar-SA"/>
              </w:rPr>
            </w:pPr>
            <w:r>
              <w:rPr>
                <w:rFonts w:hint="eastAsia"/>
                <w:color w:val="auto"/>
                <w:highlight w:val="none"/>
                <w:lang w:eastAsia="zh-CN" w:bidi="ar"/>
              </w:rPr>
              <w:t>⑸</w:t>
            </w:r>
            <w:r>
              <w:rPr>
                <w:rFonts w:hint="default" w:ascii="Times New Roman" w:hAnsi="Times New Roman" w:eastAsia="宋体" w:cs="Times New Roman"/>
                <w:b w:val="0"/>
                <w:bCs w:val="0"/>
                <w:smallCaps w:val="0"/>
                <w:color w:val="auto"/>
                <w:spacing w:val="0"/>
                <w:kern w:val="2"/>
                <w:position w:val="0"/>
                <w:sz w:val="24"/>
                <w:szCs w:val="24"/>
                <w:highlight w:val="none"/>
                <w:lang w:val="en-US" w:eastAsia="zh-CN" w:bidi="ar"/>
              </w:rPr>
              <w:t>应急预案</w:t>
            </w:r>
          </w:p>
          <w:p w14:paraId="662D223D">
            <w:pPr>
              <w:keepNext w:val="0"/>
              <w:keepLines w:val="0"/>
              <w:pageBreakBefore w:val="0"/>
              <w:shd w:val="clear"/>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河北省生态环境厅关于优化企事业单位突发环境事件应急预案备案的指导意见（试行）》相关要求，本项目建成后，企业环境风险等级符合应急预案简化管理条件。按照规定，企业在项目投产运行前，只需规范填写《企事业单位环境应急预案表》及《环境安全责任承诺卡》，通过河北省突发环境事件应急预案备案系统向属地县级生态环境主管部门线上提交备案。</w:t>
            </w:r>
          </w:p>
          <w:p w14:paraId="6D9EE50E">
            <w:pPr>
              <w:keepNext w:val="0"/>
              <w:keepLines w:val="0"/>
              <w:pageBreakBefore w:val="0"/>
              <w:widowControl w:val="0"/>
              <w:shd w:val="clear"/>
              <w:kinsoku/>
              <w:wordWrap/>
              <w:overflowPunct/>
              <w:topLinePunct w:val="0"/>
              <w:autoSpaceDE/>
              <w:autoSpaceDN/>
              <w:bidi w:val="0"/>
              <w:adjustRightInd w:val="0"/>
              <w:snapToGrid w:val="0"/>
              <w:spacing w:before="0" w:beforeAutospacing="0" w:after="0" w:afterAutospacing="0" w:line="480" w:lineRule="exact"/>
              <w:ind w:firstLine="482" w:firstLineChars="200"/>
              <w:jc w:val="both"/>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8、电磁辐射</w:t>
            </w:r>
          </w:p>
          <w:p w14:paraId="2C29D94A">
            <w:pPr>
              <w:keepNext w:val="0"/>
              <w:keepLines w:val="0"/>
              <w:pageBreakBefore w:val="0"/>
              <w:shd w:val="clear"/>
              <w:kinsoku/>
              <w:wordWrap/>
              <w:overflowPunct/>
              <w:topLinePunct w:val="0"/>
              <w:autoSpaceDE/>
              <w:autoSpaceDN/>
              <w:bidi w:val="0"/>
              <w:spacing w:line="480" w:lineRule="exact"/>
              <w:textAlignment w:val="auto"/>
              <w:rPr>
                <w:rFonts w:hint="default" w:ascii="Times New Roman" w:hAnsi="Times New Roman" w:cs="Times New Roman"/>
                <w:color w:val="auto"/>
                <w:highlight w:val="none"/>
                <w:vertAlign w:val="baseline"/>
              </w:rPr>
            </w:pPr>
            <w:r>
              <w:rPr>
                <w:rFonts w:hint="default" w:ascii="Times New Roman" w:hAnsi="Times New Roman" w:cs="Times New Roman"/>
                <w:color w:val="auto"/>
                <w:highlight w:val="none"/>
                <w:lang w:val="en-US" w:eastAsia="zh-CN"/>
              </w:rPr>
              <w:t>本项目不涉及电磁辐射源，即不会对项目所在</w:t>
            </w:r>
            <w:r>
              <w:rPr>
                <w:rFonts w:hint="eastAsia" w:cs="Times New Roman"/>
                <w:color w:val="auto"/>
                <w:highlight w:val="none"/>
                <w:lang w:val="en-US" w:eastAsia="zh-CN"/>
              </w:rPr>
              <w:t>区域</w:t>
            </w:r>
            <w:r>
              <w:rPr>
                <w:rFonts w:hint="default" w:ascii="Times New Roman" w:hAnsi="Times New Roman" w:cs="Times New Roman"/>
                <w:color w:val="auto"/>
                <w:highlight w:val="none"/>
                <w:lang w:val="en-US" w:eastAsia="zh-CN"/>
              </w:rPr>
              <w:t>环境产生相应的电磁辐射影响。</w:t>
            </w:r>
          </w:p>
          <w:p w14:paraId="5D95073A">
            <w:pPr>
              <w:pStyle w:val="45"/>
              <w:shd w:val="clear"/>
              <w:jc w:val="both"/>
              <w:rPr>
                <w:rFonts w:hint="default" w:ascii="Times New Roman" w:hAnsi="Times New Roman" w:cs="Times New Roman"/>
                <w:color w:val="auto"/>
                <w:highlight w:val="none"/>
                <w:vertAlign w:val="baseline"/>
              </w:rPr>
            </w:pPr>
          </w:p>
          <w:p w14:paraId="74A93DD1">
            <w:pPr>
              <w:pStyle w:val="9"/>
              <w:shd w:val="clear"/>
              <w:rPr>
                <w:rFonts w:hint="default" w:ascii="Times New Roman" w:hAnsi="Times New Roman" w:cs="Times New Roman"/>
                <w:color w:val="auto"/>
                <w:highlight w:val="none"/>
                <w:vertAlign w:val="baseline"/>
              </w:rPr>
            </w:pPr>
          </w:p>
          <w:p w14:paraId="4D523A82">
            <w:pPr>
              <w:shd w:val="clear"/>
              <w:rPr>
                <w:rFonts w:hint="default" w:ascii="Times New Roman" w:hAnsi="Times New Roman" w:cs="Times New Roman"/>
                <w:color w:val="auto"/>
                <w:highlight w:val="none"/>
                <w:vertAlign w:val="baseline"/>
              </w:rPr>
            </w:pPr>
          </w:p>
          <w:p w14:paraId="032D9389">
            <w:pPr>
              <w:shd w:val="clear"/>
              <w:rPr>
                <w:rFonts w:hint="default" w:ascii="Times New Roman" w:hAnsi="Times New Roman" w:cs="Times New Roman"/>
                <w:color w:val="auto"/>
                <w:highlight w:val="none"/>
                <w:vertAlign w:val="baseline"/>
              </w:rPr>
            </w:pPr>
          </w:p>
          <w:p w14:paraId="2A9EBD22">
            <w:pPr>
              <w:pStyle w:val="7"/>
              <w:shd w:val="clear"/>
              <w:rPr>
                <w:rFonts w:hint="default" w:ascii="Times New Roman" w:hAnsi="Times New Roman" w:cs="Times New Roman"/>
                <w:color w:val="auto"/>
                <w:highlight w:val="none"/>
                <w:vertAlign w:val="baseline"/>
              </w:rPr>
            </w:pPr>
          </w:p>
          <w:p w14:paraId="0579ED61">
            <w:pPr>
              <w:shd w:val="clear"/>
              <w:rPr>
                <w:rFonts w:hint="default" w:ascii="Times New Roman" w:hAnsi="Times New Roman" w:cs="Times New Roman"/>
                <w:color w:val="auto"/>
                <w:highlight w:val="none"/>
                <w:vertAlign w:val="baseline"/>
              </w:rPr>
            </w:pPr>
          </w:p>
          <w:p w14:paraId="1ACDB9DD">
            <w:pPr>
              <w:pStyle w:val="15"/>
              <w:shd w:val="clear"/>
              <w:rPr>
                <w:rFonts w:hint="default" w:ascii="Times New Roman" w:hAnsi="Times New Roman" w:cs="Times New Roman"/>
                <w:color w:val="auto"/>
                <w:highlight w:val="none"/>
                <w:vertAlign w:val="baseline"/>
              </w:rPr>
            </w:pPr>
          </w:p>
          <w:p w14:paraId="5776F0E6">
            <w:pPr>
              <w:shd w:val="clear"/>
              <w:rPr>
                <w:rFonts w:hint="default" w:ascii="Times New Roman" w:hAnsi="Times New Roman" w:cs="Times New Roman"/>
                <w:color w:val="auto"/>
                <w:highlight w:val="none"/>
                <w:vertAlign w:val="baseline"/>
              </w:rPr>
            </w:pPr>
          </w:p>
          <w:p w14:paraId="6CD608DB">
            <w:pPr>
              <w:pStyle w:val="15"/>
              <w:shd w:val="clear"/>
              <w:rPr>
                <w:rFonts w:hint="default" w:ascii="Times New Roman" w:hAnsi="Times New Roman" w:cs="Times New Roman"/>
                <w:color w:val="auto"/>
                <w:highlight w:val="none"/>
                <w:vertAlign w:val="baseline"/>
              </w:rPr>
            </w:pPr>
          </w:p>
          <w:p w14:paraId="351C3FB7">
            <w:pPr>
              <w:shd w:val="clear"/>
              <w:rPr>
                <w:rFonts w:hint="default" w:ascii="Times New Roman" w:hAnsi="Times New Roman" w:cs="Times New Roman"/>
                <w:color w:val="auto"/>
                <w:highlight w:val="none"/>
                <w:vertAlign w:val="baseline"/>
              </w:rPr>
            </w:pPr>
          </w:p>
          <w:p w14:paraId="63DADC35">
            <w:pPr>
              <w:pStyle w:val="15"/>
              <w:shd w:val="clear"/>
              <w:rPr>
                <w:rFonts w:hint="default" w:ascii="Times New Roman" w:hAnsi="Times New Roman" w:cs="Times New Roman"/>
                <w:color w:val="auto"/>
                <w:highlight w:val="none"/>
                <w:vertAlign w:val="baseline"/>
              </w:rPr>
            </w:pPr>
          </w:p>
          <w:p w14:paraId="0222448B">
            <w:pPr>
              <w:shd w:val="clear"/>
              <w:rPr>
                <w:rFonts w:hint="default" w:ascii="Times New Roman" w:hAnsi="Times New Roman" w:cs="Times New Roman"/>
                <w:color w:val="auto"/>
                <w:highlight w:val="none"/>
                <w:vertAlign w:val="baseline"/>
              </w:rPr>
            </w:pPr>
          </w:p>
          <w:p w14:paraId="2B50C916">
            <w:pPr>
              <w:pStyle w:val="15"/>
              <w:shd w:val="clear"/>
              <w:rPr>
                <w:rFonts w:hint="default" w:ascii="Times New Roman" w:hAnsi="Times New Roman" w:cs="Times New Roman"/>
                <w:color w:val="auto"/>
                <w:highlight w:val="none"/>
                <w:vertAlign w:val="baseline"/>
              </w:rPr>
            </w:pPr>
          </w:p>
          <w:p w14:paraId="4BE08FA0">
            <w:pPr>
              <w:shd w:val="clear"/>
              <w:rPr>
                <w:rFonts w:hint="default" w:ascii="Times New Roman" w:hAnsi="Times New Roman" w:cs="Times New Roman"/>
                <w:color w:val="auto"/>
                <w:highlight w:val="none"/>
                <w:vertAlign w:val="baseline"/>
              </w:rPr>
            </w:pPr>
          </w:p>
          <w:p w14:paraId="2A9018C6">
            <w:pPr>
              <w:pStyle w:val="15"/>
              <w:shd w:val="clear"/>
              <w:rPr>
                <w:rFonts w:hint="default" w:ascii="Times New Roman" w:hAnsi="Times New Roman" w:cs="Times New Roman"/>
                <w:color w:val="auto"/>
                <w:highlight w:val="none"/>
                <w:vertAlign w:val="baseline"/>
              </w:rPr>
            </w:pPr>
          </w:p>
          <w:p w14:paraId="5F29567E">
            <w:pPr>
              <w:shd w:val="clear"/>
              <w:rPr>
                <w:rFonts w:hint="default" w:ascii="Times New Roman" w:hAnsi="Times New Roman" w:cs="Times New Roman"/>
                <w:color w:val="auto"/>
                <w:highlight w:val="none"/>
                <w:vertAlign w:val="baseline"/>
              </w:rPr>
            </w:pPr>
          </w:p>
          <w:p w14:paraId="7FB70964">
            <w:pPr>
              <w:pStyle w:val="15"/>
              <w:shd w:val="clear"/>
              <w:rPr>
                <w:rFonts w:hint="default"/>
                <w:color w:val="auto"/>
              </w:rPr>
            </w:pPr>
          </w:p>
          <w:p w14:paraId="5995D68A">
            <w:pPr>
              <w:pStyle w:val="45"/>
              <w:shd w:val="clear"/>
              <w:jc w:val="both"/>
              <w:rPr>
                <w:rFonts w:hint="default"/>
                <w:color w:val="auto"/>
              </w:rPr>
            </w:pPr>
          </w:p>
          <w:p w14:paraId="22D9D778">
            <w:pPr>
              <w:shd w:val="clear"/>
              <w:ind w:left="0" w:leftChars="0" w:firstLine="0" w:firstLineChars="0"/>
              <w:rPr>
                <w:rFonts w:hint="default"/>
                <w:color w:val="auto"/>
                <w:highlight w:val="none"/>
              </w:rPr>
            </w:pPr>
          </w:p>
        </w:tc>
      </w:tr>
    </w:tbl>
    <w:p w14:paraId="13ED9E7F">
      <w:pPr>
        <w:shd w:val="clear"/>
        <w:rPr>
          <w:rFonts w:hint="default" w:ascii="Times New Roman" w:hAnsi="Times New Roman" w:cs="Times New Roman"/>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CA24C9D">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7" w:name="_Hlk54167917"/>
      <w:r>
        <w:rPr>
          <w:rFonts w:hint="default" w:ascii="Times New Roman" w:hAnsi="Times New Roman" w:eastAsia="黑体" w:cs="Times New Roman"/>
          <w:snapToGrid w:val="0"/>
          <w:color w:val="auto"/>
          <w:sz w:val="30"/>
          <w:szCs w:val="30"/>
          <w:highlight w:val="none"/>
        </w:rPr>
        <w:t>环境保护措施监督检查清单</w:t>
      </w:r>
      <w:bookmarkEnd w:id="7"/>
    </w:p>
    <w:tbl>
      <w:tblPr>
        <w:tblStyle w:val="32"/>
        <w:tblW w:w="974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258"/>
        <w:gridCol w:w="839"/>
        <w:gridCol w:w="736"/>
        <w:gridCol w:w="895"/>
        <w:gridCol w:w="2880"/>
        <w:gridCol w:w="795"/>
        <w:gridCol w:w="2345"/>
      </w:tblGrid>
      <w:tr w14:paraId="387744F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02" w:hRule="atLeast"/>
          <w:jc w:val="center"/>
        </w:trPr>
        <w:tc>
          <w:tcPr>
            <w:tcW w:w="1258" w:type="dxa"/>
            <w:tcBorders>
              <w:tl2br w:val="nil"/>
              <w:tr2bl w:val="nil"/>
            </w:tcBorders>
            <w:noWrap w:val="0"/>
            <w:vAlign w:val="top"/>
            <mc:AlternateContent>
              <mc:Choice Requires="wpsCustomData">
                <wpsCustomData:diagonals>
                  <wpsCustomData:diagonal from="10000" to="30000">
                    <wpsCustomData:border w:val="single" w:color="auto" w:sz="12" w:space="0"/>
                  </wpsCustomData:diagonal>
                </wpsCustomData:diagonals>
              </mc:Choice>
            </mc:AlternateContent>
          </w:tcPr>
          <w:p w14:paraId="453E24C5">
            <w:pPr>
              <w:pStyle w:val="43"/>
              <w:shd w:val="clear"/>
              <w:bidi w:val="0"/>
              <w:rPr>
                <w:rFonts w:hint="default" w:ascii="Times New Roman" w:hAnsi="Times New Roman" w:cs="Times New Roman"/>
                <w:color w:val="auto"/>
                <w:sz w:val="24"/>
                <w:szCs w:val="24"/>
                <w:highlight w:val="none"/>
              </w:rPr>
            </w:pPr>
          </w:p>
          <w:p w14:paraId="64916213">
            <w:pPr>
              <w:pStyle w:val="43"/>
              <w:shd w:val="clear"/>
              <w:bidi w:val="0"/>
              <w:snapToGrid w:val="0"/>
              <w:spacing w:line="240" w:lineRule="auto"/>
              <w:jc w:val="both"/>
              <mc:AlternateContent>
                <mc:Choice Requires="wpsCustomData">
                  <wpsCustomData:diagonalParaType/>
                </mc:Choice>
              </mc:AlternateConten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要素</w:t>
            </w:r>
          </w:p>
          <w:p w14:paraId="18F168FB">
            <w:pPr>
              <w:pStyle w:val="43"/>
              <w:shd w:val="clear"/>
              <w:bidi w:val="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内容</w:t>
            </w:r>
          </w:p>
        </w:tc>
        <w:tc>
          <w:tcPr>
            <w:tcW w:w="1575" w:type="dxa"/>
            <w:gridSpan w:val="2"/>
            <w:tcBorders>
              <w:tl2br w:val="nil"/>
              <w:tr2bl w:val="nil"/>
            </w:tcBorders>
            <w:noWrap w:val="0"/>
            <w:vAlign w:val="center"/>
          </w:tcPr>
          <w:p w14:paraId="0BB4FB4A">
            <w:pPr>
              <w:pStyle w:val="43"/>
              <w:shd w:val="clear"/>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排放口</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编号、名称</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/污染源</w:t>
            </w:r>
          </w:p>
        </w:tc>
        <w:tc>
          <w:tcPr>
            <w:tcW w:w="895" w:type="dxa"/>
            <w:tcBorders>
              <w:tl2br w:val="nil"/>
              <w:tr2bl w:val="nil"/>
            </w:tcBorders>
            <w:noWrap w:val="0"/>
            <w:vAlign w:val="center"/>
          </w:tcPr>
          <w:p w14:paraId="2EEFA449">
            <w:pPr>
              <w:pStyle w:val="43"/>
              <w:keepNext w:val="0"/>
              <w:keepLines w:val="0"/>
              <w:pageBreakBefore w:val="0"/>
              <w:widowControl/>
              <w:shd w:val="clear"/>
              <w:kinsoku/>
              <w:wordWrap/>
              <w:overflowPunct/>
              <w:topLinePunct w:val="0"/>
              <w:autoSpaceDE/>
              <w:autoSpaceDN/>
              <w:bidi w:val="0"/>
              <w:adjustRightInd/>
              <w:snapToGrid w:val="0"/>
              <w:spacing w:before="0" w:after="0"/>
              <w:ind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污染物项目</w:t>
            </w:r>
          </w:p>
        </w:tc>
        <w:tc>
          <w:tcPr>
            <w:tcW w:w="3675" w:type="dxa"/>
            <w:gridSpan w:val="2"/>
            <w:tcBorders>
              <w:tl2br w:val="nil"/>
              <w:tr2bl w:val="nil"/>
            </w:tcBorders>
            <w:noWrap w:val="0"/>
            <w:vAlign w:val="center"/>
          </w:tcPr>
          <w:p w14:paraId="51CA207A">
            <w:pPr>
              <w:pStyle w:val="43"/>
              <w:shd w:val="clear"/>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环境保护措施</w:t>
            </w:r>
          </w:p>
        </w:tc>
        <w:tc>
          <w:tcPr>
            <w:tcW w:w="2345" w:type="dxa"/>
            <w:tcBorders>
              <w:tl2br w:val="nil"/>
              <w:tr2bl w:val="nil"/>
            </w:tcBorders>
            <w:noWrap w:val="0"/>
            <w:vAlign w:val="center"/>
          </w:tcPr>
          <w:p w14:paraId="656034CF">
            <w:pPr>
              <w:pStyle w:val="43"/>
              <w:shd w:val="clear"/>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执行标准</w:t>
            </w:r>
          </w:p>
        </w:tc>
      </w:tr>
      <w:tr w14:paraId="0A0F15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97" w:hRule="atLeast"/>
          <w:jc w:val="center"/>
        </w:trPr>
        <w:tc>
          <w:tcPr>
            <w:tcW w:w="1258" w:type="dxa"/>
            <w:vMerge w:val="restart"/>
            <w:tcBorders>
              <w:tl2br w:val="nil"/>
              <w:tr2bl w:val="nil"/>
            </w:tcBorders>
            <w:noWrap w:val="0"/>
            <w:vAlign w:val="center"/>
          </w:tcPr>
          <w:p w14:paraId="54F7D7AE">
            <w:pPr>
              <w:pStyle w:val="43"/>
              <w:shd w:val="clear"/>
              <w:bidi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大气环境</w:t>
            </w:r>
          </w:p>
        </w:tc>
        <w:tc>
          <w:tcPr>
            <w:tcW w:w="1575" w:type="dxa"/>
            <w:gridSpan w:val="2"/>
            <w:tcBorders>
              <w:tl2br w:val="nil"/>
              <w:tr2bl w:val="nil"/>
            </w:tcBorders>
            <w:noWrap w:val="0"/>
            <w:vAlign w:val="center"/>
          </w:tcPr>
          <w:p w14:paraId="777837E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lang w:eastAsia="zh-CN"/>
              </w:rPr>
              <w:t>不合格矿石原料上料过程</w:t>
            </w:r>
          </w:p>
        </w:tc>
        <w:tc>
          <w:tcPr>
            <w:tcW w:w="895" w:type="dxa"/>
            <w:tcBorders>
              <w:tl2br w:val="nil"/>
              <w:tr2bl w:val="nil"/>
            </w:tcBorders>
            <w:noWrap w:val="0"/>
            <w:vAlign w:val="center"/>
          </w:tcPr>
          <w:p w14:paraId="02196A6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lang w:eastAsia="zh-CN"/>
              </w:rPr>
              <w:t>颗粒物</w:t>
            </w:r>
          </w:p>
        </w:tc>
        <w:tc>
          <w:tcPr>
            <w:tcW w:w="2880" w:type="dxa"/>
            <w:tcBorders>
              <w:tl2br w:val="nil"/>
              <w:tr2bl w:val="nil"/>
            </w:tcBorders>
            <w:noWrap w:val="0"/>
            <w:vAlign w:val="center"/>
          </w:tcPr>
          <w:p w14:paraId="081E79F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cs="Times New Roman"/>
                <w:b w:val="0"/>
                <w:bCs w:val="0"/>
                <w:snapToGrid w:val="0"/>
                <w:color w:val="auto"/>
                <w:kern w:val="0"/>
                <w:sz w:val="24"/>
                <w:szCs w:val="24"/>
                <w:highlight w:val="none"/>
                <w:vertAlign w:val="baseline"/>
                <w:lang w:val="en-US" w:eastAsia="zh-CN" w:bidi="ar-SA"/>
              </w:rPr>
              <w:t>上料</w:t>
            </w:r>
            <w:r>
              <w:rPr>
                <w:rFonts w:hint="eastAsia" w:cs="Times New Roman"/>
                <w:b w:val="0"/>
                <w:bCs w:val="0"/>
                <w:snapToGrid w:val="0"/>
                <w:color w:val="auto"/>
                <w:kern w:val="0"/>
                <w:sz w:val="24"/>
                <w:szCs w:val="24"/>
                <w:highlight w:val="none"/>
                <w:vertAlign w:val="baseline"/>
                <w:lang w:val="en-US" w:eastAsia="zh-CN" w:bidi="ar-SA"/>
              </w:rPr>
              <w:t>仓</w:t>
            </w:r>
            <w:r>
              <w:rPr>
                <w:rFonts w:hint="default" w:cs="Times New Roman"/>
                <w:b w:val="0"/>
                <w:bCs w:val="0"/>
                <w:snapToGrid w:val="0"/>
                <w:color w:val="auto"/>
                <w:kern w:val="0"/>
                <w:sz w:val="24"/>
                <w:szCs w:val="24"/>
                <w:highlight w:val="none"/>
                <w:vertAlign w:val="baseline"/>
                <w:lang w:val="en-US" w:eastAsia="zh-CN" w:bidi="ar-SA"/>
              </w:rPr>
              <w:t>三面及顶部围挡，一面设置软帘，</w:t>
            </w:r>
            <w:r>
              <w:rPr>
                <w:rFonts w:hint="eastAsia" w:cs="Times New Roman"/>
                <w:b w:val="0"/>
                <w:bCs w:val="0"/>
                <w:snapToGrid w:val="0"/>
                <w:color w:val="auto"/>
                <w:kern w:val="0"/>
                <w:sz w:val="24"/>
                <w:szCs w:val="24"/>
                <w:highlight w:val="none"/>
                <w:vertAlign w:val="baseline"/>
                <w:lang w:val="en-US" w:eastAsia="zh-CN" w:bidi="ar-SA"/>
              </w:rPr>
              <w:t>顶部设置集气罩；设置伞状喷雾抑尘装置，喷雾抑尘装置范围应覆盖整个落料点（电伴热）</w:t>
            </w:r>
          </w:p>
        </w:tc>
        <w:tc>
          <w:tcPr>
            <w:tcW w:w="795" w:type="dxa"/>
            <w:vMerge w:val="restart"/>
            <w:tcBorders>
              <w:tl2br w:val="nil"/>
              <w:tr2bl w:val="nil"/>
            </w:tcBorders>
            <w:noWrap w:val="0"/>
            <w:vAlign w:val="center"/>
          </w:tcPr>
          <w:p w14:paraId="65DFB54F">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上述工序产生的废气经集气装置收集后，由1套</w:t>
            </w:r>
            <w:r>
              <w:rPr>
                <w:rFonts w:hint="default" w:ascii="Times New Roman" w:hAnsi="Times New Roman" w:eastAsia="宋体" w:cs="Times New Roman"/>
                <w:color w:val="auto"/>
                <w:sz w:val="24"/>
                <w:szCs w:val="24"/>
                <w:highlight w:val="none"/>
                <w:lang w:val="en-US" w:eastAsia="zh-CN"/>
              </w:rPr>
              <w:t>脉冲布袋除尘器</w:t>
            </w:r>
            <w:r>
              <w:rPr>
                <w:rFonts w:hint="eastAsia" w:eastAsia="宋体" w:cs="Times New Roman"/>
                <w:color w:val="auto"/>
                <w:sz w:val="24"/>
                <w:szCs w:val="24"/>
                <w:highlight w:val="none"/>
                <w:lang w:val="en-US" w:eastAsia="zh-CN"/>
              </w:rPr>
              <w:t>处理，经1根</w:t>
            </w:r>
            <w:r>
              <w:rPr>
                <w:rFonts w:hint="default" w:ascii="Times New Roman" w:hAnsi="Times New Roman" w:eastAsia="宋体" w:cs="Times New Roman"/>
                <w:color w:val="auto"/>
                <w:sz w:val="24"/>
                <w:szCs w:val="24"/>
                <w:highlight w:val="none"/>
                <w:lang w:val="en-US" w:eastAsia="zh-CN"/>
              </w:rPr>
              <w:t>排气筒（DA00</w:t>
            </w:r>
            <w:r>
              <w:rPr>
                <w:rFonts w:hint="eastAsia"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排放</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风机风量</w:t>
            </w:r>
            <w:r>
              <w:rPr>
                <w:rFonts w:hint="eastAsia" w:cs="Times New Roman"/>
                <w:color w:val="auto"/>
                <w:sz w:val="24"/>
                <w:szCs w:val="24"/>
                <w:highlight w:val="none"/>
                <w:lang w:val="en-US" w:eastAsia="zh-CN"/>
              </w:rPr>
              <w:t>38000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p>
        </w:tc>
        <w:tc>
          <w:tcPr>
            <w:tcW w:w="2345" w:type="dxa"/>
            <w:vMerge w:val="restart"/>
            <w:tcBorders>
              <w:tl2br w:val="nil"/>
              <w:tr2bl w:val="nil"/>
            </w:tcBorders>
            <w:noWrap w:val="0"/>
            <w:vAlign w:val="center"/>
          </w:tcPr>
          <w:p w14:paraId="513211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lang w:val="en-US" w:eastAsia="zh-CN"/>
              </w:rPr>
              <w:t>《石灰行业大气污染物排放标准》（DB13/1641-2025）及《2019年“十项重点工作”工作方案》（唐办发﹝2019﹞3号）颗粒物有组织排放限值要求：10mg/m</w:t>
            </w:r>
            <w:r>
              <w:rPr>
                <w:rFonts w:hint="default" w:ascii="Times New Roman" w:hAnsi="Times New Roman" w:eastAsia="宋体" w:cs="Times New Roman"/>
                <w:color w:val="auto"/>
                <w:sz w:val="24"/>
                <w:szCs w:val="24"/>
                <w:highlight w:val="none"/>
                <w:vertAlign w:val="superscript"/>
                <w:lang w:val="en-US" w:eastAsia="zh-CN"/>
              </w:rPr>
              <w:t>3</w:t>
            </w:r>
          </w:p>
        </w:tc>
      </w:tr>
      <w:tr w14:paraId="5214A68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00" w:hRule="atLeast"/>
          <w:jc w:val="center"/>
        </w:trPr>
        <w:tc>
          <w:tcPr>
            <w:tcW w:w="1258" w:type="dxa"/>
            <w:vMerge w:val="continue"/>
            <w:tcBorders>
              <w:tl2br w:val="nil"/>
              <w:tr2bl w:val="nil"/>
            </w:tcBorders>
            <w:noWrap w:val="0"/>
            <w:vAlign w:val="center"/>
          </w:tcPr>
          <w:p w14:paraId="21C7AB1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eastAsia="宋体" w:cs="Times New Roman"/>
                <w:color w:val="auto"/>
                <w:sz w:val="24"/>
                <w:szCs w:val="24"/>
                <w:highlight w:val="none"/>
                <w:lang w:val="en-US" w:eastAsia="zh-CN"/>
              </w:rPr>
            </w:pPr>
          </w:p>
        </w:tc>
        <w:tc>
          <w:tcPr>
            <w:tcW w:w="839" w:type="dxa"/>
            <w:vMerge w:val="restart"/>
            <w:tcBorders>
              <w:tl2br w:val="nil"/>
              <w:tr2bl w:val="nil"/>
            </w:tcBorders>
            <w:noWrap w:val="0"/>
            <w:vAlign w:val="center"/>
          </w:tcPr>
          <w:p w14:paraId="08DFA81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颚式破碎机</w:t>
            </w:r>
          </w:p>
        </w:tc>
        <w:tc>
          <w:tcPr>
            <w:tcW w:w="736" w:type="dxa"/>
            <w:tcBorders>
              <w:tl2br w:val="nil"/>
              <w:tr2bl w:val="nil"/>
            </w:tcBorders>
            <w:noWrap w:val="0"/>
            <w:vAlign w:val="center"/>
          </w:tcPr>
          <w:p w14:paraId="2BC56BF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破碎</w:t>
            </w:r>
          </w:p>
        </w:tc>
        <w:tc>
          <w:tcPr>
            <w:tcW w:w="895" w:type="dxa"/>
            <w:tcBorders>
              <w:tl2br w:val="nil"/>
              <w:tr2bl w:val="nil"/>
            </w:tcBorders>
            <w:noWrap w:val="0"/>
            <w:vAlign w:val="center"/>
          </w:tcPr>
          <w:p w14:paraId="2333316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eastAsia="zh-CN"/>
              </w:rPr>
              <w:t>颗粒物</w:t>
            </w:r>
          </w:p>
        </w:tc>
        <w:tc>
          <w:tcPr>
            <w:tcW w:w="2880" w:type="dxa"/>
            <w:tcBorders>
              <w:tl2br w:val="nil"/>
              <w:tr2bl w:val="nil"/>
            </w:tcBorders>
            <w:shd w:val="clear" w:color="auto" w:fill="auto"/>
            <w:noWrap w:val="0"/>
            <w:vAlign w:val="center"/>
          </w:tcPr>
          <w:p w14:paraId="0E9EEAE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cs="Times New Roman"/>
                <w:b w:val="0"/>
                <w:bCs w:val="0"/>
                <w:snapToGrid w:val="0"/>
                <w:color w:val="auto"/>
                <w:kern w:val="0"/>
                <w:sz w:val="24"/>
                <w:szCs w:val="24"/>
                <w:highlight w:val="none"/>
                <w:vertAlign w:val="baseline"/>
                <w:lang w:val="en-US" w:eastAsia="zh-CN" w:bidi="ar-SA"/>
              </w:rPr>
              <w:t>上料仓与颚式破碎机入料口采用全封闭连接，并在衔接位置设置集气引风口</w:t>
            </w:r>
          </w:p>
        </w:tc>
        <w:tc>
          <w:tcPr>
            <w:tcW w:w="795" w:type="dxa"/>
            <w:vMerge w:val="continue"/>
            <w:tcBorders>
              <w:tl2br w:val="nil"/>
              <w:tr2bl w:val="nil"/>
            </w:tcBorders>
            <w:shd w:val="clear" w:color="auto" w:fill="auto"/>
            <w:noWrap w:val="0"/>
            <w:vAlign w:val="center"/>
          </w:tcPr>
          <w:p w14:paraId="4C6DABB3">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2345" w:type="dxa"/>
            <w:vMerge w:val="continue"/>
            <w:tcBorders>
              <w:tl2br w:val="nil"/>
              <w:tr2bl w:val="nil"/>
            </w:tcBorders>
            <w:noWrap w:val="0"/>
            <w:vAlign w:val="center"/>
          </w:tcPr>
          <w:p w14:paraId="5E7F3A0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p>
        </w:tc>
      </w:tr>
      <w:tr w14:paraId="5FE7BB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230" w:hRule="atLeast"/>
          <w:jc w:val="center"/>
        </w:trPr>
        <w:tc>
          <w:tcPr>
            <w:tcW w:w="1258" w:type="dxa"/>
            <w:vMerge w:val="continue"/>
            <w:tcBorders>
              <w:tl2br w:val="nil"/>
              <w:tr2bl w:val="nil"/>
            </w:tcBorders>
            <w:noWrap w:val="0"/>
            <w:vAlign w:val="center"/>
          </w:tcPr>
          <w:p w14:paraId="61748D8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839" w:type="dxa"/>
            <w:vMerge w:val="continue"/>
            <w:tcBorders>
              <w:tl2br w:val="nil"/>
              <w:tr2bl w:val="nil"/>
            </w:tcBorders>
            <w:noWrap w:val="0"/>
            <w:vAlign w:val="center"/>
          </w:tcPr>
          <w:p w14:paraId="2FB8E98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p>
        </w:tc>
        <w:tc>
          <w:tcPr>
            <w:tcW w:w="736" w:type="dxa"/>
            <w:tcBorders>
              <w:tl2br w:val="nil"/>
              <w:tr2bl w:val="nil"/>
            </w:tcBorders>
            <w:noWrap w:val="0"/>
            <w:vAlign w:val="center"/>
          </w:tcPr>
          <w:p w14:paraId="3A06E0A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落料</w:t>
            </w:r>
          </w:p>
        </w:tc>
        <w:tc>
          <w:tcPr>
            <w:tcW w:w="895" w:type="dxa"/>
            <w:tcBorders>
              <w:tl2br w:val="nil"/>
              <w:tr2bl w:val="nil"/>
            </w:tcBorders>
            <w:noWrap w:val="0"/>
            <w:vAlign w:val="center"/>
          </w:tcPr>
          <w:p w14:paraId="6022A1A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eastAsia="zh-CN"/>
              </w:rPr>
              <w:t>颗粒物</w:t>
            </w:r>
          </w:p>
        </w:tc>
        <w:tc>
          <w:tcPr>
            <w:tcW w:w="2880" w:type="dxa"/>
            <w:tcBorders>
              <w:tl2br w:val="nil"/>
              <w:tr2bl w:val="nil"/>
            </w:tcBorders>
            <w:shd w:val="clear" w:color="auto" w:fill="auto"/>
            <w:noWrap w:val="0"/>
            <w:vAlign w:val="center"/>
          </w:tcPr>
          <w:p w14:paraId="3349DDC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b w:val="0"/>
                <w:bCs w:val="0"/>
                <w:snapToGrid w:val="0"/>
                <w:color w:val="auto"/>
                <w:kern w:val="0"/>
                <w:sz w:val="24"/>
                <w:szCs w:val="24"/>
                <w:highlight w:val="none"/>
                <w:vertAlign w:val="baseline"/>
                <w:lang w:val="en-US" w:eastAsia="zh-CN" w:bidi="ar-SA"/>
              </w:rPr>
              <w:t>物料落料处全封闭，落料点上方设置集气引风口</w:t>
            </w:r>
          </w:p>
        </w:tc>
        <w:tc>
          <w:tcPr>
            <w:tcW w:w="795" w:type="dxa"/>
            <w:vMerge w:val="continue"/>
            <w:tcBorders>
              <w:tl2br w:val="nil"/>
              <w:tr2bl w:val="nil"/>
            </w:tcBorders>
            <w:shd w:val="clear" w:color="auto" w:fill="auto"/>
            <w:noWrap w:val="0"/>
            <w:vAlign w:val="center"/>
          </w:tcPr>
          <w:p w14:paraId="6882D4AF">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2345" w:type="dxa"/>
            <w:vMerge w:val="continue"/>
            <w:tcBorders>
              <w:tl2br w:val="nil"/>
              <w:tr2bl w:val="nil"/>
            </w:tcBorders>
            <w:noWrap w:val="0"/>
            <w:vAlign w:val="center"/>
          </w:tcPr>
          <w:p w14:paraId="09D4713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p>
        </w:tc>
      </w:tr>
      <w:tr w14:paraId="22ABFDD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33" w:hRule="atLeast"/>
          <w:jc w:val="center"/>
        </w:trPr>
        <w:tc>
          <w:tcPr>
            <w:tcW w:w="1258" w:type="dxa"/>
            <w:vMerge w:val="continue"/>
            <w:tcBorders>
              <w:tl2br w:val="nil"/>
              <w:tr2bl w:val="nil"/>
            </w:tcBorders>
            <w:noWrap w:val="0"/>
            <w:vAlign w:val="center"/>
          </w:tcPr>
          <w:p w14:paraId="4806A989">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839" w:type="dxa"/>
            <w:vMerge w:val="restart"/>
            <w:tcBorders>
              <w:tl2br w:val="nil"/>
              <w:tr2bl w:val="nil"/>
            </w:tcBorders>
            <w:noWrap w:val="0"/>
            <w:vAlign w:val="center"/>
          </w:tcPr>
          <w:p w14:paraId="3550153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圆锥破碎机</w:t>
            </w:r>
          </w:p>
        </w:tc>
        <w:tc>
          <w:tcPr>
            <w:tcW w:w="736" w:type="dxa"/>
            <w:tcBorders>
              <w:tl2br w:val="nil"/>
              <w:tr2bl w:val="nil"/>
            </w:tcBorders>
            <w:noWrap w:val="0"/>
            <w:vAlign w:val="center"/>
          </w:tcPr>
          <w:p w14:paraId="40A5A68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上料、破碎</w:t>
            </w:r>
          </w:p>
        </w:tc>
        <w:tc>
          <w:tcPr>
            <w:tcW w:w="895" w:type="dxa"/>
            <w:tcBorders>
              <w:tl2br w:val="nil"/>
              <w:tr2bl w:val="nil"/>
            </w:tcBorders>
            <w:noWrap w:val="0"/>
            <w:vAlign w:val="center"/>
          </w:tcPr>
          <w:p w14:paraId="066960D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eastAsia="zh-CN"/>
              </w:rPr>
              <w:t>颗粒物</w:t>
            </w:r>
          </w:p>
        </w:tc>
        <w:tc>
          <w:tcPr>
            <w:tcW w:w="2880" w:type="dxa"/>
            <w:tcBorders>
              <w:tl2br w:val="nil"/>
              <w:tr2bl w:val="nil"/>
            </w:tcBorders>
            <w:shd w:val="clear" w:color="auto" w:fill="auto"/>
            <w:noWrap w:val="0"/>
            <w:vAlign w:val="center"/>
          </w:tcPr>
          <w:p w14:paraId="670E5DBB">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b w:val="0"/>
                <w:bCs w:val="0"/>
                <w:snapToGrid w:val="0"/>
                <w:color w:val="auto"/>
                <w:kern w:val="0"/>
                <w:sz w:val="24"/>
                <w:szCs w:val="24"/>
                <w:highlight w:val="none"/>
                <w:vertAlign w:val="baseline"/>
                <w:lang w:val="en-US" w:eastAsia="zh-CN" w:bidi="ar-SA"/>
              </w:rPr>
              <w:t>皮带输送机与圆锥破碎机封闭相连，圆锥破碎机入料口上方设置集气罩</w:t>
            </w:r>
          </w:p>
        </w:tc>
        <w:tc>
          <w:tcPr>
            <w:tcW w:w="795" w:type="dxa"/>
            <w:vMerge w:val="continue"/>
            <w:tcBorders>
              <w:tl2br w:val="nil"/>
              <w:tr2bl w:val="nil"/>
            </w:tcBorders>
            <w:shd w:val="clear" w:color="auto" w:fill="auto"/>
            <w:noWrap w:val="0"/>
            <w:vAlign w:val="center"/>
          </w:tcPr>
          <w:p w14:paraId="79E6620A">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2345" w:type="dxa"/>
            <w:vMerge w:val="continue"/>
            <w:tcBorders>
              <w:tl2br w:val="nil"/>
              <w:tr2bl w:val="nil"/>
            </w:tcBorders>
            <w:noWrap w:val="0"/>
            <w:vAlign w:val="center"/>
          </w:tcPr>
          <w:p w14:paraId="74DA84B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p>
        </w:tc>
      </w:tr>
      <w:tr w14:paraId="5554A7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70" w:hRule="atLeast"/>
          <w:jc w:val="center"/>
        </w:trPr>
        <w:tc>
          <w:tcPr>
            <w:tcW w:w="1258" w:type="dxa"/>
            <w:vMerge w:val="continue"/>
            <w:tcBorders>
              <w:tl2br w:val="nil"/>
              <w:tr2bl w:val="nil"/>
            </w:tcBorders>
            <w:noWrap w:val="0"/>
            <w:vAlign w:val="center"/>
          </w:tcPr>
          <w:p w14:paraId="3BC564B4">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839" w:type="dxa"/>
            <w:vMerge w:val="continue"/>
            <w:tcBorders>
              <w:tl2br w:val="nil"/>
              <w:tr2bl w:val="nil"/>
            </w:tcBorders>
            <w:noWrap w:val="0"/>
            <w:vAlign w:val="center"/>
          </w:tcPr>
          <w:p w14:paraId="6C22D01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p>
        </w:tc>
        <w:tc>
          <w:tcPr>
            <w:tcW w:w="736" w:type="dxa"/>
            <w:tcBorders>
              <w:tl2br w:val="nil"/>
              <w:tr2bl w:val="nil"/>
            </w:tcBorders>
            <w:noWrap w:val="0"/>
            <w:vAlign w:val="center"/>
          </w:tcPr>
          <w:p w14:paraId="17F342C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落料</w:t>
            </w:r>
          </w:p>
        </w:tc>
        <w:tc>
          <w:tcPr>
            <w:tcW w:w="895" w:type="dxa"/>
            <w:tcBorders>
              <w:tl2br w:val="nil"/>
              <w:tr2bl w:val="nil"/>
            </w:tcBorders>
            <w:noWrap w:val="0"/>
            <w:vAlign w:val="center"/>
          </w:tcPr>
          <w:p w14:paraId="474C79C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eastAsia="zh-CN"/>
              </w:rPr>
              <w:t>颗粒物</w:t>
            </w:r>
          </w:p>
        </w:tc>
        <w:tc>
          <w:tcPr>
            <w:tcW w:w="2880" w:type="dxa"/>
            <w:tcBorders>
              <w:tl2br w:val="nil"/>
              <w:tr2bl w:val="nil"/>
            </w:tcBorders>
            <w:shd w:val="clear" w:color="auto" w:fill="auto"/>
            <w:noWrap w:val="0"/>
            <w:vAlign w:val="center"/>
          </w:tcPr>
          <w:p w14:paraId="1873229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b w:val="0"/>
                <w:bCs w:val="0"/>
                <w:snapToGrid w:val="0"/>
                <w:color w:val="auto"/>
                <w:kern w:val="0"/>
                <w:sz w:val="24"/>
                <w:szCs w:val="24"/>
                <w:highlight w:val="none"/>
                <w:vertAlign w:val="baseline"/>
                <w:lang w:val="en-US" w:eastAsia="zh-CN" w:bidi="ar-SA"/>
              </w:rPr>
              <w:t>物料落料处全封闭，落料点上方设置集气引风口</w:t>
            </w:r>
          </w:p>
        </w:tc>
        <w:tc>
          <w:tcPr>
            <w:tcW w:w="795" w:type="dxa"/>
            <w:vMerge w:val="continue"/>
            <w:tcBorders>
              <w:tl2br w:val="nil"/>
              <w:tr2bl w:val="nil"/>
            </w:tcBorders>
            <w:shd w:val="clear" w:color="auto" w:fill="auto"/>
            <w:noWrap w:val="0"/>
            <w:vAlign w:val="center"/>
          </w:tcPr>
          <w:p w14:paraId="019D9E07">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2345" w:type="dxa"/>
            <w:vMerge w:val="continue"/>
            <w:tcBorders>
              <w:tl2br w:val="nil"/>
              <w:tr2bl w:val="nil"/>
            </w:tcBorders>
            <w:noWrap w:val="0"/>
            <w:vAlign w:val="center"/>
          </w:tcPr>
          <w:p w14:paraId="5726D81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p>
        </w:tc>
      </w:tr>
      <w:tr w14:paraId="20D2D80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951" w:hRule="atLeast"/>
          <w:jc w:val="center"/>
        </w:trPr>
        <w:tc>
          <w:tcPr>
            <w:tcW w:w="1258" w:type="dxa"/>
            <w:vMerge w:val="continue"/>
            <w:tcBorders>
              <w:tl2br w:val="nil"/>
              <w:tr2bl w:val="nil"/>
            </w:tcBorders>
            <w:noWrap w:val="0"/>
            <w:vAlign w:val="center"/>
          </w:tcPr>
          <w:p w14:paraId="1A90AB0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839" w:type="dxa"/>
            <w:vMerge w:val="restart"/>
            <w:tcBorders>
              <w:tl2br w:val="nil"/>
              <w:tr2bl w:val="nil"/>
            </w:tcBorders>
            <w:noWrap w:val="0"/>
            <w:vAlign w:val="center"/>
          </w:tcPr>
          <w:p w14:paraId="13D9CE2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Segoe UI Symbol" w:cs="Times New Roman"/>
                <w:i w:val="0"/>
                <w:iCs w:val="0"/>
                <w:caps w:val="0"/>
                <w:color w:val="auto"/>
                <w:spacing w:val="0"/>
                <w:sz w:val="24"/>
                <w:szCs w:val="24"/>
              </w:rPr>
              <w:t>复式摇筛</w:t>
            </w:r>
          </w:p>
        </w:tc>
        <w:tc>
          <w:tcPr>
            <w:tcW w:w="736" w:type="dxa"/>
            <w:tcBorders>
              <w:tl2br w:val="nil"/>
              <w:tr2bl w:val="nil"/>
            </w:tcBorders>
            <w:noWrap w:val="0"/>
            <w:vAlign w:val="center"/>
          </w:tcPr>
          <w:p w14:paraId="6A7C4C6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上料、筛分</w:t>
            </w:r>
          </w:p>
        </w:tc>
        <w:tc>
          <w:tcPr>
            <w:tcW w:w="895" w:type="dxa"/>
            <w:tcBorders>
              <w:tl2br w:val="nil"/>
              <w:tr2bl w:val="nil"/>
            </w:tcBorders>
            <w:noWrap w:val="0"/>
            <w:vAlign w:val="center"/>
          </w:tcPr>
          <w:p w14:paraId="199E396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颗粒物</w:t>
            </w:r>
          </w:p>
        </w:tc>
        <w:tc>
          <w:tcPr>
            <w:tcW w:w="2880" w:type="dxa"/>
            <w:tcBorders>
              <w:tl2br w:val="nil"/>
              <w:tr2bl w:val="nil"/>
            </w:tcBorders>
            <w:shd w:val="clear" w:color="auto" w:fill="auto"/>
            <w:noWrap w:val="0"/>
            <w:vAlign w:val="center"/>
          </w:tcPr>
          <w:p w14:paraId="6A844ED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b w:val="0"/>
                <w:bCs w:val="0"/>
                <w:snapToGrid w:val="0"/>
                <w:color w:val="auto"/>
                <w:kern w:val="0"/>
                <w:sz w:val="24"/>
                <w:szCs w:val="24"/>
                <w:highlight w:val="none"/>
                <w:vertAlign w:val="baseline"/>
                <w:lang w:val="en-US" w:eastAsia="zh-CN" w:bidi="ar-SA"/>
              </w:rPr>
              <w:t>本次配套建设全密闭筛分间，物料上料转运、筛分分级等产污工序均置于密闭空间内实施，在筛分间顶部开设集气引风口</w:t>
            </w:r>
          </w:p>
        </w:tc>
        <w:tc>
          <w:tcPr>
            <w:tcW w:w="795" w:type="dxa"/>
            <w:vMerge w:val="continue"/>
            <w:tcBorders>
              <w:tl2br w:val="nil"/>
              <w:tr2bl w:val="nil"/>
            </w:tcBorders>
            <w:shd w:val="clear" w:color="auto" w:fill="auto"/>
            <w:noWrap w:val="0"/>
            <w:vAlign w:val="center"/>
          </w:tcPr>
          <w:p w14:paraId="2EE7098C">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2345" w:type="dxa"/>
            <w:vMerge w:val="continue"/>
            <w:tcBorders>
              <w:tl2br w:val="nil"/>
              <w:tr2bl w:val="nil"/>
            </w:tcBorders>
            <w:noWrap w:val="0"/>
            <w:vAlign w:val="center"/>
          </w:tcPr>
          <w:p w14:paraId="2B2E890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p>
        </w:tc>
      </w:tr>
      <w:tr w14:paraId="4F9A683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561" w:hRule="atLeast"/>
          <w:jc w:val="center"/>
        </w:trPr>
        <w:tc>
          <w:tcPr>
            <w:tcW w:w="1258" w:type="dxa"/>
            <w:vMerge w:val="continue"/>
            <w:tcBorders>
              <w:tl2br w:val="nil"/>
              <w:tr2bl w:val="nil"/>
            </w:tcBorders>
            <w:noWrap w:val="0"/>
            <w:vAlign w:val="center"/>
          </w:tcPr>
          <w:p w14:paraId="18B51B92">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839" w:type="dxa"/>
            <w:vMerge w:val="continue"/>
            <w:tcBorders>
              <w:tl2br w:val="nil"/>
              <w:tr2bl w:val="nil"/>
            </w:tcBorders>
            <w:noWrap w:val="0"/>
            <w:vAlign w:val="center"/>
          </w:tcPr>
          <w:p w14:paraId="6E7293A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p>
        </w:tc>
        <w:tc>
          <w:tcPr>
            <w:tcW w:w="736" w:type="dxa"/>
            <w:tcBorders>
              <w:tl2br w:val="nil"/>
              <w:tr2bl w:val="nil"/>
            </w:tcBorders>
            <w:noWrap w:val="0"/>
            <w:vAlign w:val="center"/>
          </w:tcPr>
          <w:p w14:paraId="3F73638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eastAsia="zh-CN"/>
              </w:rPr>
              <w:t>落料</w:t>
            </w:r>
          </w:p>
        </w:tc>
        <w:tc>
          <w:tcPr>
            <w:tcW w:w="895" w:type="dxa"/>
            <w:tcBorders>
              <w:tl2br w:val="nil"/>
              <w:tr2bl w:val="nil"/>
            </w:tcBorders>
            <w:noWrap w:val="0"/>
            <w:vAlign w:val="center"/>
          </w:tcPr>
          <w:p w14:paraId="1DD1463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eastAsia="zh-CN"/>
              </w:rPr>
              <w:t>颗粒物</w:t>
            </w:r>
          </w:p>
        </w:tc>
        <w:tc>
          <w:tcPr>
            <w:tcW w:w="2880" w:type="dxa"/>
            <w:tcBorders>
              <w:tl2br w:val="nil"/>
              <w:tr2bl w:val="nil"/>
            </w:tcBorders>
            <w:shd w:val="clear" w:color="auto" w:fill="auto"/>
            <w:noWrap w:val="0"/>
            <w:vAlign w:val="center"/>
          </w:tcPr>
          <w:p w14:paraId="01488B85">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cs="Times New Roman"/>
                <w:b w:val="0"/>
                <w:bCs w:val="0"/>
                <w:snapToGrid w:val="0"/>
                <w:color w:val="auto"/>
                <w:kern w:val="0"/>
                <w:sz w:val="24"/>
                <w:szCs w:val="24"/>
                <w:highlight w:val="none"/>
                <w:vertAlign w:val="baseline"/>
                <w:lang w:val="en-US" w:eastAsia="zh-CN" w:bidi="ar-SA"/>
              </w:rPr>
              <w:t>在落料</w:t>
            </w:r>
            <w:r>
              <w:rPr>
                <w:rFonts w:hint="eastAsia" w:cs="Times New Roman"/>
                <w:b w:val="0"/>
                <w:bCs w:val="0"/>
                <w:snapToGrid w:val="0"/>
                <w:color w:val="auto"/>
                <w:kern w:val="0"/>
                <w:sz w:val="24"/>
                <w:szCs w:val="24"/>
                <w:highlight w:val="none"/>
                <w:vertAlign w:val="baseline"/>
                <w:lang w:val="en-US" w:eastAsia="zh-CN" w:bidi="ar-SA"/>
              </w:rPr>
              <w:t>点（2处）上方设置集气罩，并设置伞状喷雾抑尘装置（设置电伴热装置），喷雾抑尘装置范围应覆盖整个落料点</w:t>
            </w:r>
          </w:p>
        </w:tc>
        <w:tc>
          <w:tcPr>
            <w:tcW w:w="795" w:type="dxa"/>
            <w:vMerge w:val="continue"/>
            <w:tcBorders>
              <w:tl2br w:val="nil"/>
              <w:tr2bl w:val="nil"/>
            </w:tcBorders>
            <w:shd w:val="clear" w:color="auto" w:fill="auto"/>
            <w:noWrap w:val="0"/>
            <w:vAlign w:val="center"/>
          </w:tcPr>
          <w:p w14:paraId="28A33E1A">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2345" w:type="dxa"/>
            <w:vMerge w:val="continue"/>
            <w:tcBorders>
              <w:tl2br w:val="nil"/>
              <w:tr2bl w:val="nil"/>
            </w:tcBorders>
            <w:noWrap w:val="0"/>
            <w:vAlign w:val="center"/>
          </w:tcPr>
          <w:p w14:paraId="586E873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p>
        </w:tc>
      </w:tr>
      <w:tr w14:paraId="3F1DCB7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045" w:hRule="atLeast"/>
          <w:jc w:val="center"/>
        </w:trPr>
        <w:tc>
          <w:tcPr>
            <w:tcW w:w="1258" w:type="dxa"/>
            <w:vMerge w:val="continue"/>
            <w:tcBorders>
              <w:tl2br w:val="nil"/>
              <w:tr2bl w:val="nil"/>
            </w:tcBorders>
            <w:noWrap w:val="0"/>
            <w:vAlign w:val="center"/>
          </w:tcPr>
          <w:p w14:paraId="13A9DD57">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1575" w:type="dxa"/>
            <w:gridSpan w:val="2"/>
            <w:tcBorders>
              <w:tl2br w:val="nil"/>
              <w:tr2bl w:val="nil"/>
            </w:tcBorders>
            <w:noWrap w:val="0"/>
            <w:vAlign w:val="center"/>
          </w:tcPr>
          <w:p w14:paraId="3AECB61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color w:val="auto"/>
                <w:sz w:val="24"/>
                <w:szCs w:val="24"/>
                <w:highlight w:val="none"/>
                <w:lang w:val="en-US" w:eastAsia="zh-CN"/>
              </w:rPr>
            </w:pPr>
            <w:r>
              <w:rPr>
                <w:rFonts w:hint="eastAsia"/>
                <w:color w:val="auto"/>
                <w:sz w:val="24"/>
                <w:szCs w:val="24"/>
                <w:highlight w:val="none"/>
                <w:lang w:eastAsia="zh-CN"/>
              </w:rPr>
              <w:t>不合格矿石原料装卸、堆存过程</w:t>
            </w:r>
          </w:p>
        </w:tc>
        <w:tc>
          <w:tcPr>
            <w:tcW w:w="895" w:type="dxa"/>
            <w:tcBorders>
              <w:tl2br w:val="nil"/>
              <w:tr2bl w:val="nil"/>
            </w:tcBorders>
            <w:noWrap w:val="0"/>
            <w:vAlign w:val="center"/>
          </w:tcPr>
          <w:p w14:paraId="77EFF1B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caps w:val="0"/>
                <w:smallCaps w:val="0"/>
                <w:color w:val="auto"/>
                <w:spacing w:val="0"/>
                <w:position w:val="0"/>
                <w:sz w:val="24"/>
                <w:szCs w:val="24"/>
                <w:highlight w:val="none"/>
                <w:lang w:val="en-US" w:eastAsia="zh-CN"/>
              </w:rPr>
            </w:pPr>
            <w:r>
              <w:rPr>
                <w:rFonts w:hint="eastAsia"/>
                <w:color w:val="auto"/>
                <w:sz w:val="24"/>
                <w:szCs w:val="24"/>
                <w:highlight w:val="none"/>
                <w:lang w:eastAsia="zh-CN"/>
              </w:rPr>
              <w:t>颗粒物</w:t>
            </w:r>
          </w:p>
        </w:tc>
        <w:tc>
          <w:tcPr>
            <w:tcW w:w="3675" w:type="dxa"/>
            <w:gridSpan w:val="2"/>
            <w:vMerge w:val="restart"/>
            <w:tcBorders>
              <w:tl2br w:val="nil"/>
              <w:tr2bl w:val="nil"/>
            </w:tcBorders>
            <w:shd w:val="clear" w:color="auto" w:fill="auto"/>
            <w:noWrap w:val="0"/>
            <w:vAlign w:val="center"/>
          </w:tcPr>
          <w:p w14:paraId="5D79D2D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color w:val="auto"/>
                <w:sz w:val="24"/>
                <w:szCs w:val="24"/>
                <w:highlight w:val="none"/>
                <w:lang w:val="en-US" w:eastAsia="zh-CN"/>
              </w:rPr>
              <w:t>位于封闭</w:t>
            </w:r>
            <w:r>
              <w:rPr>
                <w:rFonts w:hint="eastAsia" w:eastAsia="宋体" w:cs="Times New Roman"/>
                <w:color w:val="auto"/>
                <w:sz w:val="24"/>
                <w:szCs w:val="24"/>
                <w:highlight w:val="none"/>
                <w:lang w:val="en-US" w:eastAsia="zh-CN"/>
              </w:rPr>
              <w:t>预处理车间</w:t>
            </w:r>
            <w:r>
              <w:rPr>
                <w:rFonts w:hint="default" w:ascii="Times New Roman" w:hAnsi="Times New Roman" w:eastAsia="宋体" w:cs="Times New Roman"/>
                <w:color w:val="auto"/>
                <w:sz w:val="24"/>
                <w:szCs w:val="24"/>
                <w:highlight w:val="none"/>
                <w:lang w:val="en-US" w:eastAsia="zh-CN"/>
              </w:rPr>
              <w:t>内，</w:t>
            </w:r>
            <w:r>
              <w:rPr>
                <w:rFonts w:hint="eastAsia"/>
                <w:color w:val="auto"/>
                <w:sz w:val="24"/>
                <w:szCs w:val="24"/>
                <w:highlight w:val="none"/>
                <w:lang w:eastAsia="zh-CN"/>
              </w:rPr>
              <w:t>不合格矿石原料堆存区</w:t>
            </w:r>
            <w:r>
              <w:rPr>
                <w:rFonts w:hint="default" w:ascii="Times New Roman" w:hAnsi="Times New Roman" w:eastAsia="宋体" w:cs="Times New Roman"/>
                <w:color w:val="auto"/>
                <w:sz w:val="24"/>
                <w:szCs w:val="24"/>
                <w:highlight w:val="none"/>
                <w:lang w:val="en-US" w:eastAsia="zh-CN"/>
              </w:rPr>
              <w:t>设置雾炮喷淋，定期洒水抑尘</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封闭</w:t>
            </w:r>
            <w:r>
              <w:rPr>
                <w:rFonts w:hint="eastAsia" w:eastAsia="宋体" w:cs="Times New Roman"/>
                <w:color w:val="auto"/>
                <w:sz w:val="24"/>
                <w:szCs w:val="24"/>
                <w:highlight w:val="none"/>
                <w:lang w:val="en-US" w:eastAsia="zh-CN"/>
              </w:rPr>
              <w:t>预处理车间</w:t>
            </w:r>
            <w:r>
              <w:rPr>
                <w:rFonts w:hint="eastAsia" w:ascii="Times New Roman" w:hAnsi="Times New Roman" w:eastAsia="宋体" w:cs="Times New Roman"/>
                <w:color w:val="auto"/>
                <w:sz w:val="24"/>
                <w:szCs w:val="24"/>
                <w:highlight w:val="none"/>
                <w:lang w:val="en-US" w:eastAsia="zh-CN"/>
              </w:rPr>
              <w:t>设置全自动自动感应门</w:t>
            </w:r>
          </w:p>
        </w:tc>
        <w:tc>
          <w:tcPr>
            <w:tcW w:w="2345" w:type="dxa"/>
            <w:vMerge w:val="restart"/>
            <w:tcBorders>
              <w:tl2br w:val="nil"/>
              <w:tr2bl w:val="nil"/>
            </w:tcBorders>
            <w:noWrap w:val="0"/>
            <w:vAlign w:val="center"/>
          </w:tcPr>
          <w:p w14:paraId="7876D50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ascii="Times New Roman" w:hAnsi="Times New Roman" w:eastAsia="宋体" w:cs="Times New Roman"/>
                <w:color w:val="auto"/>
                <w:sz w:val="24"/>
                <w:szCs w:val="24"/>
                <w:highlight w:val="none"/>
              </w:rPr>
            </w:pPr>
            <w:r>
              <w:rPr>
                <w:rFonts w:hint="eastAsia"/>
                <w:color w:val="auto"/>
                <w:szCs w:val="24"/>
                <w:highlight w:val="none"/>
              </w:rPr>
              <w:t>《2019年“十项重点工作”工作方案》</w:t>
            </w:r>
            <w:r>
              <w:rPr>
                <w:rFonts w:hint="eastAsia"/>
                <w:color w:val="auto"/>
                <w:szCs w:val="24"/>
                <w:highlight w:val="none"/>
                <w:lang w:eastAsia="zh-CN"/>
              </w:rPr>
              <w:t>（</w:t>
            </w:r>
            <w:r>
              <w:rPr>
                <w:rFonts w:hint="eastAsia"/>
                <w:color w:val="auto"/>
                <w:szCs w:val="24"/>
                <w:highlight w:val="none"/>
              </w:rPr>
              <w:t>唐办发</w:t>
            </w:r>
            <w:r>
              <w:rPr>
                <w:rFonts w:hint="eastAsia"/>
                <w:color w:val="auto"/>
                <w:szCs w:val="24"/>
                <w:highlight w:val="none"/>
                <w:lang w:eastAsia="zh-CN"/>
              </w:rPr>
              <w:t>﹝2019﹞</w:t>
            </w:r>
            <w:r>
              <w:rPr>
                <w:rFonts w:hint="eastAsia"/>
                <w:color w:val="auto"/>
                <w:szCs w:val="24"/>
                <w:highlight w:val="none"/>
              </w:rPr>
              <w:t>3号</w:t>
            </w:r>
            <w:r>
              <w:rPr>
                <w:rFonts w:hint="eastAsia"/>
                <w:color w:val="auto"/>
                <w:szCs w:val="24"/>
                <w:highlight w:val="none"/>
                <w:lang w:eastAsia="zh-CN"/>
              </w:rPr>
              <w:t>）</w:t>
            </w:r>
            <w:r>
              <w:rPr>
                <w:rFonts w:hint="eastAsia"/>
                <w:color w:val="auto"/>
                <w:szCs w:val="24"/>
                <w:highlight w:val="none"/>
              </w:rPr>
              <w:t>排放限值要求</w:t>
            </w:r>
            <w:r>
              <w:rPr>
                <w:rFonts w:hint="eastAsia"/>
                <w:color w:val="auto"/>
                <w:szCs w:val="24"/>
                <w:highlight w:val="none"/>
                <w:lang w:eastAsia="zh-CN"/>
              </w:rPr>
              <w:t>：厂界无组织颗粒物浓度不超过0.5mg/m</w:t>
            </w:r>
            <w:r>
              <w:rPr>
                <w:rFonts w:hint="eastAsia"/>
                <w:color w:val="auto"/>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生产车间外无组织颗粒物</w:t>
            </w:r>
            <w:r>
              <w:rPr>
                <w:rFonts w:hint="default" w:ascii="Times New Roman" w:hAnsi="Times New Roman" w:eastAsia="宋体" w:cs="Times New Roman"/>
                <w:color w:val="auto"/>
                <w:kern w:val="0"/>
                <w:sz w:val="24"/>
                <w:szCs w:val="24"/>
                <w:highlight w:val="none"/>
                <w:lang w:val="en-US" w:eastAsia="zh-CN"/>
              </w:rPr>
              <w:t>满足</w:t>
            </w:r>
            <w:r>
              <w:rPr>
                <w:rFonts w:hint="eastAsia"/>
                <w:color w:val="auto"/>
                <w:szCs w:val="24"/>
                <w:highlight w:val="none"/>
              </w:rPr>
              <w:t>《石灰行业大气污染物排放标准》</w:t>
            </w:r>
            <w:r>
              <w:rPr>
                <w:rFonts w:hint="eastAsia"/>
                <w:color w:val="auto"/>
                <w:szCs w:val="24"/>
                <w:highlight w:val="none"/>
                <w:lang w:eastAsia="zh-CN"/>
              </w:rPr>
              <w:t>（</w:t>
            </w:r>
            <w:r>
              <w:rPr>
                <w:rFonts w:hint="eastAsia"/>
                <w:color w:val="auto"/>
                <w:szCs w:val="24"/>
                <w:highlight w:val="none"/>
              </w:rPr>
              <w:t>DB13/1641</w:t>
            </w:r>
            <w:r>
              <w:rPr>
                <w:rFonts w:hint="eastAsia"/>
                <w:color w:val="auto"/>
                <w:szCs w:val="24"/>
                <w:highlight w:val="none"/>
                <w:lang w:eastAsia="zh-CN"/>
              </w:rPr>
              <w:t>-2025）</w:t>
            </w:r>
            <w:r>
              <w:rPr>
                <w:rFonts w:hint="default" w:ascii="Times New Roman" w:hAnsi="Times New Roman" w:eastAsia="宋体" w:cs="Times New Roman"/>
                <w:color w:val="auto"/>
                <w:kern w:val="0"/>
                <w:sz w:val="24"/>
                <w:szCs w:val="24"/>
                <w:highlight w:val="none"/>
                <w:lang w:val="en-US" w:eastAsia="zh-CN"/>
              </w:rPr>
              <w:t>表3企业厂区内大气污染物无组织排放限值5.0mg/m</w:t>
            </w:r>
            <w:r>
              <w:rPr>
                <w:rFonts w:hint="default" w:ascii="Times New Roman" w:hAnsi="Times New Roman" w:eastAsia="宋体" w:cs="Times New Roman"/>
                <w:color w:val="auto"/>
                <w:kern w:val="0"/>
                <w:sz w:val="24"/>
                <w:szCs w:val="24"/>
                <w:highlight w:val="none"/>
                <w:vertAlign w:val="superscript"/>
                <w:lang w:val="en-US" w:eastAsia="zh-CN"/>
              </w:rPr>
              <w:t>3</w:t>
            </w:r>
          </w:p>
        </w:tc>
      </w:tr>
      <w:tr w14:paraId="3460A2E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045" w:hRule="atLeast"/>
          <w:jc w:val="center"/>
        </w:trPr>
        <w:tc>
          <w:tcPr>
            <w:tcW w:w="1258" w:type="dxa"/>
            <w:vMerge w:val="continue"/>
            <w:tcBorders>
              <w:tl2br w:val="nil"/>
              <w:tr2bl w:val="nil"/>
            </w:tcBorders>
            <w:noWrap w:val="0"/>
            <w:vAlign w:val="center"/>
          </w:tcPr>
          <w:p w14:paraId="27D58F6A">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1575" w:type="dxa"/>
            <w:gridSpan w:val="2"/>
            <w:tcBorders>
              <w:tl2br w:val="nil"/>
              <w:tr2bl w:val="nil"/>
            </w:tcBorders>
            <w:shd w:val="clear" w:color="auto" w:fill="auto"/>
            <w:noWrap w:val="0"/>
            <w:vAlign w:val="center"/>
          </w:tcPr>
          <w:p w14:paraId="413CC13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Segoe UI Symbol" w:cs="Times New Roman"/>
                <w:i w:val="0"/>
                <w:iCs w:val="0"/>
                <w:caps w:val="0"/>
                <w:color w:val="auto"/>
                <w:spacing w:val="0"/>
                <w:kern w:val="2"/>
                <w:sz w:val="24"/>
                <w:szCs w:val="24"/>
                <w:lang w:val="en-US" w:eastAsia="zh-CN" w:bidi="ar-SA"/>
              </w:rPr>
            </w:pPr>
            <w:r>
              <w:rPr>
                <w:rFonts w:hint="eastAsia"/>
                <w:color w:val="auto"/>
                <w:sz w:val="24"/>
                <w:szCs w:val="24"/>
                <w:highlight w:val="none"/>
                <w:lang w:eastAsia="zh-CN"/>
              </w:rPr>
              <w:t>合格矿石原料、装卸、堆存过程</w:t>
            </w:r>
          </w:p>
        </w:tc>
        <w:tc>
          <w:tcPr>
            <w:tcW w:w="895" w:type="dxa"/>
            <w:tcBorders>
              <w:tl2br w:val="nil"/>
              <w:tr2bl w:val="nil"/>
            </w:tcBorders>
            <w:shd w:val="clear" w:color="auto" w:fill="auto"/>
            <w:noWrap w:val="0"/>
            <w:vAlign w:val="center"/>
          </w:tcPr>
          <w:p w14:paraId="54D94E1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eastAsia="zh-CN"/>
              </w:rPr>
              <w:t>颗粒物</w:t>
            </w:r>
          </w:p>
        </w:tc>
        <w:tc>
          <w:tcPr>
            <w:tcW w:w="3675" w:type="dxa"/>
            <w:gridSpan w:val="2"/>
            <w:vMerge w:val="continue"/>
            <w:tcBorders>
              <w:tl2br w:val="nil"/>
              <w:tr2bl w:val="nil"/>
            </w:tcBorders>
            <w:shd w:val="clear" w:color="auto" w:fill="auto"/>
            <w:noWrap w:val="0"/>
            <w:vAlign w:val="center"/>
          </w:tcPr>
          <w:p w14:paraId="269F792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i w:val="0"/>
                <w:iCs w:val="0"/>
                <w:color w:val="auto"/>
                <w:kern w:val="0"/>
                <w:sz w:val="24"/>
                <w:szCs w:val="24"/>
                <w:highlight w:val="none"/>
                <w:u w:val="none"/>
                <w:lang w:val="en-US" w:eastAsia="zh-CN" w:bidi="ar"/>
              </w:rPr>
            </w:pPr>
          </w:p>
        </w:tc>
        <w:tc>
          <w:tcPr>
            <w:tcW w:w="2345" w:type="dxa"/>
            <w:vMerge w:val="continue"/>
            <w:tcBorders>
              <w:tl2br w:val="nil"/>
              <w:tr2bl w:val="nil"/>
            </w:tcBorders>
            <w:noWrap w:val="0"/>
            <w:vAlign w:val="center"/>
          </w:tcPr>
          <w:p w14:paraId="475DE7B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rPr>
            </w:pPr>
          </w:p>
        </w:tc>
      </w:tr>
      <w:tr w14:paraId="550B6AD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045" w:hRule="atLeast"/>
          <w:jc w:val="center"/>
        </w:trPr>
        <w:tc>
          <w:tcPr>
            <w:tcW w:w="1258" w:type="dxa"/>
            <w:vMerge w:val="continue"/>
            <w:tcBorders>
              <w:tl2br w:val="nil"/>
              <w:tr2bl w:val="nil"/>
            </w:tcBorders>
            <w:noWrap w:val="0"/>
            <w:vAlign w:val="center"/>
          </w:tcPr>
          <w:p w14:paraId="02E7E33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auto"/>
                <w:sz w:val="24"/>
                <w:szCs w:val="24"/>
                <w:highlight w:val="none"/>
                <w:lang w:val="en-US" w:eastAsia="zh-CN"/>
              </w:rPr>
            </w:pPr>
          </w:p>
        </w:tc>
        <w:tc>
          <w:tcPr>
            <w:tcW w:w="1575" w:type="dxa"/>
            <w:gridSpan w:val="2"/>
            <w:tcBorders>
              <w:tl2br w:val="nil"/>
              <w:tr2bl w:val="nil"/>
            </w:tcBorders>
            <w:shd w:val="clear" w:color="auto" w:fill="auto"/>
            <w:noWrap w:val="0"/>
            <w:vAlign w:val="center"/>
          </w:tcPr>
          <w:p w14:paraId="7F75498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Segoe UI Symbol" w:cs="Times New Roman"/>
                <w:i w:val="0"/>
                <w:iCs w:val="0"/>
                <w:caps w:val="0"/>
                <w:color w:val="auto"/>
                <w:spacing w:val="0"/>
                <w:kern w:val="2"/>
                <w:sz w:val="24"/>
                <w:szCs w:val="24"/>
                <w:lang w:val="en-US" w:eastAsia="zh-CN" w:bidi="ar-SA"/>
              </w:rPr>
            </w:pPr>
            <w:r>
              <w:rPr>
                <w:rFonts w:hint="eastAsia"/>
                <w:color w:val="auto"/>
                <w:sz w:val="24"/>
                <w:szCs w:val="24"/>
                <w:highlight w:val="none"/>
                <w:lang w:eastAsia="zh-CN"/>
              </w:rPr>
              <w:t>土渣装卸、堆存过程</w:t>
            </w:r>
          </w:p>
        </w:tc>
        <w:tc>
          <w:tcPr>
            <w:tcW w:w="895" w:type="dxa"/>
            <w:tcBorders>
              <w:tl2br w:val="nil"/>
              <w:tr2bl w:val="nil"/>
            </w:tcBorders>
            <w:shd w:val="clear" w:color="auto" w:fill="auto"/>
            <w:noWrap w:val="0"/>
            <w:vAlign w:val="center"/>
          </w:tcPr>
          <w:p w14:paraId="285294B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eastAsia="zh-CN"/>
              </w:rPr>
              <w:t>颗粒物</w:t>
            </w:r>
          </w:p>
        </w:tc>
        <w:tc>
          <w:tcPr>
            <w:tcW w:w="3675" w:type="dxa"/>
            <w:gridSpan w:val="2"/>
            <w:vMerge w:val="continue"/>
            <w:tcBorders>
              <w:tl2br w:val="nil"/>
              <w:tr2bl w:val="nil"/>
            </w:tcBorders>
            <w:shd w:val="clear" w:color="auto" w:fill="auto"/>
            <w:noWrap w:val="0"/>
            <w:vAlign w:val="center"/>
          </w:tcPr>
          <w:p w14:paraId="3231EB6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i w:val="0"/>
                <w:iCs w:val="0"/>
                <w:color w:val="auto"/>
                <w:kern w:val="0"/>
                <w:sz w:val="24"/>
                <w:szCs w:val="24"/>
                <w:highlight w:val="none"/>
                <w:u w:val="none"/>
                <w:lang w:val="en-US" w:eastAsia="zh-CN" w:bidi="ar"/>
              </w:rPr>
            </w:pPr>
          </w:p>
        </w:tc>
        <w:tc>
          <w:tcPr>
            <w:tcW w:w="2345" w:type="dxa"/>
            <w:vMerge w:val="continue"/>
            <w:tcBorders>
              <w:tl2br w:val="nil"/>
              <w:tr2bl w:val="nil"/>
            </w:tcBorders>
            <w:noWrap w:val="0"/>
            <w:vAlign w:val="center"/>
          </w:tcPr>
          <w:p w14:paraId="0956073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rPr>
            </w:pPr>
          </w:p>
        </w:tc>
      </w:tr>
      <w:tr w14:paraId="0412F78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45" w:hRule="atLeast"/>
          <w:jc w:val="center"/>
        </w:trPr>
        <w:tc>
          <w:tcPr>
            <w:tcW w:w="1258" w:type="dxa"/>
            <w:vMerge w:val="restart"/>
            <w:tcBorders>
              <w:tl2br w:val="nil"/>
              <w:tr2bl w:val="nil"/>
            </w:tcBorders>
            <w:noWrap w:val="0"/>
            <w:vAlign w:val="center"/>
          </w:tcPr>
          <w:p w14:paraId="4089047F">
            <w:pPr>
              <w:pStyle w:val="43"/>
              <w:keepNext w:val="0"/>
              <w:keepLines w:val="0"/>
              <w:pageBreakBefore w:val="0"/>
              <w:shd w:val="clear"/>
              <w:kinsoku/>
              <w:wordWrap/>
              <w:overflowPunct/>
              <w:topLinePunct w:val="0"/>
              <w:autoSpaceDE/>
              <w:autoSpaceDN/>
              <w:bidi w:val="0"/>
              <w:adjustRightInd/>
              <w:spacing w:before="0" w:after="0"/>
              <w:ind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地表水环境</w:t>
            </w:r>
          </w:p>
        </w:tc>
        <w:tc>
          <w:tcPr>
            <w:tcW w:w="1575" w:type="dxa"/>
            <w:gridSpan w:val="2"/>
            <w:tcBorders>
              <w:tl2br w:val="nil"/>
              <w:tr2bl w:val="nil"/>
            </w:tcBorders>
            <w:noWrap w:val="0"/>
            <w:vAlign w:val="center"/>
          </w:tcPr>
          <w:p w14:paraId="2D9F28E5">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val="en-US" w:eastAsia="zh-CN"/>
              </w:rPr>
              <w:t>生活污水</w:t>
            </w:r>
          </w:p>
        </w:tc>
        <w:tc>
          <w:tcPr>
            <w:tcW w:w="895" w:type="dxa"/>
            <w:tcBorders>
              <w:tl2br w:val="nil"/>
              <w:tr2bl w:val="nil"/>
            </w:tcBorders>
            <w:noWrap w:val="0"/>
            <w:vAlign w:val="center"/>
          </w:tcPr>
          <w:p w14:paraId="61E78A11">
            <w:pPr>
              <w:pStyle w:val="43"/>
              <w:keepNext w:val="0"/>
              <w:keepLines w:val="0"/>
              <w:pageBreakBefore w:val="0"/>
              <w:widowControl w:val="0"/>
              <w:shd w:val="clear"/>
              <w:kinsoku/>
              <w:wordWrap/>
              <w:overflowPunct/>
              <w:topLinePunct w:val="0"/>
              <w:autoSpaceDE/>
              <w:autoSpaceDN/>
              <w:bidi w:val="0"/>
              <w:adjustRightInd/>
              <w:snapToGrid/>
              <w:spacing w:before="0" w:after="0"/>
              <w:ind w:left="-48" w:leftChars="-20" w:right="-48" w:rightChars="-20" w:firstLine="0" w:firstLineChars="0"/>
              <w:textAlignment w:val="auto"/>
              <w:rPr>
                <w:rFonts w:hint="default" w:ascii="Times New Roman" w:hAnsi="Times New Roman" w:eastAsia="宋体" w:cs="Times New Roman"/>
                <w:color w:val="auto"/>
                <w:kern w:val="1"/>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COD、SS</w:t>
            </w:r>
          </w:p>
        </w:tc>
        <w:tc>
          <w:tcPr>
            <w:tcW w:w="3675" w:type="dxa"/>
            <w:gridSpan w:val="2"/>
            <w:tcBorders>
              <w:tl2br w:val="nil"/>
              <w:tr2bl w:val="nil"/>
            </w:tcBorders>
            <w:noWrap w:val="0"/>
            <w:vAlign w:val="center"/>
          </w:tcPr>
          <w:p w14:paraId="1AE41CCE">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水质简单，泼洒地面抑尘，不外排</w:t>
            </w:r>
          </w:p>
        </w:tc>
        <w:tc>
          <w:tcPr>
            <w:tcW w:w="2345" w:type="dxa"/>
            <w:tcBorders>
              <w:tl2br w:val="nil"/>
              <w:tr2bl w:val="nil"/>
            </w:tcBorders>
            <w:noWrap w:val="0"/>
            <w:vAlign w:val="center"/>
          </w:tcPr>
          <w:p w14:paraId="6D5535A6">
            <w:pPr>
              <w:pStyle w:val="43"/>
              <w:keepNext w:val="0"/>
              <w:keepLines w:val="0"/>
              <w:pageBreakBefore w:val="0"/>
              <w:widowControl w:val="0"/>
              <w:shd w:val="clear"/>
              <w:kinsoku/>
              <w:wordWrap/>
              <w:overflowPunct/>
              <w:topLinePunct w:val="0"/>
              <w:autoSpaceDE/>
              <w:autoSpaceDN/>
              <w:bidi w:val="0"/>
              <w:adjustRightInd/>
              <w:snapToGrid/>
              <w:spacing w:line="264" w:lineRule="auto"/>
              <w:ind w:firstLine="0" w:firstLineChars="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747473D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45" w:hRule="atLeast"/>
          <w:jc w:val="center"/>
        </w:trPr>
        <w:tc>
          <w:tcPr>
            <w:tcW w:w="1258" w:type="dxa"/>
            <w:vMerge w:val="continue"/>
            <w:tcBorders>
              <w:tl2br w:val="nil"/>
              <w:tr2bl w:val="nil"/>
            </w:tcBorders>
            <w:noWrap w:val="0"/>
            <w:vAlign w:val="center"/>
          </w:tcPr>
          <w:p w14:paraId="647931F8">
            <w:pPr>
              <w:pStyle w:val="43"/>
              <w:keepNext w:val="0"/>
              <w:keepLines w:val="0"/>
              <w:pageBreakBefore w:val="0"/>
              <w:shd w:val="clear"/>
              <w:kinsoku/>
              <w:wordWrap/>
              <w:overflowPunct/>
              <w:topLinePunct w:val="0"/>
              <w:autoSpaceDE/>
              <w:autoSpaceDN/>
              <w:bidi w:val="0"/>
              <w:adjustRightInd/>
              <w:spacing w:before="0" w:after="0"/>
              <w:ind w:right="0"/>
              <w:textAlignment w:val="auto"/>
              <w:rPr>
                <w:rFonts w:hint="default" w:ascii="Times New Roman" w:hAnsi="Times New Roman" w:cs="Times New Roman"/>
                <w:color w:val="auto"/>
                <w:sz w:val="24"/>
                <w:szCs w:val="24"/>
                <w:highlight w:val="none"/>
              </w:rPr>
            </w:pPr>
          </w:p>
        </w:tc>
        <w:tc>
          <w:tcPr>
            <w:tcW w:w="1575" w:type="dxa"/>
            <w:gridSpan w:val="2"/>
            <w:tcBorders>
              <w:tl2br w:val="nil"/>
              <w:tr2bl w:val="nil"/>
            </w:tcBorders>
            <w:noWrap w:val="0"/>
            <w:vAlign w:val="center"/>
          </w:tcPr>
          <w:p w14:paraId="695E84E2">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eastAsia"/>
                <w:color w:val="auto"/>
                <w:sz w:val="24"/>
                <w:szCs w:val="24"/>
                <w:highlight w:val="none"/>
                <w:lang w:val="en-US" w:eastAsia="zh-CN"/>
              </w:rPr>
            </w:pPr>
            <w:r>
              <w:rPr>
                <w:rFonts w:hint="eastAsia"/>
                <w:color w:val="auto"/>
                <w:sz w:val="24"/>
                <w:szCs w:val="24"/>
                <w:highlight w:val="none"/>
                <w:lang w:val="en-US" w:eastAsia="zh-CN"/>
              </w:rPr>
              <w:t>洗车废水</w:t>
            </w:r>
          </w:p>
        </w:tc>
        <w:tc>
          <w:tcPr>
            <w:tcW w:w="895" w:type="dxa"/>
            <w:tcBorders>
              <w:tl2br w:val="nil"/>
              <w:tr2bl w:val="nil"/>
            </w:tcBorders>
            <w:noWrap w:val="0"/>
            <w:vAlign w:val="center"/>
          </w:tcPr>
          <w:p w14:paraId="4E34B32E">
            <w:pPr>
              <w:pStyle w:val="43"/>
              <w:keepNext w:val="0"/>
              <w:keepLines w:val="0"/>
              <w:pageBreakBefore w:val="0"/>
              <w:widowControl w:val="0"/>
              <w:shd w:val="clear"/>
              <w:kinsoku/>
              <w:wordWrap/>
              <w:overflowPunct/>
              <w:topLinePunct w:val="0"/>
              <w:autoSpaceDE/>
              <w:autoSpaceDN/>
              <w:bidi w:val="0"/>
              <w:adjustRightInd/>
              <w:snapToGrid/>
              <w:spacing w:before="0" w:after="0"/>
              <w:ind w:left="-48" w:leftChars="-20" w:right="-48" w:rightChars="-20" w:firstLine="0" w:firstLineChars="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SS</w:t>
            </w:r>
          </w:p>
        </w:tc>
        <w:tc>
          <w:tcPr>
            <w:tcW w:w="3675" w:type="dxa"/>
            <w:gridSpan w:val="2"/>
            <w:tcBorders>
              <w:tl2br w:val="nil"/>
              <w:tr2bl w:val="nil"/>
            </w:tcBorders>
            <w:noWrap w:val="0"/>
            <w:vAlign w:val="center"/>
          </w:tcPr>
          <w:p w14:paraId="58B73FC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依托现有洗车平台（设置有沉淀池和清水池），洗车废水</w:t>
            </w:r>
            <w:r>
              <w:rPr>
                <w:rFonts w:hint="eastAsia" w:ascii="Times New Roman" w:hAnsi="Times New Roman" w:eastAsia="宋体" w:cs="Times New Roman"/>
                <w:color w:val="auto"/>
                <w:sz w:val="24"/>
                <w:szCs w:val="24"/>
                <w:highlight w:val="none"/>
                <w:lang w:val="en-US" w:eastAsia="zh-CN"/>
              </w:rPr>
              <w:t>经沉淀池沉淀后，上层清水进入清水池回用于运输车辆冲洗</w:t>
            </w:r>
          </w:p>
        </w:tc>
        <w:tc>
          <w:tcPr>
            <w:tcW w:w="2345" w:type="dxa"/>
            <w:tcBorders>
              <w:tl2br w:val="nil"/>
              <w:tr2bl w:val="nil"/>
            </w:tcBorders>
            <w:noWrap w:val="0"/>
            <w:vAlign w:val="center"/>
          </w:tcPr>
          <w:p w14:paraId="444E333F">
            <w:pPr>
              <w:pStyle w:val="43"/>
              <w:keepNext w:val="0"/>
              <w:keepLines w:val="0"/>
              <w:pageBreakBefore w:val="0"/>
              <w:widowControl w:val="0"/>
              <w:shd w:val="clear"/>
              <w:kinsoku/>
              <w:wordWrap/>
              <w:overflowPunct/>
              <w:topLinePunct w:val="0"/>
              <w:autoSpaceDE/>
              <w:autoSpaceDN/>
              <w:bidi w:val="0"/>
              <w:adjustRightInd/>
              <w:snapToGrid/>
              <w:spacing w:line="264" w:lineRule="auto"/>
              <w:ind w:firstLine="0" w:firstLineChars="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2F2CC42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722" w:hRule="atLeast"/>
          <w:jc w:val="center"/>
        </w:trPr>
        <w:tc>
          <w:tcPr>
            <w:tcW w:w="1258" w:type="dxa"/>
            <w:tcBorders>
              <w:tl2br w:val="nil"/>
              <w:tr2bl w:val="nil"/>
            </w:tcBorders>
            <w:noWrap w:val="0"/>
            <w:vAlign w:val="center"/>
          </w:tcPr>
          <w:p w14:paraId="52C27607">
            <w:pPr>
              <w:pStyle w:val="43"/>
              <w:keepNext w:val="0"/>
              <w:keepLines w:val="0"/>
              <w:pageBreakBefore w:val="0"/>
              <w:widowControl w:val="0"/>
              <w:shd w:val="clear"/>
              <w:kinsoku/>
              <w:wordWrap/>
              <w:overflowPunct/>
              <w:topLinePunct w:val="0"/>
              <w:autoSpaceDE/>
              <w:autoSpaceDN/>
              <w:bidi w:val="0"/>
              <w:adjustRightInd/>
              <w:snapToGrid/>
              <w:spacing w:before="0" w:after="0"/>
              <w:ind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声环境</w:t>
            </w:r>
          </w:p>
        </w:tc>
        <w:tc>
          <w:tcPr>
            <w:tcW w:w="1575" w:type="dxa"/>
            <w:gridSpan w:val="2"/>
            <w:tcBorders>
              <w:tl2br w:val="nil"/>
              <w:tr2bl w:val="nil"/>
            </w:tcBorders>
            <w:noWrap w:val="0"/>
            <w:vAlign w:val="center"/>
          </w:tcPr>
          <w:p w14:paraId="2A6CDAA4">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生产设备运行</w:t>
            </w:r>
          </w:p>
        </w:tc>
        <w:tc>
          <w:tcPr>
            <w:tcW w:w="895" w:type="dxa"/>
            <w:tcBorders>
              <w:tl2br w:val="nil"/>
              <w:tr2bl w:val="nil"/>
            </w:tcBorders>
            <w:noWrap w:val="0"/>
            <w:vAlign w:val="center"/>
          </w:tcPr>
          <w:p w14:paraId="6B708DDD">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噪声</w:t>
            </w:r>
          </w:p>
        </w:tc>
        <w:tc>
          <w:tcPr>
            <w:tcW w:w="3675" w:type="dxa"/>
            <w:gridSpan w:val="2"/>
            <w:tcBorders>
              <w:tl2br w:val="nil"/>
              <w:tr2bl w:val="nil"/>
            </w:tcBorders>
            <w:noWrap w:val="0"/>
            <w:vAlign w:val="center"/>
          </w:tcPr>
          <w:p w14:paraId="7485A463">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基础减振，厂房隔声</w:t>
            </w:r>
          </w:p>
        </w:tc>
        <w:tc>
          <w:tcPr>
            <w:tcW w:w="2345" w:type="dxa"/>
            <w:tcBorders>
              <w:tl2br w:val="nil"/>
              <w:tr2bl w:val="nil"/>
            </w:tcBorders>
            <w:noWrap w:val="0"/>
            <w:vAlign w:val="center"/>
          </w:tcPr>
          <w:p w14:paraId="45BB8087">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厂界满足</w:t>
            </w:r>
            <w:r>
              <w:rPr>
                <w:rFonts w:hint="default" w:ascii="Times New Roman" w:hAnsi="Times New Roman" w:cs="Times New Roman"/>
                <w:color w:val="auto"/>
                <w:sz w:val="24"/>
                <w:szCs w:val="24"/>
                <w:highlight w:val="none"/>
              </w:rPr>
              <w:t>《工业企业厂界环境噪声排放标准》（GB12348-2008）中</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类标准</w:t>
            </w:r>
          </w:p>
        </w:tc>
      </w:tr>
      <w:tr w14:paraId="4BC853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84" w:hRule="atLeast"/>
          <w:jc w:val="center"/>
        </w:trPr>
        <w:tc>
          <w:tcPr>
            <w:tcW w:w="1258" w:type="dxa"/>
            <w:tcBorders>
              <w:tl2br w:val="nil"/>
              <w:tr2bl w:val="nil"/>
            </w:tcBorders>
            <w:noWrap w:val="0"/>
            <w:vAlign w:val="center"/>
          </w:tcPr>
          <w:p w14:paraId="48860607">
            <w:pPr>
              <w:pStyle w:val="43"/>
              <w:keepNext w:val="0"/>
              <w:keepLines w:val="0"/>
              <w:pageBreakBefore w:val="0"/>
              <w:shd w:val="clear"/>
              <w:kinsoku/>
              <w:wordWrap/>
              <w:overflowPunct/>
              <w:topLinePunct w:val="0"/>
              <w:autoSpaceDE/>
              <w:autoSpaceDN/>
              <w:bidi w:val="0"/>
              <w:adjustRightInd/>
              <w:spacing w:before="0" w:after="0"/>
              <w:ind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电磁辐射</w:t>
            </w:r>
          </w:p>
        </w:tc>
        <w:tc>
          <w:tcPr>
            <w:tcW w:w="1575" w:type="dxa"/>
            <w:gridSpan w:val="2"/>
            <w:tcBorders>
              <w:tl2br w:val="nil"/>
              <w:tr2bl w:val="nil"/>
            </w:tcBorders>
            <w:noWrap w:val="0"/>
            <w:vAlign w:val="center"/>
          </w:tcPr>
          <w:p w14:paraId="45B25B3B">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c>
          <w:tcPr>
            <w:tcW w:w="895" w:type="dxa"/>
            <w:tcBorders>
              <w:tl2br w:val="nil"/>
              <w:tr2bl w:val="nil"/>
            </w:tcBorders>
            <w:noWrap w:val="0"/>
            <w:vAlign w:val="center"/>
          </w:tcPr>
          <w:p w14:paraId="03AA0608">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c>
          <w:tcPr>
            <w:tcW w:w="3675" w:type="dxa"/>
            <w:gridSpan w:val="2"/>
            <w:tcBorders>
              <w:tl2br w:val="nil"/>
              <w:tr2bl w:val="nil"/>
            </w:tcBorders>
            <w:noWrap w:val="0"/>
            <w:vAlign w:val="center"/>
          </w:tcPr>
          <w:p w14:paraId="37CEFFCA">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c>
          <w:tcPr>
            <w:tcW w:w="2345" w:type="dxa"/>
            <w:tcBorders>
              <w:tl2br w:val="nil"/>
              <w:tr2bl w:val="nil"/>
            </w:tcBorders>
            <w:noWrap w:val="0"/>
            <w:vAlign w:val="center"/>
          </w:tcPr>
          <w:p w14:paraId="5BC05B9B">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r>
      <w:tr w14:paraId="7DD9A4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75" w:hRule="atLeast"/>
          <w:jc w:val="center"/>
        </w:trPr>
        <w:tc>
          <w:tcPr>
            <w:tcW w:w="1258" w:type="dxa"/>
            <w:vMerge w:val="restart"/>
            <w:tcBorders>
              <w:tl2br w:val="nil"/>
              <w:tr2bl w:val="nil"/>
            </w:tcBorders>
            <w:noWrap w:val="0"/>
            <w:vAlign w:val="center"/>
          </w:tcPr>
          <w:p w14:paraId="067F8B32">
            <w:pPr>
              <w:pStyle w:val="43"/>
              <w:shd w:val="clear"/>
              <w:bidi w:val="0"/>
              <w:ind w:firstLine="0" w:firstLine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固体废物</w:t>
            </w:r>
          </w:p>
        </w:tc>
        <w:tc>
          <w:tcPr>
            <w:tcW w:w="1575" w:type="dxa"/>
            <w:gridSpan w:val="2"/>
            <w:tcBorders>
              <w:tl2br w:val="nil"/>
              <w:tr2bl w:val="nil"/>
            </w:tcBorders>
            <w:noWrap w:val="0"/>
            <w:vAlign w:val="center"/>
          </w:tcPr>
          <w:p w14:paraId="257E5F19">
            <w:pPr>
              <w:keepNext w:val="0"/>
              <w:keepLines w:val="0"/>
              <w:pageBreakBefore w:val="0"/>
              <w:widowControl w:val="0"/>
              <w:shd w:val="clea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一般工业固体废物</w:t>
            </w:r>
          </w:p>
        </w:tc>
        <w:tc>
          <w:tcPr>
            <w:tcW w:w="6915" w:type="dxa"/>
            <w:gridSpan w:val="4"/>
            <w:tcBorders>
              <w:tl2br w:val="nil"/>
              <w:tr2bl w:val="nil"/>
            </w:tcBorders>
            <w:noWrap w:val="0"/>
            <w:vAlign w:val="center"/>
          </w:tcPr>
          <w:p w14:paraId="073D2ECE">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布袋除尘器产生的废布袋，</w:t>
            </w:r>
            <w:r>
              <w:rPr>
                <w:rFonts w:hint="default" w:ascii="Times New Roman" w:hAnsi="Times New Roman" w:eastAsia="宋体" w:cs="Times New Roman"/>
                <w:b w:val="0"/>
                <w:bCs/>
                <w:color w:val="auto"/>
                <w:sz w:val="24"/>
                <w:szCs w:val="24"/>
                <w:highlight w:val="none"/>
                <w:lang w:val="en-US" w:eastAsia="zh-CN"/>
              </w:rPr>
              <w:t>更换后，直接外售废品回收站</w:t>
            </w:r>
            <w:r>
              <w:rPr>
                <w:rFonts w:hint="eastAsia" w:ascii="Times New Roman" w:hAnsi="Times New Roman" w:eastAsia="宋体"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除尘灰</w:t>
            </w:r>
            <w:r>
              <w:rPr>
                <w:rFonts w:hint="eastAsia" w:cs="Times New Roman"/>
                <w:b w:val="0"/>
                <w:bCs/>
                <w:color w:val="auto"/>
                <w:sz w:val="24"/>
                <w:szCs w:val="24"/>
                <w:highlight w:val="none"/>
                <w:lang w:val="en-US" w:eastAsia="zh-CN"/>
              </w:rPr>
              <w:t>集中</w:t>
            </w:r>
            <w:r>
              <w:rPr>
                <w:rFonts w:hint="default" w:ascii="Times New Roman" w:hAnsi="Times New Roman" w:eastAsia="宋体" w:cs="Times New Roman"/>
                <w:b w:val="0"/>
                <w:bCs/>
                <w:color w:val="auto"/>
                <w:sz w:val="24"/>
                <w:szCs w:val="24"/>
                <w:highlight w:val="none"/>
                <w:lang w:val="en-US" w:eastAsia="zh-CN"/>
              </w:rPr>
              <w:t>收集</w:t>
            </w:r>
            <w:r>
              <w:rPr>
                <w:rFonts w:hint="eastAsia" w:cs="Times New Roman"/>
                <w:b w:val="0"/>
                <w:bCs/>
                <w:color w:val="auto"/>
                <w:sz w:val="24"/>
                <w:szCs w:val="24"/>
                <w:highlight w:val="none"/>
                <w:lang w:val="en-US" w:eastAsia="zh-CN"/>
              </w:rPr>
              <w:t>，</w:t>
            </w:r>
            <w:r>
              <w:rPr>
                <w:rFonts w:hint="eastAsia" w:cs="Times New Roman"/>
                <w:b w:val="0"/>
                <w:bCs/>
                <w:color w:val="auto"/>
                <w:sz w:val="24"/>
                <w:szCs w:val="24"/>
                <w:highlight w:val="none"/>
                <w:lang w:eastAsia="zh-CN"/>
              </w:rPr>
              <w:t>暂存于一般固废暂存间，定期外售水泥厂</w:t>
            </w:r>
            <w:r>
              <w:rPr>
                <w:rFonts w:hint="eastAsia" w:ascii="Times New Roman" w:hAnsi="Times New Roman" w:eastAsia="宋体" w:cs="Times New Roman"/>
                <w:b w:val="0"/>
                <w:bCs/>
                <w:color w:val="auto"/>
                <w:sz w:val="24"/>
                <w:szCs w:val="24"/>
                <w:highlight w:val="none"/>
                <w:lang w:eastAsia="zh-CN"/>
              </w:rPr>
              <w:t>；</w:t>
            </w:r>
            <w:r>
              <w:rPr>
                <w:rFonts w:hint="eastAsia" w:ascii="Times New Roman" w:hAnsi="Times New Roman" w:eastAsia="宋体" w:cs="Times New Roman"/>
                <w:b w:val="0"/>
                <w:bCs/>
                <w:color w:val="auto"/>
                <w:sz w:val="24"/>
                <w:szCs w:val="24"/>
                <w:highlight w:val="none"/>
                <w:lang w:val="en-US" w:eastAsia="zh-CN"/>
              </w:rPr>
              <w:t>沉淀池污泥定期清理，清理后直接</w:t>
            </w:r>
            <w:r>
              <w:rPr>
                <w:rFonts w:hint="default" w:ascii="Times New Roman" w:hAnsi="Times New Roman" w:eastAsia="宋体" w:cs="Times New Roman"/>
                <w:b w:val="0"/>
                <w:bCs/>
                <w:color w:val="auto"/>
                <w:sz w:val="24"/>
                <w:szCs w:val="24"/>
                <w:highlight w:val="none"/>
                <w:lang w:val="en-US" w:eastAsia="zh-CN"/>
              </w:rPr>
              <w:t>作外售</w:t>
            </w:r>
            <w:r>
              <w:rPr>
                <w:rFonts w:hint="eastAsia" w:ascii="Times New Roman" w:hAnsi="Times New Roman" w:eastAsia="宋体" w:cs="Times New Roman"/>
                <w:b w:val="0"/>
                <w:bCs/>
                <w:color w:val="auto"/>
                <w:sz w:val="24"/>
                <w:szCs w:val="24"/>
                <w:highlight w:val="none"/>
                <w:lang w:val="en-US" w:eastAsia="zh-CN"/>
              </w:rPr>
              <w:t>水泥厂；</w:t>
            </w:r>
            <w:r>
              <w:rPr>
                <w:rFonts w:hint="eastAsia" w:ascii="Times New Roman" w:hAnsi="Times New Roman" w:eastAsia="宋体" w:cs="Times New Roman"/>
                <w:b w:val="0"/>
                <w:bCs w:val="0"/>
                <w:color w:val="auto"/>
                <w:w w:val="100"/>
                <w:kern w:val="2"/>
                <w:sz w:val="24"/>
                <w:szCs w:val="24"/>
                <w:highlight w:val="none"/>
                <w:lang w:val="en-US" w:eastAsia="zh-CN" w:bidi="ar-SA"/>
              </w:rPr>
              <w:t>尾矿砂</w:t>
            </w:r>
            <w:r>
              <w:rPr>
                <w:rFonts w:hint="default" w:ascii="Times New Roman" w:hAnsi="Times New Roman" w:eastAsia="宋体" w:cs="Times New Roman"/>
                <w:b w:val="0"/>
                <w:bCs w:val="0"/>
                <w:color w:val="auto"/>
                <w:w w:val="100"/>
                <w:kern w:val="2"/>
                <w:sz w:val="24"/>
                <w:szCs w:val="24"/>
                <w:highlight w:val="none"/>
                <w:lang w:val="en-US" w:eastAsia="zh-CN" w:bidi="ar-SA"/>
              </w:rPr>
              <w:t>集中收集，</w:t>
            </w:r>
            <w:r>
              <w:rPr>
                <w:rFonts w:hint="eastAsia" w:cs="Times New Roman"/>
                <w:b w:val="0"/>
                <w:bCs/>
                <w:color w:val="auto"/>
                <w:sz w:val="24"/>
                <w:szCs w:val="24"/>
                <w:highlight w:val="none"/>
                <w:lang w:eastAsia="zh-CN"/>
              </w:rPr>
              <w:t>暂存于一般固废暂存间，</w:t>
            </w:r>
            <w:r>
              <w:rPr>
                <w:rFonts w:hint="eastAsia" w:cs="Times New Roman"/>
                <w:b w:val="0"/>
                <w:bCs w:val="0"/>
                <w:color w:val="auto"/>
                <w:w w:val="100"/>
                <w:kern w:val="2"/>
                <w:sz w:val="24"/>
                <w:szCs w:val="24"/>
                <w:highlight w:val="none"/>
                <w:lang w:val="en-US" w:eastAsia="zh-CN" w:bidi="ar-SA"/>
              </w:rPr>
              <w:t>定期</w:t>
            </w:r>
            <w:r>
              <w:rPr>
                <w:rFonts w:hint="default" w:ascii="Times New Roman" w:hAnsi="Times New Roman" w:eastAsia="宋体" w:cs="Times New Roman"/>
                <w:b w:val="0"/>
                <w:bCs w:val="0"/>
                <w:color w:val="auto"/>
                <w:w w:val="100"/>
                <w:kern w:val="2"/>
                <w:sz w:val="24"/>
                <w:szCs w:val="24"/>
                <w:highlight w:val="none"/>
                <w:lang w:val="en-US" w:eastAsia="zh-CN" w:bidi="ar-SA"/>
              </w:rPr>
              <w:t>外售至水泥厂</w:t>
            </w:r>
            <w:r>
              <w:rPr>
                <w:rFonts w:hint="eastAsia"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铁精粉</w:t>
            </w:r>
            <w:r>
              <w:rPr>
                <w:rFonts w:hint="default" w:ascii="Times New Roman" w:hAnsi="Times New Roman" w:eastAsia="宋体" w:cs="Times New Roman"/>
                <w:b w:val="0"/>
                <w:bCs w:val="0"/>
                <w:color w:val="auto"/>
                <w:w w:val="100"/>
                <w:kern w:val="2"/>
                <w:sz w:val="24"/>
                <w:szCs w:val="24"/>
                <w:highlight w:val="none"/>
                <w:lang w:val="en-US" w:eastAsia="zh-CN" w:bidi="ar-SA"/>
              </w:rPr>
              <w:t>集中收集，</w:t>
            </w:r>
            <w:r>
              <w:rPr>
                <w:rFonts w:hint="eastAsia" w:cs="Times New Roman"/>
                <w:b w:val="0"/>
                <w:bCs/>
                <w:color w:val="auto"/>
                <w:sz w:val="24"/>
                <w:szCs w:val="24"/>
                <w:highlight w:val="none"/>
                <w:lang w:eastAsia="zh-CN"/>
              </w:rPr>
              <w:t>暂存于一般固废暂存间，</w:t>
            </w:r>
            <w:r>
              <w:rPr>
                <w:rFonts w:hint="eastAsia" w:cs="Times New Roman"/>
                <w:b w:val="0"/>
                <w:bCs w:val="0"/>
                <w:color w:val="auto"/>
                <w:w w:val="100"/>
                <w:kern w:val="2"/>
                <w:sz w:val="24"/>
                <w:szCs w:val="24"/>
                <w:highlight w:val="none"/>
                <w:lang w:val="en-US" w:eastAsia="zh-CN" w:bidi="ar-SA"/>
              </w:rPr>
              <w:t>定期</w:t>
            </w:r>
            <w:r>
              <w:rPr>
                <w:rFonts w:hint="eastAsia" w:ascii="Times New Roman" w:hAnsi="Times New Roman" w:eastAsia="宋体" w:cs="Times New Roman"/>
                <w:b w:val="0"/>
                <w:bCs w:val="0"/>
                <w:color w:val="auto"/>
                <w:w w:val="100"/>
                <w:kern w:val="2"/>
                <w:sz w:val="24"/>
                <w:szCs w:val="24"/>
                <w:highlight w:val="none"/>
                <w:lang w:val="en-US" w:eastAsia="zh-CN" w:bidi="ar-SA"/>
              </w:rPr>
              <w:t>外售铁粉厂</w:t>
            </w:r>
            <w:r>
              <w:rPr>
                <w:rFonts w:hint="eastAsia" w:ascii="Times New Roman" w:hAnsi="Times New Roman" w:eastAsia="宋体" w:cs="Times New Roman"/>
                <w:b w:val="0"/>
                <w:bCs/>
                <w:color w:val="auto"/>
                <w:sz w:val="24"/>
                <w:szCs w:val="24"/>
                <w:highlight w:val="none"/>
                <w:lang w:val="en-US" w:eastAsia="zh-CN"/>
              </w:rPr>
              <w:t>。</w:t>
            </w:r>
          </w:p>
        </w:tc>
      </w:tr>
      <w:tr w14:paraId="4BD93AB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258" w:type="dxa"/>
            <w:vMerge w:val="continue"/>
            <w:tcBorders>
              <w:tl2br w:val="nil"/>
              <w:tr2bl w:val="nil"/>
            </w:tcBorders>
            <w:noWrap w:val="0"/>
            <w:vAlign w:val="center"/>
          </w:tcPr>
          <w:p w14:paraId="1F6A3469">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lang w:val="en-US" w:eastAsia="zh-CN"/>
              </w:rPr>
            </w:pPr>
          </w:p>
        </w:tc>
        <w:tc>
          <w:tcPr>
            <w:tcW w:w="1575" w:type="dxa"/>
            <w:gridSpan w:val="2"/>
            <w:tcBorders>
              <w:tl2br w:val="nil"/>
              <w:tr2bl w:val="nil"/>
            </w:tcBorders>
            <w:noWrap w:val="0"/>
            <w:vAlign w:val="center"/>
          </w:tcPr>
          <w:p w14:paraId="3BD669B9">
            <w:pPr>
              <w:keepNext w:val="0"/>
              <w:keepLines w:val="0"/>
              <w:pageBreakBefore w:val="0"/>
              <w:widowControl w:val="0"/>
              <w:shd w:val="clea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危险废物</w:t>
            </w:r>
          </w:p>
        </w:tc>
        <w:tc>
          <w:tcPr>
            <w:tcW w:w="6915" w:type="dxa"/>
            <w:gridSpan w:val="4"/>
            <w:tcBorders>
              <w:tl2br w:val="nil"/>
              <w:tr2bl w:val="nil"/>
            </w:tcBorders>
            <w:noWrap w:val="0"/>
            <w:vAlign w:val="center"/>
          </w:tcPr>
          <w:p w14:paraId="792C954A">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废润滑油、</w:t>
            </w:r>
            <w:r>
              <w:rPr>
                <w:rFonts w:hint="eastAsia" w:cs="Times New Roman"/>
                <w:color w:val="auto"/>
                <w:sz w:val="24"/>
                <w:szCs w:val="24"/>
                <w:highlight w:val="none"/>
                <w:lang w:val="en-US" w:eastAsia="zh-CN"/>
              </w:rPr>
              <w:t>废润滑油桶</w:t>
            </w:r>
            <w:r>
              <w:rPr>
                <w:rFonts w:hint="default" w:ascii="Times New Roman" w:hAnsi="Times New Roman" w:eastAsia="宋体" w:cs="Times New Roman"/>
                <w:color w:val="auto"/>
                <w:sz w:val="24"/>
                <w:szCs w:val="24"/>
                <w:highlight w:val="none"/>
                <w:lang w:val="en-US" w:eastAsia="zh-CN"/>
              </w:rPr>
              <w:t>分类收集，暂存于危险废物暂存间，定期委托</w:t>
            </w:r>
            <w:r>
              <w:rPr>
                <w:rFonts w:hint="eastAsia" w:cs="Times New Roman"/>
                <w:color w:val="auto"/>
                <w:sz w:val="24"/>
                <w:szCs w:val="24"/>
                <w:highlight w:val="none"/>
                <w:lang w:val="en-US" w:eastAsia="zh-CN"/>
              </w:rPr>
              <w:t>有资质的危险废物处置单位</w:t>
            </w:r>
            <w:r>
              <w:rPr>
                <w:rFonts w:hint="default" w:ascii="Times New Roman" w:hAnsi="Times New Roman" w:eastAsia="宋体" w:cs="Times New Roman"/>
                <w:color w:val="auto"/>
                <w:sz w:val="24"/>
                <w:szCs w:val="24"/>
                <w:highlight w:val="none"/>
                <w:lang w:val="en-US" w:eastAsia="zh-CN"/>
              </w:rPr>
              <w:t>进行处置</w:t>
            </w:r>
            <w:r>
              <w:rPr>
                <w:rFonts w:hint="eastAsia" w:ascii="Times New Roman" w:hAnsi="Times New Roman" w:eastAsia="宋体" w:cs="Times New Roman"/>
                <w:b w:val="0"/>
                <w:bCs w:val="0"/>
                <w:color w:val="auto"/>
                <w:sz w:val="24"/>
                <w:szCs w:val="24"/>
                <w:highlight w:val="none"/>
                <w:lang w:val="en-US" w:eastAsia="zh-CN"/>
              </w:rPr>
              <w:t>。</w:t>
            </w:r>
          </w:p>
        </w:tc>
      </w:tr>
      <w:tr w14:paraId="7AE4E51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55" w:hRule="atLeast"/>
          <w:jc w:val="center"/>
        </w:trPr>
        <w:tc>
          <w:tcPr>
            <w:tcW w:w="1258" w:type="dxa"/>
            <w:vMerge w:val="continue"/>
            <w:tcBorders>
              <w:tl2br w:val="nil"/>
              <w:tr2bl w:val="nil"/>
            </w:tcBorders>
            <w:noWrap w:val="0"/>
            <w:vAlign w:val="center"/>
          </w:tcPr>
          <w:p w14:paraId="2974710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lang w:val="en-US" w:eastAsia="zh-CN"/>
              </w:rPr>
            </w:pPr>
          </w:p>
        </w:tc>
        <w:tc>
          <w:tcPr>
            <w:tcW w:w="1575" w:type="dxa"/>
            <w:gridSpan w:val="2"/>
            <w:tcBorders>
              <w:tl2br w:val="nil"/>
              <w:tr2bl w:val="nil"/>
            </w:tcBorders>
            <w:noWrap w:val="0"/>
            <w:vAlign w:val="center"/>
          </w:tcPr>
          <w:p w14:paraId="7B853E27">
            <w:pPr>
              <w:keepNext w:val="0"/>
              <w:keepLines w:val="0"/>
              <w:pageBreakBefore w:val="0"/>
              <w:widowControl w:val="0"/>
              <w:shd w:val="clea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生活垃圾</w:t>
            </w:r>
          </w:p>
        </w:tc>
        <w:tc>
          <w:tcPr>
            <w:tcW w:w="6915" w:type="dxa"/>
            <w:gridSpan w:val="4"/>
            <w:tcBorders>
              <w:tl2br w:val="nil"/>
              <w:tr2bl w:val="nil"/>
            </w:tcBorders>
            <w:noWrap w:val="0"/>
            <w:vAlign w:val="center"/>
          </w:tcPr>
          <w:p w14:paraId="10AB629B">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color w:val="auto"/>
                <w:spacing w:val="-6"/>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本项目职工生活会产生一定量的生活垃圾，主要为废纸、废塑料袋等，袋装化，集中收集，送当地环卫部门指定地点统一处理。</w:t>
            </w:r>
          </w:p>
        </w:tc>
      </w:tr>
      <w:tr w14:paraId="65917D7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610" w:hRule="atLeast"/>
          <w:jc w:val="center"/>
        </w:trPr>
        <w:tc>
          <w:tcPr>
            <w:tcW w:w="1258" w:type="dxa"/>
            <w:tcBorders>
              <w:tl2br w:val="nil"/>
              <w:tr2bl w:val="nil"/>
            </w:tcBorders>
            <w:noWrap w:val="0"/>
            <w:vAlign w:val="center"/>
          </w:tcPr>
          <w:p w14:paraId="06361731">
            <w:pPr>
              <w:pStyle w:val="43"/>
              <w:shd w:val="clear"/>
              <w:bidi w:val="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土壤及地下水污染防治措施</w:t>
            </w:r>
          </w:p>
        </w:tc>
        <w:tc>
          <w:tcPr>
            <w:tcW w:w="8490" w:type="dxa"/>
            <w:gridSpan w:val="6"/>
            <w:tcBorders>
              <w:tl2br w:val="nil"/>
              <w:tr2bl w:val="nil"/>
            </w:tcBorders>
            <w:noWrap w:val="0"/>
            <w:vAlign w:val="center"/>
          </w:tcPr>
          <w:p w14:paraId="2E9DD0CA">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1"/>
                <w:highlight w:val="none"/>
                <w:lang w:bidi="ar"/>
              </w:rPr>
            </w:pPr>
            <w:r>
              <w:rPr>
                <w:rFonts w:hint="default" w:ascii="Times New Roman" w:hAnsi="Times New Roman" w:eastAsia="宋体" w:cs="Times New Roman"/>
                <w:color w:val="auto"/>
                <w:sz w:val="24"/>
                <w:szCs w:val="21"/>
                <w:highlight w:val="none"/>
                <w:lang w:bidi="ar"/>
              </w:rPr>
              <w:t>⑴源头控制措施</w:t>
            </w:r>
          </w:p>
          <w:p w14:paraId="3B32A601">
            <w:pPr>
              <w:pStyle w:val="65"/>
              <w:keepNext w:val="0"/>
              <w:keepLines w:val="0"/>
              <w:pageBreakBefore w:val="0"/>
              <w:shd w:val="clear"/>
              <w:kinsoku/>
              <w:wordWrap/>
              <w:overflowPunct/>
              <w:topLinePunct w:val="0"/>
              <w:autoSpaceDE/>
              <w:autoSpaceDN/>
              <w:bidi w:val="0"/>
              <w:spacing w:line="480" w:lineRule="exact"/>
              <w:ind w:firstLine="480" w:firstLineChars="200"/>
              <w:rPr>
                <w:color w:val="auto"/>
                <w:kern w:val="0"/>
                <w:szCs w:val="24"/>
                <w:highlight w:val="none"/>
                <w:lang w:bidi="ar"/>
              </w:rPr>
            </w:pPr>
            <w:r>
              <w:rPr>
                <w:color w:val="auto"/>
                <w:kern w:val="0"/>
                <w:szCs w:val="24"/>
                <w:highlight w:val="none"/>
                <w:lang w:bidi="ar"/>
              </w:rPr>
              <w:t>源头控制的措施首先是领导重视，全员加强安全生产和环境保护意识，只有这样才有可能从工程建设、生产和建设期后各阶段的工程活动，都能在相关的法律法规约束下，将安全生产和清洁生产作为一种自觉的行动，降低甚至杜绝突发事故的发生。</w:t>
            </w:r>
          </w:p>
          <w:p w14:paraId="3C247D29">
            <w:pPr>
              <w:pStyle w:val="65"/>
              <w:keepNext w:val="0"/>
              <w:keepLines w:val="0"/>
              <w:pageBreakBefore w:val="0"/>
              <w:shd w:val="clear"/>
              <w:kinsoku/>
              <w:wordWrap/>
              <w:overflowPunct/>
              <w:topLinePunct w:val="0"/>
              <w:autoSpaceDE/>
              <w:autoSpaceDN/>
              <w:bidi w:val="0"/>
              <w:spacing w:line="480" w:lineRule="exact"/>
              <w:ind w:firstLine="480" w:firstLineChars="200"/>
              <w:rPr>
                <w:color w:val="auto"/>
                <w:kern w:val="0"/>
                <w:szCs w:val="24"/>
                <w:highlight w:val="none"/>
                <w:lang w:bidi="ar"/>
              </w:rPr>
            </w:pPr>
            <w:r>
              <w:rPr>
                <w:color w:val="auto"/>
                <w:kern w:val="0"/>
                <w:szCs w:val="24"/>
                <w:highlight w:val="none"/>
                <w:lang w:bidi="ar"/>
              </w:rPr>
              <w:t>加强危险废物暂存间</w:t>
            </w:r>
            <w:r>
              <w:rPr>
                <w:rFonts w:hint="eastAsia"/>
                <w:color w:val="auto"/>
                <w:kern w:val="0"/>
                <w:szCs w:val="24"/>
                <w:highlight w:val="none"/>
                <w:lang w:bidi="ar"/>
              </w:rPr>
              <w:t>、</w:t>
            </w:r>
            <w:r>
              <w:rPr>
                <w:rFonts w:hint="eastAsia"/>
                <w:color w:val="auto"/>
                <w:kern w:val="0"/>
                <w:szCs w:val="24"/>
                <w:highlight w:val="none"/>
                <w:lang w:eastAsia="zh-CN" w:bidi="ar"/>
              </w:rPr>
              <w:t>生产区</w:t>
            </w:r>
            <w:r>
              <w:rPr>
                <w:color w:val="auto"/>
                <w:kern w:val="0"/>
                <w:szCs w:val="24"/>
                <w:highlight w:val="none"/>
                <w:lang w:bidi="ar"/>
              </w:rPr>
              <w:t>的巡视和监控。在项目运营过程中，要定期对设备进行维护，保持设备运行处于良好的状态；定期检查建、构筑物是否存在异常</w:t>
            </w:r>
            <w:r>
              <w:rPr>
                <w:rFonts w:hint="eastAsia"/>
                <w:color w:val="auto"/>
                <w:kern w:val="0"/>
                <w:szCs w:val="24"/>
                <w:highlight w:val="none"/>
                <w:lang w:bidi="ar"/>
              </w:rPr>
              <w:t>；</w:t>
            </w:r>
            <w:r>
              <w:rPr>
                <w:bCs/>
                <w:color w:val="auto"/>
                <w:szCs w:val="24"/>
                <w:highlight w:val="none"/>
                <w:lang w:bidi="ar"/>
              </w:rPr>
              <w:t>对于</w:t>
            </w:r>
            <w:r>
              <w:rPr>
                <w:rFonts w:hint="eastAsia"/>
                <w:bCs/>
                <w:color w:val="auto"/>
                <w:szCs w:val="24"/>
                <w:highlight w:val="none"/>
                <w:lang w:eastAsia="zh-CN" w:bidi="ar"/>
              </w:rPr>
              <w:t>润滑油，</w:t>
            </w:r>
            <w:r>
              <w:rPr>
                <w:bCs/>
                <w:color w:val="auto"/>
                <w:szCs w:val="24"/>
                <w:highlight w:val="none"/>
                <w:lang w:bidi="ar"/>
              </w:rPr>
              <w:t>保证其包装完好，装卸、使用、储存过程中不要损坏其包装桶，</w:t>
            </w:r>
            <w:r>
              <w:rPr>
                <w:color w:val="auto"/>
                <w:kern w:val="0"/>
                <w:szCs w:val="24"/>
                <w:highlight w:val="none"/>
                <w:lang w:bidi="ar"/>
              </w:rPr>
              <w:t>杜绝</w:t>
            </w:r>
            <w:r>
              <w:rPr>
                <w:rFonts w:hint="eastAsia"/>
                <w:color w:val="auto"/>
                <w:kern w:val="0"/>
                <w:szCs w:val="24"/>
                <w:highlight w:val="none"/>
                <w:lang w:eastAsia="zh-CN" w:bidi="ar"/>
              </w:rPr>
              <w:t>润滑油</w:t>
            </w:r>
            <w:r>
              <w:rPr>
                <w:color w:val="auto"/>
                <w:kern w:val="0"/>
                <w:szCs w:val="24"/>
                <w:highlight w:val="none"/>
                <w:lang w:bidi="ar"/>
              </w:rPr>
              <w:t>的跑、冒、滴、漏现象产生，力求将泄漏的环境风险事故降低到最低程度。本项目</w:t>
            </w:r>
            <w:r>
              <w:rPr>
                <w:rFonts w:hint="eastAsia"/>
                <w:color w:val="auto"/>
                <w:kern w:val="0"/>
                <w:szCs w:val="24"/>
                <w:highlight w:val="none"/>
                <w:lang w:bidi="ar"/>
              </w:rPr>
              <w:t>着重</w:t>
            </w:r>
            <w:r>
              <w:rPr>
                <w:rFonts w:hint="eastAsia"/>
                <w:bCs/>
                <w:color w:val="auto"/>
                <w:szCs w:val="24"/>
                <w:highlight w:val="none"/>
                <w:lang w:bidi="ar"/>
              </w:rPr>
              <w:t>对车间内</w:t>
            </w:r>
            <w:r>
              <w:rPr>
                <w:bCs/>
                <w:color w:val="auto"/>
                <w:szCs w:val="24"/>
                <w:highlight w:val="none"/>
                <w:lang w:bidi="ar"/>
              </w:rPr>
              <w:t>使用润滑油设备</w:t>
            </w:r>
            <w:r>
              <w:rPr>
                <w:color w:val="auto"/>
                <w:kern w:val="0"/>
                <w:szCs w:val="24"/>
                <w:highlight w:val="none"/>
                <w:lang w:bidi="ar"/>
              </w:rPr>
              <w:t>危险废物暂存间定期</w:t>
            </w:r>
            <w:r>
              <w:rPr>
                <w:rFonts w:hint="eastAsia"/>
                <w:color w:val="auto"/>
                <w:kern w:val="0"/>
                <w:szCs w:val="24"/>
                <w:highlight w:val="none"/>
                <w:lang w:val="en-US" w:eastAsia="zh-CN" w:bidi="ar"/>
              </w:rPr>
              <w:t>检查维护</w:t>
            </w:r>
            <w:r>
              <w:rPr>
                <w:color w:val="auto"/>
                <w:kern w:val="0"/>
                <w:szCs w:val="24"/>
                <w:highlight w:val="none"/>
                <w:lang w:bidi="ar"/>
              </w:rPr>
              <w:t>，对</w:t>
            </w:r>
            <w:r>
              <w:rPr>
                <w:rFonts w:hint="eastAsia"/>
                <w:color w:val="auto"/>
                <w:kern w:val="0"/>
                <w:szCs w:val="24"/>
                <w:highlight w:val="none"/>
                <w:lang w:bidi="ar"/>
              </w:rPr>
              <w:t>车间</w:t>
            </w:r>
            <w:r>
              <w:rPr>
                <w:color w:val="auto"/>
                <w:kern w:val="0"/>
                <w:szCs w:val="24"/>
                <w:highlight w:val="none"/>
                <w:lang w:bidi="ar"/>
              </w:rPr>
              <w:t>地面防渗措施进行定期检查，保证防渗措施的有效性。</w:t>
            </w:r>
          </w:p>
          <w:p w14:paraId="2BEB2A3F">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⑵过程防控措施</w:t>
            </w:r>
          </w:p>
          <w:p w14:paraId="6E34AF4C">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①</w:t>
            </w:r>
            <w:r>
              <w:rPr>
                <w:rFonts w:hint="default" w:ascii="Times New Roman" w:hAnsi="Times New Roman" w:eastAsia="宋体" w:cs="Times New Roman"/>
                <w:color w:val="auto"/>
                <w:sz w:val="24"/>
                <w:highlight w:val="none"/>
              </w:rPr>
              <w:t>大气沉降防控措施</w:t>
            </w:r>
          </w:p>
          <w:p w14:paraId="77EC4A11">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在厂区外多种植能够吸附粉尘的植物，使项目排放的污染物落至土壤上的量减少，从而减少对土壤的污染。</w:t>
            </w:r>
          </w:p>
          <w:p w14:paraId="3EFF9A0B">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②</w:t>
            </w:r>
            <w:r>
              <w:rPr>
                <w:rFonts w:hint="default" w:ascii="Times New Roman" w:hAnsi="Times New Roman" w:eastAsia="宋体" w:cs="Times New Roman"/>
                <w:color w:val="auto"/>
                <w:sz w:val="24"/>
                <w:highlight w:val="none"/>
              </w:rPr>
              <w:t>垂直入渗防控措施</w:t>
            </w:r>
          </w:p>
          <w:p w14:paraId="5C60545C">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2"/>
                <w:highlight w:val="none"/>
                <w:lang w:bidi="ar"/>
              </w:rPr>
            </w:pPr>
            <w:r>
              <w:rPr>
                <w:rFonts w:hint="default" w:ascii="Times New Roman" w:hAnsi="Times New Roman" w:eastAsia="宋体" w:cs="Times New Roman"/>
                <w:color w:val="auto"/>
                <w:sz w:val="24"/>
                <w:szCs w:val="21"/>
                <w:highlight w:val="none"/>
                <w:lang w:bidi="ar"/>
              </w:rPr>
              <w:t>对厂区可能泄漏污染物的地面进行防渗处理，可有效防止污染物渗入地下，并及时地将泄漏、渗漏的污染物收集并进行集中处理。</w:t>
            </w:r>
            <w:r>
              <w:rPr>
                <w:rFonts w:hint="eastAsia" w:cs="Times New Roman"/>
                <w:color w:val="auto"/>
                <w:sz w:val="24"/>
                <w:szCs w:val="21"/>
                <w:highlight w:val="none"/>
                <w:lang w:eastAsia="zh-CN" w:bidi="ar"/>
              </w:rPr>
              <w:t>现有工程建构筑物已按要求进行了防渗处理。</w:t>
            </w:r>
            <w:r>
              <w:rPr>
                <w:rFonts w:hint="default" w:ascii="Times New Roman" w:hAnsi="Times New Roman" w:eastAsia="宋体" w:cs="Times New Roman"/>
                <w:color w:val="auto"/>
                <w:sz w:val="24"/>
                <w:szCs w:val="21"/>
                <w:highlight w:val="none"/>
                <w:lang w:bidi="ar"/>
              </w:rPr>
              <w:t>按照《防渗技术规范》要求</w:t>
            </w:r>
            <w:r>
              <w:rPr>
                <w:rFonts w:hint="eastAsia" w:cs="Times New Roman"/>
                <w:color w:val="auto"/>
                <w:sz w:val="24"/>
                <w:szCs w:val="21"/>
                <w:highlight w:val="none"/>
                <w:lang w:eastAsia="zh-CN" w:bidi="ar"/>
              </w:rPr>
              <w:t>对本次新建的预处理车间进行防渗处理。</w:t>
            </w:r>
            <w:r>
              <w:rPr>
                <w:rFonts w:hint="default" w:ascii="Times New Roman" w:hAnsi="Times New Roman" w:eastAsia="宋体" w:cs="Times New Roman"/>
                <w:color w:val="auto"/>
                <w:sz w:val="24"/>
                <w:szCs w:val="22"/>
                <w:highlight w:val="none"/>
                <w:lang w:bidi="ar"/>
              </w:rPr>
              <w:t>防渗措施为采用等效黏土防渗层Mb≥1.5m，K≤1×10</w:t>
            </w:r>
            <w:r>
              <w:rPr>
                <w:rFonts w:hint="default" w:ascii="Times New Roman" w:hAnsi="Times New Roman" w:eastAsia="宋体" w:cs="Times New Roman"/>
                <w:snapToGrid w:val="0"/>
                <w:color w:val="auto"/>
                <w:kern w:val="0"/>
                <w:sz w:val="24"/>
                <w:szCs w:val="24"/>
                <w:highlight w:val="none"/>
                <w:vertAlign w:val="superscript"/>
              </w:rPr>
              <w:t>-7</w:t>
            </w:r>
            <w:r>
              <w:rPr>
                <w:rFonts w:hint="default" w:ascii="Times New Roman" w:hAnsi="Times New Roman" w:eastAsia="宋体" w:cs="Times New Roman"/>
                <w:color w:val="auto"/>
                <w:sz w:val="24"/>
                <w:szCs w:val="22"/>
                <w:highlight w:val="none"/>
                <w:lang w:bidi="ar"/>
              </w:rPr>
              <w:t>cm/s，或参考GB</w:t>
            </w:r>
            <w:r>
              <w:rPr>
                <w:rFonts w:hint="eastAsia" w:cs="Times New Roman"/>
                <w:color w:val="auto"/>
                <w:sz w:val="24"/>
                <w:szCs w:val="22"/>
                <w:highlight w:val="none"/>
                <w:lang w:eastAsia="zh-CN" w:bidi="ar"/>
              </w:rPr>
              <w:t>16889</w:t>
            </w:r>
            <w:r>
              <w:rPr>
                <w:rFonts w:hint="default" w:ascii="Times New Roman" w:hAnsi="Times New Roman" w:eastAsia="宋体" w:cs="Times New Roman"/>
                <w:color w:val="auto"/>
                <w:sz w:val="24"/>
                <w:szCs w:val="22"/>
                <w:highlight w:val="none"/>
                <w:lang w:bidi="ar"/>
              </w:rPr>
              <w:t>执行。</w:t>
            </w:r>
          </w:p>
          <w:p w14:paraId="0BAADCA5">
            <w:pPr>
              <w:keepNext w:val="0"/>
              <w:keepLines w:val="0"/>
              <w:pageBreakBefore w:val="0"/>
              <w:widowControl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2"/>
                <w:highlight w:val="none"/>
                <w:lang w:bidi="ar"/>
              </w:rPr>
              <w:t>项目对可能产生土壤</w:t>
            </w:r>
            <w:r>
              <w:rPr>
                <w:rFonts w:hint="eastAsia"/>
                <w:color w:val="auto"/>
                <w:highlight w:val="none"/>
                <w:lang w:eastAsia="zh-CN"/>
              </w:rPr>
              <w:t>、</w:t>
            </w:r>
            <w:r>
              <w:rPr>
                <w:rFonts w:hint="eastAsia"/>
                <w:color w:val="auto"/>
                <w:highlight w:val="none"/>
                <w:lang w:val="en-US" w:eastAsia="zh-CN"/>
              </w:rPr>
              <w:t>地下水</w:t>
            </w:r>
            <w:r>
              <w:rPr>
                <w:rFonts w:hint="default" w:ascii="Times New Roman" w:hAnsi="Times New Roman" w:eastAsia="宋体" w:cs="Times New Roman"/>
                <w:color w:val="auto"/>
                <w:sz w:val="24"/>
                <w:szCs w:val="22"/>
                <w:highlight w:val="none"/>
                <w:lang w:bidi="ar"/>
              </w:rPr>
              <w:t>影响的各项途径进行有效预防，在做好各项防渗措施，加强维护和厂区环境管理的基础上，可有效控制厂区内的污染物渗漏至土壤</w:t>
            </w:r>
            <w:r>
              <w:rPr>
                <w:rFonts w:hint="eastAsia"/>
                <w:color w:val="auto"/>
                <w:highlight w:val="none"/>
                <w:lang w:eastAsia="zh-CN"/>
              </w:rPr>
              <w:t>、</w:t>
            </w:r>
            <w:r>
              <w:rPr>
                <w:rFonts w:hint="eastAsia"/>
                <w:color w:val="auto"/>
                <w:highlight w:val="none"/>
                <w:lang w:val="en-US" w:eastAsia="zh-CN"/>
              </w:rPr>
              <w:t>地下水</w:t>
            </w:r>
            <w:r>
              <w:rPr>
                <w:rFonts w:hint="default" w:ascii="Times New Roman" w:hAnsi="Times New Roman" w:eastAsia="宋体" w:cs="Times New Roman"/>
                <w:color w:val="auto"/>
                <w:sz w:val="24"/>
                <w:szCs w:val="22"/>
                <w:highlight w:val="none"/>
                <w:lang w:bidi="ar"/>
              </w:rPr>
              <w:t>中的现象，避免土壤</w:t>
            </w:r>
            <w:r>
              <w:rPr>
                <w:rFonts w:hint="eastAsia" w:ascii="Times New Roman" w:hAnsi="Times New Roman" w:eastAsia="宋体" w:cs="Times New Roman"/>
                <w:color w:val="auto"/>
                <w:sz w:val="24"/>
                <w:szCs w:val="22"/>
                <w:highlight w:val="none"/>
                <w:lang w:eastAsia="zh-CN" w:bidi="ar"/>
              </w:rPr>
              <w:t>、</w:t>
            </w:r>
            <w:r>
              <w:rPr>
                <w:rFonts w:hint="eastAsia" w:ascii="Times New Roman" w:hAnsi="Times New Roman" w:eastAsia="宋体" w:cs="Times New Roman"/>
                <w:color w:val="auto"/>
                <w:sz w:val="24"/>
                <w:szCs w:val="22"/>
                <w:highlight w:val="none"/>
                <w:lang w:val="en-US" w:eastAsia="zh-CN" w:bidi="ar"/>
              </w:rPr>
              <w:t>地下水</w:t>
            </w:r>
            <w:r>
              <w:rPr>
                <w:rFonts w:hint="default" w:ascii="Times New Roman" w:hAnsi="Times New Roman" w:eastAsia="宋体" w:cs="Times New Roman"/>
                <w:color w:val="auto"/>
                <w:sz w:val="24"/>
                <w:szCs w:val="22"/>
                <w:highlight w:val="none"/>
                <w:lang w:bidi="ar"/>
              </w:rPr>
              <w:t>的污染。综上所述，项目</w:t>
            </w:r>
            <w:r>
              <w:rPr>
                <w:rFonts w:hint="default" w:ascii="Times New Roman" w:hAnsi="Times New Roman" w:eastAsia="宋体" w:cs="Times New Roman"/>
                <w:color w:val="auto"/>
                <w:sz w:val="24"/>
                <w:szCs w:val="22"/>
                <w:highlight w:val="none"/>
                <w:lang w:val="en-US" w:eastAsia="zh-CN" w:bidi="ar"/>
              </w:rPr>
              <w:t>运营</w:t>
            </w:r>
            <w:r>
              <w:rPr>
                <w:rFonts w:hint="default" w:ascii="Times New Roman" w:hAnsi="Times New Roman" w:eastAsia="宋体" w:cs="Times New Roman"/>
                <w:color w:val="auto"/>
                <w:sz w:val="24"/>
                <w:szCs w:val="22"/>
                <w:highlight w:val="none"/>
                <w:lang w:bidi="ar"/>
              </w:rPr>
              <w:t>后对土壤</w:t>
            </w:r>
            <w:r>
              <w:rPr>
                <w:rFonts w:hint="eastAsia" w:ascii="Times New Roman" w:hAnsi="Times New Roman" w:eastAsia="宋体" w:cs="Times New Roman"/>
                <w:color w:val="auto"/>
                <w:sz w:val="24"/>
                <w:szCs w:val="22"/>
                <w:highlight w:val="none"/>
                <w:lang w:eastAsia="zh-CN" w:bidi="ar"/>
              </w:rPr>
              <w:t>、</w:t>
            </w:r>
            <w:r>
              <w:rPr>
                <w:rFonts w:hint="eastAsia" w:ascii="Times New Roman" w:hAnsi="Times New Roman" w:eastAsia="宋体" w:cs="Times New Roman"/>
                <w:color w:val="auto"/>
                <w:sz w:val="24"/>
                <w:szCs w:val="22"/>
                <w:highlight w:val="none"/>
                <w:lang w:val="en-US" w:eastAsia="zh-CN" w:bidi="ar"/>
              </w:rPr>
              <w:t>地下水</w:t>
            </w:r>
            <w:r>
              <w:rPr>
                <w:rFonts w:hint="default" w:ascii="Times New Roman" w:hAnsi="Times New Roman" w:eastAsia="宋体" w:cs="Times New Roman"/>
                <w:color w:val="auto"/>
                <w:sz w:val="24"/>
                <w:szCs w:val="22"/>
                <w:highlight w:val="none"/>
                <w:lang w:bidi="ar"/>
              </w:rPr>
              <w:t>环境影响较小</w:t>
            </w:r>
            <w:r>
              <w:rPr>
                <w:rFonts w:hint="eastAsia" w:ascii="Times New Roman" w:hAnsi="Times New Roman" w:eastAsia="宋体" w:cs="Times New Roman"/>
                <w:color w:val="auto"/>
                <w:sz w:val="24"/>
                <w:szCs w:val="22"/>
                <w:highlight w:val="none"/>
                <w:lang w:eastAsia="zh-CN" w:bidi="ar"/>
              </w:rPr>
              <w:t>，</w:t>
            </w:r>
            <w:r>
              <w:rPr>
                <w:rFonts w:hint="eastAsia" w:ascii="Times New Roman" w:hAnsi="Times New Roman" w:eastAsia="宋体" w:cs="Times New Roman"/>
                <w:color w:val="auto"/>
                <w:sz w:val="24"/>
                <w:szCs w:val="22"/>
                <w:highlight w:val="none"/>
                <w:lang w:val="en-US" w:eastAsia="zh-CN" w:bidi="ar"/>
              </w:rPr>
              <w:t>措施可行。</w:t>
            </w:r>
          </w:p>
        </w:tc>
      </w:tr>
      <w:tr w14:paraId="4ECA2E7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70" w:hRule="atLeast"/>
          <w:jc w:val="center"/>
        </w:trPr>
        <w:tc>
          <w:tcPr>
            <w:tcW w:w="1258" w:type="dxa"/>
            <w:tcBorders>
              <w:tl2br w:val="nil"/>
              <w:tr2bl w:val="nil"/>
            </w:tcBorders>
            <w:noWrap w:val="0"/>
            <w:vAlign w:val="center"/>
          </w:tcPr>
          <w:p w14:paraId="1220F634">
            <w:pPr>
              <w:pStyle w:val="43"/>
              <w:shd w:val="clear"/>
              <w:bidi w:val="0"/>
              <w:ind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生态保护措施</w:t>
            </w:r>
          </w:p>
        </w:tc>
        <w:tc>
          <w:tcPr>
            <w:tcW w:w="8490" w:type="dxa"/>
            <w:gridSpan w:val="6"/>
            <w:tcBorders>
              <w:tl2br w:val="nil"/>
              <w:tr2bl w:val="nil"/>
            </w:tcBorders>
            <w:noWrap w:val="0"/>
            <w:vAlign w:val="center"/>
          </w:tcPr>
          <w:p w14:paraId="5E26E395">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本项目位于河北省唐山市滦州市雷庄镇耀隆宝峰矿业有限公司院内，依托原有厂区进行建设，不新增占地，项目用地范围内无生态环境保护目标</w:t>
            </w:r>
            <w:r>
              <w:rPr>
                <w:rFonts w:hint="default" w:ascii="Times New Roman" w:hAnsi="Times New Roman" w:eastAsia="宋体" w:cs="Times New Roman"/>
                <w:color w:val="auto"/>
                <w:sz w:val="24"/>
                <w:szCs w:val="24"/>
                <w:highlight w:val="none"/>
                <w:lang w:val="en-US" w:eastAsia="zh-CN"/>
              </w:rPr>
              <w:t>。</w:t>
            </w:r>
          </w:p>
        </w:tc>
      </w:tr>
      <w:tr w14:paraId="027D76E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1258" w:type="dxa"/>
            <w:tcBorders>
              <w:tl2br w:val="nil"/>
              <w:tr2bl w:val="nil"/>
            </w:tcBorders>
            <w:noWrap w:val="0"/>
            <w:vAlign w:val="center"/>
          </w:tcPr>
          <w:p w14:paraId="12D8BBC0">
            <w:pPr>
              <w:pStyle w:val="43"/>
              <w:shd w:val="clear"/>
              <w:bidi w:val="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环境风险防范措施</w:t>
            </w:r>
          </w:p>
        </w:tc>
        <w:tc>
          <w:tcPr>
            <w:tcW w:w="8490" w:type="dxa"/>
            <w:gridSpan w:val="6"/>
            <w:tcBorders>
              <w:tl2br w:val="nil"/>
              <w:tr2bl w:val="nil"/>
            </w:tcBorders>
            <w:noWrap w:val="0"/>
            <w:vAlign w:val="center"/>
          </w:tcPr>
          <w:p w14:paraId="162ADD5F">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auto"/>
                <w:highlight w:val="none"/>
                <w:lang w:bidi="ar"/>
              </w:rPr>
            </w:pPr>
            <w:r>
              <w:rPr>
                <w:rFonts w:hint="eastAsia"/>
                <w:color w:val="auto"/>
                <w:highlight w:val="none"/>
                <w:lang w:bidi="ar"/>
              </w:rPr>
              <w:t>⑴危险废物暂存间</w:t>
            </w:r>
            <w:r>
              <w:rPr>
                <w:rFonts w:hint="eastAsia"/>
                <w:color w:val="auto"/>
                <w:highlight w:val="none"/>
                <w:lang w:val="en-US" w:eastAsia="zh-CN" w:bidi="ar"/>
              </w:rPr>
              <w:t>、预处理车间</w:t>
            </w:r>
            <w:r>
              <w:rPr>
                <w:rFonts w:hint="eastAsia"/>
                <w:color w:val="auto"/>
                <w:highlight w:val="none"/>
                <w:lang w:bidi="ar"/>
              </w:rPr>
              <w:t>均采取防腐防渗措施，可有效防止风险物质泄漏污染土壤及地下水。</w:t>
            </w:r>
          </w:p>
          <w:p w14:paraId="4BB2AC56">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auto"/>
                <w:highlight w:val="none"/>
                <w:lang w:bidi="ar"/>
              </w:rPr>
            </w:pPr>
            <w:r>
              <w:rPr>
                <w:rFonts w:hint="eastAsia"/>
                <w:color w:val="auto"/>
                <w:highlight w:val="none"/>
                <w:lang w:bidi="ar"/>
              </w:rPr>
              <w:t>⑵危险废物暂存间、</w:t>
            </w:r>
            <w:r>
              <w:rPr>
                <w:rFonts w:hint="eastAsia"/>
                <w:color w:val="auto"/>
                <w:highlight w:val="none"/>
                <w:lang w:val="en-US" w:eastAsia="zh-CN" w:bidi="ar"/>
              </w:rPr>
              <w:t>预处理车间</w:t>
            </w:r>
            <w:r>
              <w:rPr>
                <w:rFonts w:hint="eastAsia"/>
                <w:color w:val="auto"/>
                <w:highlight w:val="none"/>
                <w:lang w:bidi="ar"/>
              </w:rPr>
              <w:t>、厂区内均</w:t>
            </w:r>
            <w:r>
              <w:rPr>
                <w:color w:val="auto"/>
                <w:highlight w:val="none"/>
                <w:lang w:bidi="ar"/>
              </w:rPr>
              <w:t>安装监控，并对储存容器、生产设备进行定期检查，按要求规范的进行生产操作，发现潜在危险立即处理。监控中心值班人员认真履行监控职责，坚守岗位，落实各项监控措施，确保监控系统24小时不间断正常运行。</w:t>
            </w:r>
          </w:p>
          <w:p w14:paraId="5FF37198">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auto"/>
                <w:highlight w:val="none"/>
                <w:lang w:bidi="ar"/>
              </w:rPr>
            </w:pPr>
            <w:r>
              <w:rPr>
                <w:rFonts w:hint="eastAsia"/>
                <w:color w:val="auto"/>
                <w:highlight w:val="none"/>
                <w:lang w:bidi="ar"/>
              </w:rPr>
              <w:t>⑶</w:t>
            </w:r>
            <w:r>
              <w:rPr>
                <w:color w:val="auto"/>
                <w:highlight w:val="none"/>
                <w:lang w:bidi="ar"/>
              </w:rPr>
              <w:t>制定班组、车间级、厂级严格巡检制度，设专人巡检</w:t>
            </w:r>
            <w:r>
              <w:rPr>
                <w:rFonts w:hint="eastAsia"/>
                <w:color w:val="auto"/>
                <w:highlight w:val="none"/>
                <w:lang w:bidi="ar"/>
              </w:rPr>
              <w:t>，</w:t>
            </w:r>
            <w:r>
              <w:rPr>
                <w:color w:val="auto"/>
                <w:highlight w:val="none"/>
                <w:lang w:bidi="ar"/>
              </w:rPr>
              <w:t>检查储存设施或容器是否有渗漏或破损，如发现及时采取措施清理更换。</w:t>
            </w:r>
          </w:p>
          <w:p w14:paraId="2E1E86EE">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auto"/>
                <w:highlight w:val="none"/>
                <w:lang w:bidi="ar"/>
              </w:rPr>
            </w:pPr>
            <w:r>
              <w:rPr>
                <w:rFonts w:hint="eastAsia"/>
                <w:color w:val="auto"/>
                <w:highlight w:val="none"/>
                <w:lang w:bidi="ar"/>
              </w:rPr>
              <w:t>⑷</w:t>
            </w:r>
            <w:r>
              <w:rPr>
                <w:color w:val="auto"/>
                <w:highlight w:val="none"/>
                <w:lang w:bidi="ar"/>
              </w:rPr>
              <w:t>设置沙包沙袋、沙土</w:t>
            </w:r>
            <w:r>
              <w:rPr>
                <w:rFonts w:hint="eastAsia"/>
                <w:color w:val="auto"/>
                <w:highlight w:val="none"/>
                <w:lang w:eastAsia="zh-CN" w:bidi="ar"/>
              </w:rPr>
              <w:t>储存点</w:t>
            </w:r>
            <w:r>
              <w:rPr>
                <w:color w:val="auto"/>
                <w:highlight w:val="none"/>
                <w:lang w:bidi="ar"/>
              </w:rPr>
              <w:t>，</w:t>
            </w:r>
            <w:r>
              <w:rPr>
                <w:rFonts w:hint="eastAsia"/>
                <w:color w:val="auto"/>
                <w:highlight w:val="none"/>
                <w:lang w:bidi="ar"/>
              </w:rPr>
              <w:t>一旦发生泄漏事故，立即</w:t>
            </w:r>
            <w:r>
              <w:rPr>
                <w:color w:val="auto"/>
                <w:highlight w:val="none"/>
                <w:lang w:bidi="ar"/>
              </w:rPr>
              <w:t>围挡泄漏区域，及时控制。</w:t>
            </w:r>
            <w:r>
              <w:rPr>
                <w:rFonts w:hint="eastAsia"/>
                <w:color w:val="auto"/>
                <w:highlight w:val="none"/>
                <w:lang w:bidi="ar"/>
              </w:rPr>
              <w:t>收容的泄漏物及沙土转移至专用收集容器内，送</w:t>
            </w:r>
            <w:r>
              <w:rPr>
                <w:rFonts w:hint="eastAsia"/>
                <w:color w:val="auto"/>
                <w:highlight w:val="none"/>
                <w:lang w:eastAsia="zh-CN" w:bidi="ar"/>
              </w:rPr>
              <w:t>有资质的危险废物处置单位</w:t>
            </w:r>
            <w:r>
              <w:rPr>
                <w:rFonts w:hint="eastAsia"/>
                <w:color w:val="auto"/>
                <w:highlight w:val="none"/>
                <w:lang w:bidi="ar"/>
              </w:rPr>
              <w:t>处置。</w:t>
            </w:r>
          </w:p>
          <w:p w14:paraId="02F07A93">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olor w:val="auto"/>
                <w:highlight w:val="none"/>
                <w:lang w:eastAsia="zh-CN" w:bidi="ar"/>
              </w:rPr>
              <w:t>⑸</w:t>
            </w:r>
            <w:r>
              <w:rPr>
                <w:rFonts w:hint="eastAsia"/>
                <w:color w:val="auto"/>
                <w:highlight w:val="none"/>
                <w:lang w:bidi="ar"/>
              </w:rPr>
              <w:t>配备相应品种和数量的消防器材及泄漏应急处理设备。</w:t>
            </w:r>
          </w:p>
        </w:tc>
      </w:tr>
      <w:tr w14:paraId="307ED6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550" w:hRule="atLeast"/>
          <w:jc w:val="center"/>
        </w:trPr>
        <w:tc>
          <w:tcPr>
            <w:tcW w:w="1258" w:type="dxa"/>
            <w:tcBorders>
              <w:tl2br w:val="nil"/>
              <w:tr2bl w:val="nil"/>
            </w:tcBorders>
            <w:noWrap w:val="0"/>
            <w:vAlign w:val="center"/>
          </w:tcPr>
          <w:p w14:paraId="2AD69DC1">
            <w:pPr>
              <w:pStyle w:val="43"/>
              <w:shd w:val="clear"/>
              <w:bidi w:val="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其他环境管理要求</w:t>
            </w:r>
          </w:p>
        </w:tc>
        <w:tc>
          <w:tcPr>
            <w:tcW w:w="8490" w:type="dxa"/>
            <w:gridSpan w:val="6"/>
            <w:tcBorders>
              <w:tl2br w:val="nil"/>
              <w:tr2bl w:val="nil"/>
            </w:tcBorders>
            <w:noWrap w:val="0"/>
            <w:vAlign w:val="center"/>
          </w:tcPr>
          <w:p w14:paraId="23070DAB">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1、环境管理及监测计划</w:t>
            </w:r>
          </w:p>
          <w:p w14:paraId="3B12F38C">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⑴</w:t>
            </w:r>
            <w:r>
              <w:rPr>
                <w:rFonts w:hint="default" w:ascii="Times New Roman" w:hAnsi="Times New Roman" w:cs="Times New Roman"/>
                <w:color w:val="auto"/>
                <w:sz w:val="24"/>
                <w:szCs w:val="24"/>
                <w:highlight w:val="none"/>
              </w:rPr>
              <w:t>环境管理措施</w:t>
            </w:r>
          </w:p>
          <w:p w14:paraId="07345502">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本项目实行厂长主管环保工作的领导体制，全面负责环保和安全工作。</w:t>
            </w:r>
          </w:p>
          <w:p w14:paraId="1CE239FA">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①机构组成</w:t>
            </w:r>
          </w:p>
          <w:p w14:paraId="33A11B74">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该厂实行厂长负责主管环保工作的领导体制。</w:t>
            </w:r>
          </w:p>
          <w:p w14:paraId="4BB05B46">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②机构职责</w:t>
            </w:r>
          </w:p>
          <w:p w14:paraId="6129BC00">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szCs w:val="24"/>
                <w:highlight w:val="none"/>
              </w:rPr>
              <w:t>贯彻执行环境保护法规及环境保护标准；</w:t>
            </w:r>
          </w:p>
          <w:p w14:paraId="69BB1E71">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b.</w:t>
            </w:r>
            <w:r>
              <w:rPr>
                <w:rFonts w:hint="default" w:ascii="Times New Roman" w:hAnsi="Times New Roman" w:cs="Times New Roman"/>
                <w:color w:val="auto"/>
                <w:sz w:val="24"/>
                <w:szCs w:val="24"/>
                <w:highlight w:val="none"/>
              </w:rPr>
              <w:t>建立完善的企业环境保护管理制度，经常监督检查车间执行环保法规情况；</w:t>
            </w:r>
          </w:p>
          <w:p w14:paraId="7F8213C7">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c.</w:t>
            </w:r>
            <w:r>
              <w:rPr>
                <w:rFonts w:hint="default" w:ascii="Times New Roman" w:hAnsi="Times New Roman" w:cs="Times New Roman"/>
                <w:color w:val="auto"/>
                <w:sz w:val="24"/>
                <w:szCs w:val="24"/>
                <w:highlight w:val="none"/>
              </w:rPr>
              <w:t>搞好环境保护教育和宣传，提高职工的环境保护意识；</w:t>
            </w:r>
          </w:p>
          <w:p w14:paraId="1C614A13">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d.</w:t>
            </w:r>
            <w:r>
              <w:rPr>
                <w:rFonts w:hint="default" w:ascii="Times New Roman" w:hAnsi="Times New Roman" w:cs="Times New Roman"/>
                <w:color w:val="auto"/>
                <w:sz w:val="24"/>
                <w:szCs w:val="24"/>
                <w:highlight w:val="none"/>
              </w:rPr>
              <w:t>组织对基层环保员的培训，提高工作素质；</w:t>
            </w:r>
          </w:p>
          <w:p w14:paraId="510F0833">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e.</w:t>
            </w:r>
            <w:r>
              <w:rPr>
                <w:rFonts w:hint="default" w:ascii="Times New Roman" w:hAnsi="Times New Roman" w:cs="Times New Roman"/>
                <w:color w:val="auto"/>
                <w:sz w:val="24"/>
                <w:szCs w:val="24"/>
                <w:highlight w:val="none"/>
              </w:rPr>
              <w:t>定时考核和统计，以保证各项环保设施常年处于良好运行状态，确保全厂污染物排放达到国家排放标准或总量控制指标。</w:t>
            </w:r>
          </w:p>
          <w:p w14:paraId="7B9DF396">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⑵</w:t>
            </w:r>
            <w:r>
              <w:rPr>
                <w:rFonts w:hint="default" w:ascii="Times New Roman" w:hAnsi="Times New Roman" w:cs="Times New Roman"/>
                <w:color w:val="auto"/>
                <w:sz w:val="24"/>
                <w:szCs w:val="24"/>
                <w:highlight w:val="none"/>
              </w:rPr>
              <w:t>监测制度</w:t>
            </w:r>
          </w:p>
          <w:p w14:paraId="0236B1A3">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环境监测是环境保护的基础，是进行污染源治理及环保设施运行管理的依据，因而企业应定期对废气、噪声等环保设施运行情况进行监测。</w:t>
            </w:r>
          </w:p>
          <w:p w14:paraId="338077FD">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通过对项目运行中环保设施进行监控，掌握废气、噪声等污染源排放是否符合国家或地方排放标准的要求，做到达标排放，同时对废气、固体废物及噪声防治设施进行监督检查，保证正常运行。</w:t>
            </w:r>
          </w:p>
          <w:p w14:paraId="4659087B">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⑶</w:t>
            </w:r>
            <w:r>
              <w:rPr>
                <w:rFonts w:hint="default" w:ascii="Times New Roman" w:hAnsi="Times New Roman" w:cs="Times New Roman"/>
                <w:color w:val="auto"/>
                <w:sz w:val="24"/>
                <w:szCs w:val="24"/>
                <w:highlight w:val="none"/>
              </w:rPr>
              <w:t>环境监测机构及设备配置</w:t>
            </w:r>
          </w:p>
          <w:p w14:paraId="713909A0">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环境监测是环境保护的基础，是进行污染治理和监督管理的依据。根据</w:t>
            </w:r>
            <w:r>
              <w:rPr>
                <w:rFonts w:hint="default" w:ascii="Times New Roman" w:hAnsi="Times New Roman" w:eastAsia="宋体" w:cs="Times New Roman"/>
                <w:b w:val="0"/>
                <w:bCs/>
                <w:i w:val="0"/>
                <w:snapToGrid w:val="0"/>
                <w:color w:val="auto"/>
                <w:kern w:val="0"/>
                <w:sz w:val="24"/>
                <w:szCs w:val="24"/>
                <w:highlight w:val="none"/>
                <w:lang w:val="en-US" w:eastAsia="zh-CN" w:bidi="ar"/>
              </w:rPr>
              <w:t>《</w: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begin"/>
            </w:r>
            <w:r>
              <w:rPr>
                <w:rFonts w:hint="default" w:ascii="Times New Roman" w:hAnsi="Times New Roman" w:eastAsia="宋体" w:cs="Times New Roman"/>
                <w:b w:val="0"/>
                <w:bCs/>
                <w:i w:val="0"/>
                <w:snapToGrid w:val="0"/>
                <w:color w:val="auto"/>
                <w:kern w:val="0"/>
                <w:sz w:val="24"/>
                <w:szCs w:val="24"/>
                <w:highlight w:val="none"/>
                <w:lang w:val="en-US" w:eastAsia="zh-CN" w:bidi="ar"/>
              </w:rPr>
              <w:instrText xml:space="preserve"> HYPERLINK "http://www.mee.gov.cn/ywgz/fgbz/bz/bzwb/shjbh/xgbzh/201705/W020170511332490849000.pdf" </w:instrTex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separate"/>
            </w:r>
            <w:r>
              <w:rPr>
                <w:rFonts w:hint="default" w:ascii="Times New Roman" w:hAnsi="Times New Roman" w:eastAsia="宋体" w:cs="Times New Roman"/>
                <w:b w:val="0"/>
                <w:bCs/>
                <w:i w:val="0"/>
                <w:snapToGrid w:val="0"/>
                <w:color w:val="auto"/>
                <w:kern w:val="0"/>
                <w:sz w:val="24"/>
                <w:szCs w:val="24"/>
                <w:highlight w:val="none"/>
                <w:lang w:val="en-US" w:eastAsia="zh-CN" w:bidi="ar"/>
              </w:rPr>
              <w:t>排污单位自行监测技术指南</w:t>
            </w:r>
            <w:r>
              <w:rPr>
                <w:rFonts w:hint="eastAsia" w:cs="Times New Roman"/>
                <w:b w:val="0"/>
                <w:bCs/>
                <w:i w:val="0"/>
                <w:snapToGrid w:val="0"/>
                <w:color w:val="auto"/>
                <w:kern w:val="0"/>
                <w:sz w:val="24"/>
                <w:szCs w:val="24"/>
                <w:highlight w:val="none"/>
                <w:lang w:val="en-US" w:eastAsia="zh-CN" w:bidi="ar"/>
              </w:rPr>
              <w:t xml:space="preserve"> </w:t>
            </w:r>
            <w:r>
              <w:rPr>
                <w:rFonts w:hint="default" w:ascii="Times New Roman" w:hAnsi="Times New Roman" w:eastAsia="宋体" w:cs="Times New Roman"/>
                <w:b w:val="0"/>
                <w:bCs/>
                <w:i w:val="0"/>
                <w:snapToGrid w:val="0"/>
                <w:color w:val="auto"/>
                <w:kern w:val="0"/>
                <w:sz w:val="24"/>
                <w:szCs w:val="24"/>
                <w:highlight w:val="none"/>
                <w:lang w:val="en-US" w:eastAsia="zh-CN" w:bidi="ar"/>
              </w:rPr>
              <w:t>总则</w:t>
            </w:r>
            <w:r>
              <w:rPr>
                <w:rFonts w:hint="default" w:ascii="Times New Roman" w:hAnsi="Times New Roman" w:eastAsia="宋体" w:cs="Times New Roman"/>
                <w:b w:val="0"/>
                <w:bCs/>
                <w:i w:val="0"/>
                <w:snapToGrid w:val="0"/>
                <w:color w:val="auto"/>
                <w:kern w:val="0"/>
                <w:sz w:val="24"/>
                <w:szCs w:val="24"/>
                <w:highlight w:val="none"/>
                <w:lang w:val="en-US" w:eastAsia="zh-CN" w:bidi="ar"/>
              </w:rPr>
              <w:fldChar w:fldCharType="end"/>
            </w:r>
            <w:r>
              <w:rPr>
                <w:rFonts w:hint="default" w:ascii="Times New Roman" w:hAnsi="Times New Roman" w:eastAsia="宋体" w:cs="Times New Roman"/>
                <w:b w:val="0"/>
                <w:bCs/>
                <w:i w:val="0"/>
                <w:snapToGrid w:val="0"/>
                <w:color w:val="auto"/>
                <w:kern w:val="0"/>
                <w:sz w:val="24"/>
                <w:szCs w:val="24"/>
                <w:highlight w:val="none"/>
                <w:lang w:val="en-US" w:eastAsia="zh-CN" w:bidi="ar"/>
              </w:rPr>
              <w:t>》（HJ819-2017）</w:t>
            </w:r>
            <w:r>
              <w:rPr>
                <w:rFonts w:hint="eastAsia" w:cs="Times New Roman"/>
                <w:b w:val="0"/>
                <w:bCs/>
                <w:i w:val="0"/>
                <w:snapToGrid w:val="0"/>
                <w:color w:val="auto"/>
                <w:kern w:val="0"/>
                <w:sz w:val="24"/>
                <w:szCs w:val="24"/>
                <w:highlight w:val="none"/>
                <w:lang w:val="en-US" w:eastAsia="zh-CN" w:bidi="ar"/>
              </w:rPr>
              <w:t>和</w:t>
            </w:r>
            <w:r>
              <w:rPr>
                <w:rFonts w:hint="eastAsia"/>
                <w:color w:val="auto"/>
                <w:highlight w:val="none"/>
                <w:lang w:eastAsia="zh-CN"/>
              </w:rPr>
              <w:t>《</w:t>
            </w:r>
            <w:r>
              <w:rPr>
                <w:rFonts w:hint="eastAsia"/>
                <w:color w:val="auto"/>
                <w:highlight w:val="none"/>
                <w:lang w:val="en-US" w:eastAsia="zh-CN"/>
              </w:rPr>
              <w:t>排污许可证申请与核发技术规范 工业噪声</w:t>
            </w:r>
            <w:r>
              <w:rPr>
                <w:rFonts w:hint="eastAsia"/>
                <w:color w:val="auto"/>
                <w:highlight w:val="none"/>
                <w:lang w:eastAsia="zh-CN"/>
              </w:rPr>
              <w:t>》</w:t>
            </w:r>
            <w:r>
              <w:rPr>
                <w:rFonts w:hint="default" w:ascii="Times New Roman" w:hAnsi="Times New Roman" w:eastAsia="宋体" w:cs="Times New Roman"/>
                <w:color w:val="auto"/>
                <w:sz w:val="24"/>
                <w:szCs w:val="24"/>
                <w:highlight w:val="none"/>
                <w:lang w:val="en-US" w:eastAsia="zh-CN"/>
              </w:rPr>
              <w:t>要求，本评价建议企业环境监测工作可委托当地有资质的环境监测机构承担。</w:t>
            </w:r>
          </w:p>
          <w:p w14:paraId="19DC38D7">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⑷</w:t>
            </w:r>
            <w:r>
              <w:rPr>
                <w:rFonts w:hint="default" w:ascii="Times New Roman" w:hAnsi="Times New Roman" w:cs="Times New Roman"/>
                <w:color w:val="auto"/>
                <w:sz w:val="24"/>
                <w:szCs w:val="24"/>
                <w:highlight w:val="none"/>
              </w:rPr>
              <w:t>监测计划</w:t>
            </w:r>
          </w:p>
          <w:p w14:paraId="06E6B8D0">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default" w:ascii="Times New Roman" w:hAnsi="Times New Roman" w:cs="Times New Roman"/>
                <w:color w:val="auto"/>
                <w:sz w:val="24"/>
                <w:szCs w:val="24"/>
                <w:highlight w:val="none"/>
                <w:lang w:val="en-US" w:eastAsia="zh-CN"/>
              </w:rPr>
              <w:t>按</w:t>
            </w:r>
            <w:r>
              <w:rPr>
                <w:rFonts w:hint="default" w:ascii="Times New Roman" w:hAnsi="Times New Roman" w:cs="Times New Roman"/>
                <w:color w:val="auto"/>
                <w:sz w:val="24"/>
                <w:szCs w:val="24"/>
                <w:highlight w:val="none"/>
              </w:rPr>
              <w:t>监测计划</w:t>
            </w:r>
            <w:r>
              <w:rPr>
                <w:rFonts w:hint="default" w:ascii="Times New Roman" w:hAnsi="Times New Roman" w:cs="Times New Roman"/>
                <w:color w:val="auto"/>
                <w:sz w:val="24"/>
                <w:szCs w:val="24"/>
                <w:highlight w:val="none"/>
                <w:lang w:val="en-US" w:eastAsia="zh-CN"/>
              </w:rPr>
              <w:t>进行检测</w:t>
            </w:r>
            <w:r>
              <w:rPr>
                <w:rFonts w:hint="default" w:ascii="Times New Roman" w:hAnsi="Times New Roman" w:cs="Times New Roman"/>
                <w:color w:val="auto"/>
                <w:sz w:val="24"/>
                <w:szCs w:val="24"/>
                <w:highlight w:val="none"/>
              </w:rPr>
              <w:t>。</w:t>
            </w:r>
          </w:p>
          <w:p w14:paraId="4D977458">
            <w:pPr>
              <w:pStyle w:val="31"/>
              <w:keepNext w:val="0"/>
              <w:keepLines w:val="0"/>
              <w:pageBreakBefore w:val="0"/>
              <w:widowControl w:val="0"/>
              <w:shd w:val="clear"/>
              <w:kinsoku/>
              <w:wordWrap/>
              <w:overflowPunct/>
              <w:topLinePunct w:val="0"/>
              <w:autoSpaceDE/>
              <w:autoSpaceDN/>
              <w:bidi w:val="0"/>
              <w:adjustRightInd/>
              <w:snapToGrid/>
              <w:spacing w:before="0" w:after="0" w:line="48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2、企业环境信息公开要求</w:t>
            </w:r>
          </w:p>
          <w:p w14:paraId="71322C31">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cs="Times New Roman"/>
                <w:color w:val="auto"/>
                <w:sz w:val="24"/>
                <w:szCs w:val="24"/>
                <w:highlight w:val="none"/>
                <w:lang w:val="en-US" w:eastAsia="zh-CN"/>
              </w:rPr>
            </w:pPr>
            <w:r>
              <w:rPr>
                <w:rFonts w:hint="default" w:ascii="Times New Roman" w:hAnsi="Times New Roman" w:cs="Times New Roman"/>
                <w:color w:val="auto"/>
                <w:sz w:val="24"/>
                <w:szCs w:val="24"/>
                <w:highlight w:val="none"/>
              </w:rPr>
              <w:t>依据《</w:t>
            </w:r>
            <w:r>
              <w:rPr>
                <w:rFonts w:hint="default" w:ascii="Times New Roman" w:hAnsi="Times New Roman" w:cs="Times New Roman"/>
                <w:color w:val="auto"/>
                <w:sz w:val="24"/>
                <w:szCs w:val="24"/>
                <w:highlight w:val="none"/>
                <w:lang w:val="en-US" w:eastAsia="zh-CN"/>
              </w:rPr>
              <w:t>企业环境信息依法披露管理办法</w:t>
            </w:r>
            <w:r>
              <w:rPr>
                <w:rFonts w:hint="default" w:ascii="Times New Roman" w:hAnsi="Times New Roman" w:cs="Times New Roman"/>
                <w:color w:val="auto"/>
                <w:sz w:val="24"/>
                <w:szCs w:val="24"/>
                <w:highlight w:val="none"/>
              </w:rPr>
              <w:t>》的相关要求，企业应当及时、准确地公开企业环境信息，本项目环境信息公开的内容</w:t>
            </w:r>
            <w:r>
              <w:rPr>
                <w:rFonts w:hint="eastAsia" w:cs="Times New Roman"/>
                <w:color w:val="auto"/>
                <w:sz w:val="24"/>
                <w:szCs w:val="24"/>
                <w:highlight w:val="none"/>
                <w:lang w:val="en-US" w:eastAsia="zh-CN"/>
              </w:rPr>
              <w:t>如下：</w:t>
            </w:r>
          </w:p>
          <w:p w14:paraId="36312E37">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⑴</w:t>
            </w:r>
            <w:r>
              <w:rPr>
                <w:rFonts w:hint="eastAsia" w:ascii="Times New Roman" w:hAnsi="Times New Roman" w:cs="Times New Roman"/>
                <w:color w:val="auto"/>
                <w:sz w:val="24"/>
                <w:szCs w:val="24"/>
                <w:highlight w:val="none"/>
              </w:rPr>
              <w:t>企业基本信息，包括企业生产和生态环境保护等方面的基础信息；</w:t>
            </w:r>
          </w:p>
          <w:p w14:paraId="4019623C">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⑵</w:t>
            </w:r>
            <w:r>
              <w:rPr>
                <w:rFonts w:hint="eastAsia" w:ascii="Times New Roman" w:hAnsi="Times New Roman" w:cs="Times New Roman"/>
                <w:color w:val="auto"/>
                <w:sz w:val="24"/>
                <w:szCs w:val="24"/>
                <w:highlight w:val="none"/>
              </w:rPr>
              <w:t>企业环境管理信息，包括生态环境行政许可、环境保护税、环境污染责任保险、环保信用评价等方面的信息；</w:t>
            </w:r>
          </w:p>
          <w:p w14:paraId="404CBF6B">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⑶</w:t>
            </w:r>
            <w:r>
              <w:rPr>
                <w:rFonts w:hint="eastAsia" w:ascii="Times New Roman" w:hAnsi="Times New Roman" w:cs="Times New Roman"/>
                <w:color w:val="auto"/>
                <w:sz w:val="24"/>
                <w:szCs w:val="24"/>
                <w:highlight w:val="none"/>
              </w:rPr>
              <w:t>污染物产生、治理与排放信息，包括污染防治设施，污染物排放，有毒有害物质排放，工业固体废物和危险废物产生、贮存、流向、利用、处置，自行监测等方面的信息；</w:t>
            </w:r>
          </w:p>
          <w:p w14:paraId="0589658C">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⑷</w:t>
            </w:r>
            <w:r>
              <w:rPr>
                <w:rFonts w:hint="eastAsia" w:ascii="Times New Roman" w:hAnsi="Times New Roman" w:cs="Times New Roman"/>
                <w:color w:val="auto"/>
                <w:sz w:val="24"/>
                <w:szCs w:val="24"/>
                <w:highlight w:val="none"/>
              </w:rPr>
              <w:t>碳排放信息，包括排放量、排放设施等方面的信息；</w:t>
            </w:r>
          </w:p>
          <w:p w14:paraId="73280BC9">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⑸</w:t>
            </w:r>
            <w:r>
              <w:rPr>
                <w:rFonts w:hint="eastAsia" w:ascii="Times New Roman" w:hAnsi="Times New Roman" w:cs="Times New Roman"/>
                <w:color w:val="auto"/>
                <w:sz w:val="24"/>
                <w:szCs w:val="24"/>
                <w:highlight w:val="none"/>
              </w:rPr>
              <w:t>生态环境应急信息，包括突发环境事件应急预案、重污染天气应急响应等方面的信息；</w:t>
            </w:r>
          </w:p>
          <w:p w14:paraId="3B514158">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⑹</w:t>
            </w:r>
            <w:r>
              <w:rPr>
                <w:rFonts w:hint="eastAsia" w:ascii="Times New Roman" w:hAnsi="Times New Roman" w:cs="Times New Roman"/>
                <w:color w:val="auto"/>
                <w:sz w:val="24"/>
                <w:szCs w:val="24"/>
                <w:highlight w:val="none"/>
              </w:rPr>
              <w:t>生态环境违法信息；</w:t>
            </w:r>
          </w:p>
          <w:p w14:paraId="30C002B8">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⑺</w:t>
            </w:r>
            <w:r>
              <w:rPr>
                <w:rFonts w:hint="eastAsia" w:ascii="Times New Roman" w:hAnsi="Times New Roman" w:cs="Times New Roman"/>
                <w:color w:val="auto"/>
                <w:sz w:val="24"/>
                <w:szCs w:val="24"/>
                <w:highlight w:val="none"/>
              </w:rPr>
              <w:t>本年度临时环境信息依法披露情况；</w:t>
            </w:r>
          </w:p>
          <w:p w14:paraId="47EC9818">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szCs w:val="24"/>
                <w:highlight w:val="none"/>
              </w:rPr>
            </w:pPr>
            <w:r>
              <w:rPr>
                <w:rFonts w:hint="eastAsia" w:cs="Times New Roman"/>
                <w:color w:val="auto"/>
                <w:sz w:val="24"/>
                <w:szCs w:val="24"/>
                <w:highlight w:val="none"/>
                <w:lang w:eastAsia="zh-CN"/>
              </w:rPr>
              <w:t>⑻</w:t>
            </w:r>
            <w:r>
              <w:rPr>
                <w:rFonts w:hint="eastAsia" w:ascii="Times New Roman" w:hAnsi="Times New Roman" w:cs="Times New Roman"/>
                <w:color w:val="auto"/>
                <w:sz w:val="24"/>
                <w:szCs w:val="24"/>
                <w:highlight w:val="none"/>
              </w:rPr>
              <w:t>法律法规规定的其他环境信息。</w:t>
            </w:r>
          </w:p>
          <w:p w14:paraId="029641E2">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3、排污许可规范化管理要求</w:t>
            </w:r>
          </w:p>
          <w:p w14:paraId="3BD86CB8">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14:paraId="44C90C79">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 年版）》等相关文件要求，企业事业单位和其他生产经营者应该按照名录的规定，在实施时限内申请排污许可证。</w:t>
            </w:r>
          </w:p>
          <w:p w14:paraId="6ED5FA4B">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本项目经对照《固定污染源排污许可分类管理名录（2019 年版）》已纳入名录管理的行业，应及时办理排污许可申请。</w:t>
            </w:r>
          </w:p>
          <w:p w14:paraId="49578053">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w:t>
            </w:r>
            <w:r>
              <w:rPr>
                <w:rFonts w:hint="eastAsia" w:cs="Times New Roman"/>
                <w:color w:val="auto"/>
                <w:sz w:val="24"/>
                <w:szCs w:val="24"/>
                <w:highlight w:val="none"/>
                <w:lang w:val="en-US" w:eastAsia="zh-CN"/>
              </w:rPr>
              <w:t>行业类别为</w:t>
            </w:r>
            <w:r>
              <w:rPr>
                <w:rFonts w:hint="default" w:ascii="Times New Roman" w:hAnsi="Times New Roman" w:cs="Times New Roman"/>
                <w:color w:val="auto"/>
                <w:sz w:val="24"/>
                <w:szCs w:val="24"/>
                <w:highlight w:val="none"/>
                <w:lang w:val="en-US" w:eastAsia="zh-CN"/>
              </w:rPr>
              <w:t>其他非金属矿物制品制造</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C3</w:t>
            </w:r>
            <w:r>
              <w:rPr>
                <w:rFonts w:hint="eastAsia" w:cs="Times New Roman"/>
                <w:color w:val="auto"/>
                <w:sz w:val="24"/>
                <w:szCs w:val="24"/>
                <w:highlight w:val="none"/>
                <w:lang w:val="en-US" w:eastAsia="zh-CN"/>
              </w:rPr>
              <w:t>099）</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属于</w:t>
            </w:r>
            <w:r>
              <w:rPr>
                <w:rFonts w:hint="default" w:ascii="Times New Roman" w:hAnsi="Times New Roman" w:eastAsia="宋体" w:cs="Times New Roman"/>
                <w:color w:val="auto"/>
                <w:sz w:val="24"/>
                <w:szCs w:val="24"/>
                <w:highlight w:val="none"/>
                <w:lang w:val="en-US" w:eastAsia="zh-CN"/>
              </w:rPr>
              <w:t>《固定污染源排污许可分类管理名录（2019 年版）》中“</w:t>
            </w:r>
            <w:r>
              <w:rPr>
                <w:rFonts w:hint="default" w:ascii="Times New Roman" w:hAnsi="Times New Roman" w:eastAsia="宋体" w:cs="Times New Roman"/>
                <w:b w:val="0"/>
                <w:bCs w:val="0"/>
                <w:i w:val="0"/>
                <w:iCs w:val="0"/>
                <w:color w:val="auto"/>
                <w:kern w:val="0"/>
                <w:sz w:val="24"/>
                <w:szCs w:val="24"/>
                <w:highlight w:val="none"/>
                <w:lang w:val="en-US" w:eastAsia="zh-CN" w:bidi="ar"/>
              </w:rPr>
              <w:t>二十五、非金属矿物制品业30——</w:t>
            </w:r>
            <w:r>
              <w:rPr>
                <w:rFonts w:hint="eastAsia" w:cs="Times New Roman"/>
                <w:b w:val="0"/>
                <w:bCs w:val="0"/>
                <w:i w:val="0"/>
                <w:iCs w:val="0"/>
                <w:color w:val="auto"/>
                <w:kern w:val="0"/>
                <w:sz w:val="24"/>
                <w:szCs w:val="24"/>
                <w:highlight w:val="none"/>
                <w:lang w:val="en-US" w:eastAsia="zh-CN" w:bidi="ar"/>
              </w:rPr>
              <w:t xml:space="preserve">70 </w:t>
            </w:r>
            <w:r>
              <w:rPr>
                <w:rFonts w:hint="default" w:ascii="Times New Roman" w:hAnsi="Times New Roman" w:eastAsia="宋体" w:cs="Times New Roman"/>
                <w:b w:val="0"/>
                <w:bCs w:val="0"/>
                <w:i w:val="0"/>
                <w:iCs w:val="0"/>
                <w:color w:val="auto"/>
                <w:kern w:val="0"/>
                <w:sz w:val="24"/>
                <w:szCs w:val="24"/>
                <w:highlight w:val="none"/>
                <w:lang w:val="en-US" w:eastAsia="zh-CN" w:bidi="ar"/>
              </w:rPr>
              <w:t>石墨及其他非金属矿物制品制造309——其他非金属矿物制品制造3099</w:t>
            </w:r>
            <w:r>
              <w:rPr>
                <w:rFonts w:hint="eastAsia" w:cs="Times New Roman"/>
                <w:b w:val="0"/>
                <w:bCs w:val="0"/>
                <w:i w:val="0"/>
                <w:iCs w:val="0"/>
                <w:color w:val="auto"/>
                <w:kern w:val="0"/>
                <w:sz w:val="24"/>
                <w:szCs w:val="24"/>
                <w:highlight w:val="none"/>
                <w:lang w:val="en-US" w:eastAsia="zh-CN" w:bidi="ar"/>
              </w:rPr>
              <w:t>（</w:t>
            </w:r>
            <w:r>
              <w:rPr>
                <w:rFonts w:hint="default" w:ascii="Times New Roman" w:hAnsi="Times New Roman" w:eastAsia="宋体" w:cs="Times New Roman"/>
                <w:b w:val="0"/>
                <w:bCs w:val="0"/>
                <w:i w:val="0"/>
                <w:iCs w:val="0"/>
                <w:color w:val="auto"/>
                <w:kern w:val="0"/>
                <w:sz w:val="24"/>
                <w:szCs w:val="24"/>
                <w:highlight w:val="none"/>
                <w:lang w:val="en-US" w:eastAsia="zh-CN" w:bidi="ar"/>
              </w:rPr>
              <w:t>除重点管理、简化管理以外的</w:t>
            </w:r>
            <w:r>
              <w:rPr>
                <w:rFonts w:hint="eastAsia" w:cs="Times New Roman"/>
                <w:b w:val="0"/>
                <w:bCs w:val="0"/>
                <w:i w:val="0"/>
                <w:iCs w:val="0"/>
                <w:color w:val="auto"/>
                <w:kern w:val="0"/>
                <w:sz w:val="24"/>
                <w:szCs w:val="24"/>
                <w:highlight w:val="none"/>
                <w:lang w:val="en-US" w:eastAsia="zh-CN" w:bidi="ar"/>
              </w:rPr>
              <w:t>）</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企业应进行</w:t>
            </w:r>
            <w:r>
              <w:rPr>
                <w:rFonts w:hint="default" w:ascii="Times New Roman" w:hAnsi="Times New Roman" w:eastAsia="宋体" w:cs="Times New Roman"/>
                <w:color w:val="auto"/>
                <w:sz w:val="24"/>
                <w:szCs w:val="24"/>
                <w:highlight w:val="none"/>
                <w:lang w:val="en-US" w:eastAsia="zh-CN"/>
              </w:rPr>
              <w:t>登记管理。</w:t>
            </w:r>
          </w:p>
          <w:p w14:paraId="7391CC03">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现有工程已按要求填报排污登记表。本项目为技术改造项目，应在生产设施投运或发生实际排污行为前，完成排污登记表变更备案，取得固定污染源排污登记回执</w:t>
            </w:r>
            <w:r>
              <w:rPr>
                <w:rFonts w:hint="default" w:ascii="Times New Roman" w:hAnsi="Times New Roman" w:eastAsia="宋体" w:cs="Times New Roman"/>
                <w:color w:val="auto"/>
                <w:sz w:val="24"/>
                <w:szCs w:val="24"/>
                <w:highlight w:val="none"/>
                <w:lang w:val="zh-CN" w:eastAsia="zh-CN"/>
              </w:rPr>
              <w:t>。</w:t>
            </w:r>
          </w:p>
          <w:p w14:paraId="4AD5AF4A">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4、环保竣工验收管理</w:t>
            </w:r>
          </w:p>
          <w:p w14:paraId="159943E0">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建设单位是建设项目竣工环境保护验收的责任主体，应当按照《建设项目竣工环境保护验收暂行办法》（国环规环评〔2017〕4号）、《建设项目竣工环境保护验收技术指南污染影响类》（生态环境部办公厅2018 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7F113ED2">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rPr>
              <w:t>排污口规范化</w:t>
            </w:r>
          </w:p>
          <w:p w14:paraId="589D235C">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排污口是企业污染物进入受纳环境的通道，做好排污口管理是实施污染物总量控制和达标排放的基础工作之—，必须实行规范化管理。</w:t>
            </w:r>
          </w:p>
          <w:p w14:paraId="448ADB3A">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⑴废气排污口规范化：《环境保护图形标志－排污口(源)》（GBl5562.1-1995）设置统一制作的环境保护图形标志牌，污染物排放口设置提示性环境保护图形标志牌。</w:t>
            </w:r>
          </w:p>
          <w:p w14:paraId="0E2E31A8">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⑵噪声排污口规范化：须按《工业企业厂界环境噪声排放标准》（GB12348-2008）的规定，设置环境噪声监测点，并在该处附近醒目处设置环境保护图形标志牌。</w:t>
            </w:r>
          </w:p>
          <w:p w14:paraId="1E77AC0E">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⑶固体废物：本项目固体废物堆放场所必须有防火、防扬散、防渗漏等防止污染环境的措施，标志牌达到《环境保护图形标志-固体废物贮存（处置）场》（GB15562.2-1995）的规定。</w:t>
            </w:r>
          </w:p>
          <w:p w14:paraId="102B53A1">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14:paraId="710B5CD6">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⑷</w:t>
            </w:r>
            <w:r>
              <w:rPr>
                <w:rFonts w:hint="default" w:ascii="Times New Roman" w:hAnsi="Times New Roman" w:eastAsia="宋体" w:cs="Times New Roman"/>
                <w:color w:val="auto"/>
                <w:sz w:val="24"/>
                <w:szCs w:val="24"/>
                <w:highlight w:val="none"/>
                <w:lang w:val="en-US" w:eastAsia="zh-CN"/>
              </w:rPr>
              <w:t>排放口立标</w:t>
            </w:r>
            <w:r>
              <w:rPr>
                <w:rFonts w:hint="eastAsia" w:cs="Times New Roman"/>
                <w:color w:val="auto"/>
                <w:sz w:val="24"/>
                <w:szCs w:val="24"/>
                <w:highlight w:val="none"/>
                <w:lang w:val="en-US" w:eastAsia="zh-CN"/>
              </w:rPr>
              <w:t>管理</w:t>
            </w:r>
          </w:p>
          <w:p w14:paraId="45EAE5D6">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r>
              <w:rPr>
                <w:rFonts w:hint="default" w:ascii="Times New Roman" w:hAnsi="Times New Roman" w:eastAsia="宋体" w:cs="Times New Roman"/>
                <w:color w:val="auto"/>
                <w:kern w:val="44"/>
                <w:sz w:val="24"/>
                <w:szCs w:val="24"/>
                <w:highlight w:val="none"/>
                <w:lang w:val="zh-CN"/>
              </w:rPr>
              <w:t>①</w:t>
            </w:r>
            <w:r>
              <w:rPr>
                <w:rFonts w:hint="default" w:ascii="Times New Roman" w:hAnsi="Times New Roman" w:eastAsia="宋体" w:cs="Times New Roman"/>
                <w:b w:val="0"/>
                <w:bCs w:val="0"/>
                <w:color w:val="auto"/>
                <w:sz w:val="24"/>
                <w:szCs w:val="24"/>
                <w:highlight w:val="none"/>
                <w:vertAlign w:val="baseline"/>
                <w:lang w:val="zh-CN"/>
              </w:rPr>
              <w:t>污染物排放口应按照</w:t>
            </w:r>
            <w:r>
              <w:rPr>
                <w:rFonts w:hint="default"/>
                <w:color w:val="auto"/>
                <w:sz w:val="24"/>
                <w:szCs w:val="24"/>
                <w:highlight w:val="none"/>
                <w:lang w:val="en-US"/>
              </w:rPr>
              <w:t>《环境保护图形标志-</w:t>
            </w:r>
            <w:r>
              <w:rPr>
                <w:rFonts w:hint="eastAsia"/>
                <w:color w:val="auto"/>
                <w:sz w:val="24"/>
                <w:szCs w:val="24"/>
                <w:highlight w:val="none"/>
                <w:lang w:val="en-US" w:eastAsia="zh-CN"/>
              </w:rPr>
              <w:t>排放口（源）</w:t>
            </w:r>
            <w:r>
              <w:rPr>
                <w:rFonts w:hint="default"/>
                <w:color w:val="auto"/>
                <w:sz w:val="24"/>
                <w:szCs w:val="24"/>
                <w:highlight w:val="none"/>
                <w:lang w:val="en-US"/>
              </w:rPr>
              <w:t>》（GB15562.</w:t>
            </w:r>
            <w:r>
              <w:rPr>
                <w:rFonts w:hint="eastAsia"/>
                <w:color w:val="auto"/>
                <w:sz w:val="24"/>
                <w:szCs w:val="24"/>
                <w:highlight w:val="none"/>
                <w:lang w:val="en-US" w:eastAsia="zh-CN"/>
              </w:rPr>
              <w:t>1</w:t>
            </w:r>
            <w:r>
              <w:rPr>
                <w:rFonts w:hint="default"/>
                <w:color w:val="auto"/>
                <w:sz w:val="24"/>
                <w:szCs w:val="24"/>
                <w:highlight w:val="none"/>
                <w:lang w:val="en-US"/>
              </w:rPr>
              <w:t>-1995）</w:t>
            </w:r>
            <w:r>
              <w:rPr>
                <w:rFonts w:hint="eastAsia"/>
                <w:color w:val="auto"/>
                <w:sz w:val="24"/>
                <w:szCs w:val="24"/>
                <w:highlight w:val="none"/>
                <w:lang w:val="en-US" w:eastAsia="zh-CN"/>
              </w:rPr>
              <w:t>、</w:t>
            </w:r>
            <w:r>
              <w:rPr>
                <w:rFonts w:hint="default"/>
                <w:color w:val="auto"/>
                <w:sz w:val="24"/>
                <w:szCs w:val="24"/>
                <w:highlight w:val="none"/>
                <w:lang w:val="en-US"/>
              </w:rPr>
              <w:t>《环境保护图形标志-固体废物贮存（处置）场》（GB15562.2-1995）</w:t>
            </w:r>
            <w:r>
              <w:rPr>
                <w:rFonts w:hint="eastAsia"/>
                <w:color w:val="auto"/>
                <w:sz w:val="24"/>
                <w:szCs w:val="24"/>
                <w:highlight w:val="none"/>
                <w:lang w:val="en-US" w:eastAsia="zh-CN"/>
              </w:rPr>
              <w:t>及修改单的</w:t>
            </w:r>
            <w:r>
              <w:rPr>
                <w:rFonts w:hint="default"/>
                <w:color w:val="auto"/>
                <w:sz w:val="24"/>
                <w:szCs w:val="24"/>
                <w:highlight w:val="none"/>
                <w:lang w:val="en-US"/>
              </w:rPr>
              <w:t>规定</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highlight w:val="none"/>
                <w:vertAlign w:val="baseline"/>
                <w:lang w:val="zh-CN"/>
              </w:rPr>
              <w:t>设置原国家环保总局统一制作的环境保护标志牌</w:t>
            </w:r>
            <w:r>
              <w:rPr>
                <w:rFonts w:hint="eastAsia" w:cs="Times New Roman"/>
                <w:color w:val="auto"/>
                <w:kern w:val="44"/>
                <w:sz w:val="24"/>
                <w:szCs w:val="24"/>
                <w:highlight w:val="none"/>
                <w:lang w:val="zh-CN"/>
              </w:rPr>
              <w:t>。</w:t>
            </w:r>
          </w:p>
          <w:p w14:paraId="002AA28D">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3BE5ADE5">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67A51B07">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7E2972F3">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41052955">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75019CC4">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42060FFC">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6F322199">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503F3D53">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785303E1">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auto"/>
                <w:kern w:val="44"/>
                <w:sz w:val="24"/>
                <w:szCs w:val="24"/>
                <w:highlight w:val="none"/>
                <w:lang w:val="zh-CN"/>
              </w:rPr>
            </w:pPr>
          </w:p>
          <w:p w14:paraId="368FE5E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auto"/>
                <w:spacing w:val="0"/>
                <w:sz w:val="21"/>
                <w:szCs w:val="21"/>
                <w:highlight w:val="none"/>
                <w:lang w:val="zh-CN" w:eastAsia="zh-CN"/>
              </w:rPr>
            </w:pPr>
            <w:r>
              <w:rPr>
                <w:rFonts w:hint="default" w:ascii="Times New Roman" w:hAnsi="Times New Roman" w:eastAsia="宋体" w:cs="Times New Roman"/>
                <w:b/>
                <w:bCs/>
                <w:color w:val="auto"/>
                <w:spacing w:val="0"/>
                <w:sz w:val="21"/>
                <w:szCs w:val="21"/>
                <w:highlight w:val="none"/>
                <w:lang w:val="en-US" w:eastAsia="zh-CN"/>
              </w:rPr>
              <w:t>排污口标志牌设置一览表</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8"/>
              <w:gridCol w:w="2059"/>
              <w:gridCol w:w="1837"/>
              <w:gridCol w:w="1250"/>
              <w:gridCol w:w="1924"/>
            </w:tblGrid>
            <w:tr w14:paraId="12C68CB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1" w:hRule="atLeast"/>
                <w:jc w:val="center"/>
              </w:trPr>
              <w:tc>
                <w:tcPr>
                  <w:tcW w:w="828" w:type="dxa"/>
                  <w:tcBorders>
                    <w:tl2br w:val="nil"/>
                    <w:tr2bl w:val="nil"/>
                  </w:tcBorders>
                  <w:noWrap w:val="0"/>
                  <w:vAlign w:val="center"/>
                </w:tcPr>
                <w:p w14:paraId="74AFC4D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lang w:val="zh-CN"/>
                    </w:rPr>
                    <w:t>序号</w:t>
                  </w:r>
                </w:p>
              </w:tc>
              <w:tc>
                <w:tcPr>
                  <w:tcW w:w="2059" w:type="dxa"/>
                  <w:tcBorders>
                    <w:tl2br w:val="nil"/>
                    <w:tr2bl w:val="nil"/>
                  </w:tcBorders>
                  <w:noWrap w:val="0"/>
                  <w:vAlign w:val="center"/>
                </w:tcPr>
                <w:p w14:paraId="319D009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lang w:val="zh-CN"/>
                    </w:rPr>
                    <w:t>提示图形符号</w:t>
                  </w:r>
                </w:p>
              </w:tc>
              <w:tc>
                <w:tcPr>
                  <w:tcW w:w="1837" w:type="dxa"/>
                  <w:tcBorders>
                    <w:tl2br w:val="nil"/>
                    <w:tr2bl w:val="nil"/>
                  </w:tcBorders>
                  <w:noWrap w:val="0"/>
                  <w:vAlign w:val="center"/>
                </w:tcPr>
                <w:p w14:paraId="65FAFB5F">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lang w:val="zh-CN"/>
                    </w:rPr>
                    <w:t>警告图形标志</w:t>
                  </w:r>
                </w:p>
              </w:tc>
              <w:tc>
                <w:tcPr>
                  <w:tcW w:w="1250" w:type="dxa"/>
                  <w:tcBorders>
                    <w:tl2br w:val="nil"/>
                    <w:tr2bl w:val="nil"/>
                  </w:tcBorders>
                  <w:noWrap w:val="0"/>
                  <w:vAlign w:val="center"/>
                </w:tcPr>
                <w:p w14:paraId="4F6056A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名称</w:t>
                  </w:r>
                </w:p>
              </w:tc>
              <w:tc>
                <w:tcPr>
                  <w:tcW w:w="1924" w:type="dxa"/>
                  <w:tcBorders>
                    <w:tl2br w:val="nil"/>
                    <w:tr2bl w:val="nil"/>
                  </w:tcBorders>
                  <w:noWrap w:val="0"/>
                  <w:vAlign w:val="center"/>
                </w:tcPr>
                <w:p w14:paraId="1CA9F71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功能</w:t>
                  </w:r>
                </w:p>
              </w:tc>
            </w:tr>
            <w:tr w14:paraId="4B2605C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25" w:hRule="atLeast"/>
                <w:jc w:val="center"/>
              </w:trPr>
              <w:tc>
                <w:tcPr>
                  <w:tcW w:w="828" w:type="dxa"/>
                  <w:tcBorders>
                    <w:tl2br w:val="nil"/>
                    <w:tr2bl w:val="nil"/>
                  </w:tcBorders>
                  <w:noWrap w:val="0"/>
                  <w:vAlign w:val="center"/>
                </w:tcPr>
                <w:p w14:paraId="418858B9">
                  <w:pPr>
                    <w:pStyle w:val="43"/>
                    <w:keepNext w:val="0"/>
                    <w:keepLines w:val="0"/>
                    <w:pageBreakBefore w:val="0"/>
                    <w:widowControl w:val="0"/>
                    <w:numPr>
                      <w:ilvl w:val="0"/>
                      <w:numId w:val="21"/>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lang w:val="en-US" w:eastAsia="zh-CN"/>
                    </w:rPr>
                  </w:pPr>
                </w:p>
              </w:tc>
              <w:tc>
                <w:tcPr>
                  <w:tcW w:w="2059" w:type="dxa"/>
                  <w:tcBorders>
                    <w:tl2br w:val="nil"/>
                    <w:tr2bl w:val="nil"/>
                  </w:tcBorders>
                  <w:noWrap w:val="0"/>
                  <w:vAlign w:val="center"/>
                </w:tcPr>
                <w:p w14:paraId="4459709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drawing>
                      <wp:anchor distT="0" distB="0" distL="0" distR="0" simplePos="0" relativeHeight="251659264" behindDoc="1" locked="0" layoutInCell="1" allowOverlap="1">
                        <wp:simplePos x="0" y="0"/>
                        <wp:positionH relativeFrom="column">
                          <wp:posOffset>171450</wp:posOffset>
                        </wp:positionH>
                        <wp:positionV relativeFrom="paragraph">
                          <wp:posOffset>88900</wp:posOffset>
                        </wp:positionV>
                        <wp:extent cx="913130" cy="873760"/>
                        <wp:effectExtent l="0" t="0" r="1270" b="2540"/>
                        <wp:wrapTight wrapText="bothSides">
                          <wp:wrapPolygon>
                            <wp:start x="0" y="0"/>
                            <wp:lineTo x="0" y="21192"/>
                            <wp:lineTo x="21179" y="21192"/>
                            <wp:lineTo x="21179" y="0"/>
                            <wp:lineTo x="0" y="0"/>
                          </wp:wrapPolygon>
                        </wp:wrapTight>
                        <wp:docPr id="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4"/>
                                <pic:cNvPicPr>
                                  <a:picLocks noChangeAspect="1"/>
                                </pic:cNvPicPr>
                              </pic:nvPicPr>
                              <pic:blipFill>
                                <a:blip r:embed="rId44"/>
                                <a:srcRect b="51181"/>
                                <a:stretch>
                                  <a:fillRect/>
                                </a:stretch>
                              </pic:blipFill>
                              <pic:spPr>
                                <a:xfrm>
                                  <a:off x="0" y="0"/>
                                  <a:ext cx="913130" cy="873760"/>
                                </a:xfrm>
                                <a:prstGeom prst="rect">
                                  <a:avLst/>
                                </a:prstGeom>
                                <a:noFill/>
                                <a:ln>
                                  <a:noFill/>
                                </a:ln>
                              </pic:spPr>
                            </pic:pic>
                          </a:graphicData>
                        </a:graphic>
                      </wp:anchor>
                    </w:drawing>
                  </w:r>
                </w:p>
              </w:tc>
              <w:tc>
                <w:tcPr>
                  <w:tcW w:w="1837" w:type="dxa"/>
                  <w:tcBorders>
                    <w:tl2br w:val="nil"/>
                    <w:tr2bl w:val="nil"/>
                  </w:tcBorders>
                  <w:noWrap w:val="0"/>
                  <w:vAlign w:val="center"/>
                </w:tcPr>
                <w:p w14:paraId="1E2A332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drawing>
                      <wp:anchor distT="0" distB="0" distL="114300" distR="114300" simplePos="0" relativeHeight="251661312" behindDoc="0" locked="0" layoutInCell="1" allowOverlap="1">
                        <wp:simplePos x="0" y="0"/>
                        <wp:positionH relativeFrom="column">
                          <wp:posOffset>85725</wp:posOffset>
                        </wp:positionH>
                        <wp:positionV relativeFrom="paragraph">
                          <wp:posOffset>88900</wp:posOffset>
                        </wp:positionV>
                        <wp:extent cx="944880" cy="824865"/>
                        <wp:effectExtent l="0" t="0" r="7620" b="13335"/>
                        <wp:wrapNone/>
                        <wp:docPr id="7" name="图片 25" descr="说明: 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说明: 点击看大图及详细资料"/>
                                <pic:cNvPicPr>
                                  <a:picLocks noChangeAspect="1"/>
                                </pic:cNvPicPr>
                              </pic:nvPicPr>
                              <pic:blipFill>
                                <a:blip r:embed="rId45"/>
                                <a:stretch>
                                  <a:fillRect/>
                                </a:stretch>
                              </pic:blipFill>
                              <pic:spPr>
                                <a:xfrm>
                                  <a:off x="0" y="0"/>
                                  <a:ext cx="944880" cy="824865"/>
                                </a:xfrm>
                                <a:prstGeom prst="rect">
                                  <a:avLst/>
                                </a:prstGeom>
                                <a:noFill/>
                                <a:ln>
                                  <a:noFill/>
                                </a:ln>
                              </pic:spPr>
                            </pic:pic>
                          </a:graphicData>
                        </a:graphic>
                      </wp:anchor>
                    </w:drawing>
                  </w:r>
                </w:p>
              </w:tc>
              <w:tc>
                <w:tcPr>
                  <w:tcW w:w="1250" w:type="dxa"/>
                  <w:tcBorders>
                    <w:tl2br w:val="nil"/>
                    <w:tr2bl w:val="nil"/>
                  </w:tcBorders>
                  <w:noWrap w:val="0"/>
                  <w:vAlign w:val="center"/>
                </w:tcPr>
                <w:p w14:paraId="1D4FB59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废气排放口</w:t>
                  </w:r>
                </w:p>
              </w:tc>
              <w:tc>
                <w:tcPr>
                  <w:tcW w:w="1924" w:type="dxa"/>
                  <w:tcBorders>
                    <w:tl2br w:val="nil"/>
                    <w:tr2bl w:val="nil"/>
                  </w:tcBorders>
                  <w:noWrap w:val="0"/>
                  <w:vAlign w:val="center"/>
                </w:tcPr>
                <w:p w14:paraId="7E842A6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表示废气向大气环境排放</w:t>
                  </w:r>
                </w:p>
              </w:tc>
            </w:tr>
            <w:tr w14:paraId="334B60D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516" w:hRule="atLeast"/>
                <w:jc w:val="center"/>
              </w:trPr>
              <w:tc>
                <w:tcPr>
                  <w:tcW w:w="828" w:type="dxa"/>
                  <w:tcBorders>
                    <w:tl2br w:val="nil"/>
                    <w:tr2bl w:val="nil"/>
                  </w:tcBorders>
                  <w:noWrap w:val="0"/>
                  <w:vAlign w:val="center"/>
                </w:tcPr>
                <w:p w14:paraId="45C85A92">
                  <w:pPr>
                    <w:pStyle w:val="43"/>
                    <w:keepNext w:val="0"/>
                    <w:keepLines w:val="0"/>
                    <w:pageBreakBefore w:val="0"/>
                    <w:widowControl w:val="0"/>
                    <w:numPr>
                      <w:ilvl w:val="0"/>
                      <w:numId w:val="21"/>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lang w:val="en-US" w:eastAsia="zh-CN"/>
                    </w:rPr>
                  </w:pPr>
                </w:p>
              </w:tc>
              <w:tc>
                <w:tcPr>
                  <w:tcW w:w="2059" w:type="dxa"/>
                  <w:tcBorders>
                    <w:tl2br w:val="nil"/>
                    <w:tr2bl w:val="nil"/>
                  </w:tcBorders>
                  <w:noWrap w:val="0"/>
                  <w:vAlign w:val="center"/>
                </w:tcPr>
                <w:p w14:paraId="42B65A8F">
                  <w:pPr>
                    <w:pStyle w:val="43"/>
                    <w:keepNext w:val="0"/>
                    <w:keepLines w:val="0"/>
                    <w:pageBreakBefore w:val="0"/>
                    <w:widowControl w:val="0"/>
                    <w:shd w:val="clear"/>
                    <w:kinsoku/>
                    <w:wordWrap/>
                    <w:overflowPunct/>
                    <w:topLinePunct w:val="0"/>
                    <w:autoSpaceDE/>
                    <w:autoSpaceDN/>
                    <w:bidi w:val="0"/>
                    <w:adjustRightInd/>
                    <w:snapToGrid/>
                    <w:spacing w:before="0" w:after="0"/>
                    <w:jc w:val="both"/>
                    <w:textAlignment w:val="auto"/>
                    <w:rPr>
                      <w:rFonts w:hint="default"/>
                      <w:color w:val="auto"/>
                      <w:sz w:val="21"/>
                      <w:szCs w:val="21"/>
                      <w:highlight w:val="none"/>
                      <w:lang w:val="zh-CN"/>
                    </w:rPr>
                  </w:pPr>
                  <w:r>
                    <w:rPr>
                      <w:rFonts w:hint="default" w:ascii="Times New Roman" w:hAnsi="Times New Roman" w:eastAsia="宋体" w:cs="Times New Roman"/>
                      <w:color w:val="auto"/>
                      <w:sz w:val="21"/>
                      <w:szCs w:val="21"/>
                      <w:highlight w:val="none"/>
                    </w:rPr>
                    <w:drawing>
                      <wp:anchor distT="0" distB="0" distL="0" distR="0" simplePos="0" relativeHeight="251663360" behindDoc="1" locked="0" layoutInCell="1" allowOverlap="1">
                        <wp:simplePos x="0" y="0"/>
                        <wp:positionH relativeFrom="column">
                          <wp:posOffset>148590</wp:posOffset>
                        </wp:positionH>
                        <wp:positionV relativeFrom="paragraph">
                          <wp:posOffset>113665</wp:posOffset>
                        </wp:positionV>
                        <wp:extent cx="932180" cy="906145"/>
                        <wp:effectExtent l="0" t="0" r="1270" b="8255"/>
                        <wp:wrapTight wrapText="bothSides">
                          <wp:wrapPolygon>
                            <wp:start x="0" y="0"/>
                            <wp:lineTo x="0" y="21343"/>
                            <wp:lineTo x="21188" y="21343"/>
                            <wp:lineTo x="21188" y="0"/>
                            <wp:lineTo x="0" y="0"/>
                          </wp:wrapPolygon>
                        </wp:wrapTight>
                        <wp:docPr id="1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6"/>
                                <pic:cNvPicPr>
                                  <a:picLocks noChangeAspect="1"/>
                                </pic:cNvPicPr>
                              </pic:nvPicPr>
                              <pic:blipFill>
                                <a:blip r:embed="rId44"/>
                                <a:srcRect t="49606" b="786"/>
                                <a:stretch>
                                  <a:fillRect/>
                                </a:stretch>
                              </pic:blipFill>
                              <pic:spPr>
                                <a:xfrm>
                                  <a:off x="0" y="0"/>
                                  <a:ext cx="932180" cy="906145"/>
                                </a:xfrm>
                                <a:prstGeom prst="rect">
                                  <a:avLst/>
                                </a:prstGeom>
                                <a:noFill/>
                                <a:ln>
                                  <a:noFill/>
                                </a:ln>
                              </pic:spPr>
                            </pic:pic>
                          </a:graphicData>
                        </a:graphic>
                      </wp:anchor>
                    </w:drawing>
                  </w:r>
                </w:p>
              </w:tc>
              <w:tc>
                <w:tcPr>
                  <w:tcW w:w="1837" w:type="dxa"/>
                  <w:tcBorders>
                    <w:tl2br w:val="nil"/>
                    <w:tr2bl w:val="nil"/>
                  </w:tcBorders>
                  <w:noWrap w:val="0"/>
                  <w:vAlign w:val="center"/>
                </w:tcPr>
                <w:p w14:paraId="1B539214">
                  <w:pPr>
                    <w:pStyle w:val="43"/>
                    <w:keepNext w:val="0"/>
                    <w:keepLines w:val="0"/>
                    <w:pageBreakBefore w:val="0"/>
                    <w:widowControl w:val="0"/>
                    <w:shd w:val="clear"/>
                    <w:kinsoku/>
                    <w:wordWrap/>
                    <w:overflowPunct/>
                    <w:topLinePunct w:val="0"/>
                    <w:autoSpaceDE/>
                    <w:autoSpaceDN/>
                    <w:bidi w:val="0"/>
                    <w:adjustRightInd/>
                    <w:snapToGrid/>
                    <w:spacing w:before="0" w:after="0"/>
                    <w:jc w:val="both"/>
                    <w:textAlignment w:val="auto"/>
                    <w:rPr>
                      <w:rFonts w:hint="default"/>
                      <w:color w:val="auto"/>
                      <w:sz w:val="21"/>
                      <w:szCs w:val="21"/>
                      <w:highlight w:val="none"/>
                      <w:lang w:val="zh-CN"/>
                    </w:rPr>
                  </w:pPr>
                  <w:r>
                    <w:rPr>
                      <w:color w:val="auto"/>
                      <w:sz w:val="21"/>
                      <w:szCs w:val="21"/>
                      <w:highlight w:val="none"/>
                    </w:rPr>
                    <w:drawing>
                      <wp:inline distT="0" distB="0" distL="114300" distR="114300">
                        <wp:extent cx="1009650" cy="904875"/>
                        <wp:effectExtent l="0" t="0" r="0" b="9525"/>
                        <wp:docPr id="8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9"/>
                                <pic:cNvPicPr>
                                  <a:picLocks noChangeAspect="1"/>
                                </pic:cNvPicPr>
                              </pic:nvPicPr>
                              <pic:blipFill>
                                <a:blip r:embed="rId46"/>
                                <a:stretch>
                                  <a:fillRect/>
                                </a:stretch>
                              </pic:blipFill>
                              <pic:spPr>
                                <a:xfrm>
                                  <a:off x="0" y="0"/>
                                  <a:ext cx="1009650" cy="904875"/>
                                </a:xfrm>
                                <a:prstGeom prst="rect">
                                  <a:avLst/>
                                </a:prstGeom>
                                <a:noFill/>
                                <a:ln>
                                  <a:noFill/>
                                </a:ln>
                              </pic:spPr>
                            </pic:pic>
                          </a:graphicData>
                        </a:graphic>
                      </wp:inline>
                    </w:drawing>
                  </w:r>
                </w:p>
              </w:tc>
              <w:tc>
                <w:tcPr>
                  <w:tcW w:w="1250" w:type="dxa"/>
                  <w:tcBorders>
                    <w:tl2br w:val="nil"/>
                    <w:tr2bl w:val="nil"/>
                  </w:tcBorders>
                  <w:noWrap w:val="0"/>
                  <w:vAlign w:val="center"/>
                </w:tcPr>
                <w:p w14:paraId="55A152E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噪声排放源</w:t>
                  </w:r>
                </w:p>
              </w:tc>
              <w:tc>
                <w:tcPr>
                  <w:tcW w:w="1924" w:type="dxa"/>
                  <w:tcBorders>
                    <w:tl2br w:val="nil"/>
                    <w:tr2bl w:val="nil"/>
                  </w:tcBorders>
                  <w:noWrap w:val="0"/>
                  <w:vAlign w:val="center"/>
                </w:tcPr>
                <w:p w14:paraId="47911FA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表示噪声向外环境排放</w:t>
                  </w:r>
                </w:p>
              </w:tc>
            </w:tr>
            <w:tr w14:paraId="631991B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507" w:hRule="atLeast"/>
                <w:jc w:val="center"/>
              </w:trPr>
              <w:tc>
                <w:tcPr>
                  <w:tcW w:w="828" w:type="dxa"/>
                  <w:tcBorders>
                    <w:tl2br w:val="nil"/>
                    <w:tr2bl w:val="nil"/>
                  </w:tcBorders>
                  <w:noWrap w:val="0"/>
                  <w:vAlign w:val="center"/>
                </w:tcPr>
                <w:p w14:paraId="4EA27FBA">
                  <w:pPr>
                    <w:pStyle w:val="43"/>
                    <w:keepNext w:val="0"/>
                    <w:keepLines w:val="0"/>
                    <w:pageBreakBefore w:val="0"/>
                    <w:widowControl w:val="0"/>
                    <w:numPr>
                      <w:ilvl w:val="0"/>
                      <w:numId w:val="21"/>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lang w:val="en-US" w:eastAsia="zh-CN"/>
                    </w:rPr>
                  </w:pPr>
                </w:p>
              </w:tc>
              <w:tc>
                <w:tcPr>
                  <w:tcW w:w="2059" w:type="dxa"/>
                  <w:tcBorders>
                    <w:tl2br w:val="nil"/>
                    <w:tr2bl w:val="nil"/>
                  </w:tcBorders>
                  <w:noWrap w:val="0"/>
                  <w:vAlign w:val="center"/>
                </w:tcPr>
                <w:p w14:paraId="3174885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drawing>
                      <wp:anchor distT="0" distB="0" distL="0" distR="0" simplePos="0" relativeHeight="251662336" behindDoc="1" locked="0" layoutInCell="1" allowOverlap="1">
                        <wp:simplePos x="0" y="0"/>
                        <wp:positionH relativeFrom="column">
                          <wp:posOffset>123825</wp:posOffset>
                        </wp:positionH>
                        <wp:positionV relativeFrom="paragraph">
                          <wp:posOffset>78740</wp:posOffset>
                        </wp:positionV>
                        <wp:extent cx="934085" cy="934085"/>
                        <wp:effectExtent l="0" t="0" r="18415" b="18415"/>
                        <wp:wrapTight wrapText="bothSides">
                          <wp:wrapPolygon>
                            <wp:start x="0" y="0"/>
                            <wp:lineTo x="0" y="21145"/>
                            <wp:lineTo x="21145" y="21145"/>
                            <wp:lineTo x="21145" y="0"/>
                            <wp:lineTo x="0" y="0"/>
                          </wp:wrapPolygon>
                        </wp:wrapTight>
                        <wp:docPr id="1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pic:cNvPicPr>
                                  <a:picLocks noChangeAspect="1"/>
                                </pic:cNvPicPr>
                              </pic:nvPicPr>
                              <pic:blipFill>
                                <a:blip r:embed="rId47"/>
                                <a:stretch>
                                  <a:fillRect/>
                                </a:stretch>
                              </pic:blipFill>
                              <pic:spPr>
                                <a:xfrm>
                                  <a:off x="0" y="0"/>
                                  <a:ext cx="934085" cy="934085"/>
                                </a:xfrm>
                                <a:prstGeom prst="rect">
                                  <a:avLst/>
                                </a:prstGeom>
                                <a:noFill/>
                                <a:ln>
                                  <a:noFill/>
                                </a:ln>
                              </pic:spPr>
                            </pic:pic>
                          </a:graphicData>
                        </a:graphic>
                      </wp:anchor>
                    </w:drawing>
                  </w:r>
                </w:p>
              </w:tc>
              <w:tc>
                <w:tcPr>
                  <w:tcW w:w="1837" w:type="dxa"/>
                  <w:tcBorders>
                    <w:tl2br w:val="nil"/>
                    <w:tr2bl w:val="nil"/>
                  </w:tcBorders>
                  <w:noWrap w:val="0"/>
                  <w:vAlign w:val="center"/>
                </w:tcPr>
                <w:p w14:paraId="29F9056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drawing>
                      <wp:anchor distT="0" distB="0" distL="114300" distR="114300" simplePos="0" relativeHeight="251660288" behindDoc="0" locked="0" layoutInCell="1" allowOverlap="1">
                        <wp:simplePos x="0" y="0"/>
                        <wp:positionH relativeFrom="column">
                          <wp:posOffset>83820</wp:posOffset>
                        </wp:positionH>
                        <wp:positionV relativeFrom="paragraph">
                          <wp:posOffset>127000</wp:posOffset>
                        </wp:positionV>
                        <wp:extent cx="935990" cy="831850"/>
                        <wp:effectExtent l="0" t="0" r="16510" b="6350"/>
                        <wp:wrapNone/>
                        <wp:docPr id="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9"/>
                                <pic:cNvPicPr>
                                  <a:picLocks noChangeAspect="1"/>
                                </pic:cNvPicPr>
                              </pic:nvPicPr>
                              <pic:blipFill>
                                <a:blip r:embed="rId48"/>
                                <a:stretch>
                                  <a:fillRect/>
                                </a:stretch>
                              </pic:blipFill>
                              <pic:spPr>
                                <a:xfrm>
                                  <a:off x="0" y="0"/>
                                  <a:ext cx="935990" cy="831850"/>
                                </a:xfrm>
                                <a:prstGeom prst="rect">
                                  <a:avLst/>
                                </a:prstGeom>
                                <a:noFill/>
                                <a:ln>
                                  <a:noFill/>
                                </a:ln>
                              </pic:spPr>
                            </pic:pic>
                          </a:graphicData>
                        </a:graphic>
                      </wp:anchor>
                    </w:drawing>
                  </w:r>
                </w:p>
              </w:tc>
              <w:tc>
                <w:tcPr>
                  <w:tcW w:w="1250" w:type="dxa"/>
                  <w:tcBorders>
                    <w:tl2br w:val="nil"/>
                    <w:tr2bl w:val="nil"/>
                  </w:tcBorders>
                  <w:noWrap w:val="0"/>
                  <w:vAlign w:val="center"/>
                </w:tcPr>
                <w:p w14:paraId="3B542361">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一般固体废物</w:t>
                  </w:r>
                </w:p>
              </w:tc>
              <w:tc>
                <w:tcPr>
                  <w:tcW w:w="1924" w:type="dxa"/>
                  <w:tcBorders>
                    <w:tl2br w:val="nil"/>
                    <w:tr2bl w:val="nil"/>
                  </w:tcBorders>
                  <w:noWrap w:val="0"/>
                  <w:vAlign w:val="center"/>
                </w:tcPr>
                <w:p w14:paraId="26FA923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表示一般固体废物贮存、处置场</w:t>
                  </w:r>
                </w:p>
              </w:tc>
            </w:tr>
            <w:tr w14:paraId="32BE0A3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70" w:hRule="atLeast"/>
                <w:jc w:val="center"/>
              </w:trPr>
              <w:tc>
                <w:tcPr>
                  <w:tcW w:w="828" w:type="dxa"/>
                  <w:tcBorders>
                    <w:tl2br w:val="nil"/>
                    <w:tr2bl w:val="nil"/>
                  </w:tcBorders>
                  <w:noWrap w:val="0"/>
                  <w:vAlign w:val="center"/>
                </w:tcPr>
                <w:p w14:paraId="675690A0">
                  <w:pPr>
                    <w:pStyle w:val="43"/>
                    <w:keepNext w:val="0"/>
                    <w:keepLines w:val="0"/>
                    <w:pageBreakBefore w:val="0"/>
                    <w:widowControl w:val="0"/>
                    <w:numPr>
                      <w:ilvl w:val="0"/>
                      <w:numId w:val="21"/>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lang w:val="en-US" w:eastAsia="zh-CN"/>
                    </w:rPr>
                  </w:pPr>
                </w:p>
              </w:tc>
              <w:tc>
                <w:tcPr>
                  <w:tcW w:w="2059" w:type="dxa"/>
                  <w:tcBorders>
                    <w:tl2br w:val="nil"/>
                    <w:tr2bl w:val="nil"/>
                  </w:tcBorders>
                  <w:noWrap w:val="0"/>
                  <w:vAlign w:val="center"/>
                </w:tcPr>
                <w:p w14:paraId="101A459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p>
              </w:tc>
              <w:tc>
                <w:tcPr>
                  <w:tcW w:w="1837" w:type="dxa"/>
                  <w:tcBorders>
                    <w:tl2br w:val="nil"/>
                    <w:tr2bl w:val="nil"/>
                  </w:tcBorders>
                  <w:noWrap w:val="0"/>
                  <w:vAlign w:val="center"/>
                </w:tcPr>
                <w:p w14:paraId="19C9FCA8">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color w:val="auto"/>
                      <w:sz w:val="21"/>
                      <w:szCs w:val="21"/>
                      <w:highlight w:val="none"/>
                    </w:rPr>
                    <w:drawing>
                      <wp:inline distT="0" distB="0" distL="114300" distR="114300">
                        <wp:extent cx="1059180" cy="935990"/>
                        <wp:effectExtent l="0" t="0" r="7620" b="16510"/>
                        <wp:docPr id="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3"/>
                                <pic:cNvPicPr>
                                  <a:picLocks noChangeAspect="1"/>
                                </pic:cNvPicPr>
                              </pic:nvPicPr>
                              <pic:blipFill>
                                <a:blip r:embed="rId49"/>
                                <a:stretch>
                                  <a:fillRect/>
                                </a:stretch>
                              </pic:blipFill>
                              <pic:spPr>
                                <a:xfrm>
                                  <a:off x="0" y="0"/>
                                  <a:ext cx="1059180" cy="935990"/>
                                </a:xfrm>
                                <a:prstGeom prst="rect">
                                  <a:avLst/>
                                </a:prstGeom>
                                <a:noFill/>
                                <a:ln>
                                  <a:noFill/>
                                </a:ln>
                              </pic:spPr>
                            </pic:pic>
                          </a:graphicData>
                        </a:graphic>
                      </wp:inline>
                    </w:drawing>
                  </w:r>
                </w:p>
              </w:tc>
              <w:tc>
                <w:tcPr>
                  <w:tcW w:w="1250" w:type="dxa"/>
                  <w:tcBorders>
                    <w:tl2br w:val="nil"/>
                    <w:tr2bl w:val="nil"/>
                  </w:tcBorders>
                  <w:noWrap w:val="0"/>
                  <w:vAlign w:val="center"/>
                </w:tcPr>
                <w:p w14:paraId="53E47F3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危险废物储存</w:t>
                  </w:r>
                </w:p>
              </w:tc>
              <w:tc>
                <w:tcPr>
                  <w:tcW w:w="1924" w:type="dxa"/>
                  <w:tcBorders>
                    <w:tl2br w:val="nil"/>
                    <w:tr2bl w:val="nil"/>
                  </w:tcBorders>
                  <w:noWrap w:val="0"/>
                  <w:vAlign w:val="center"/>
                </w:tcPr>
                <w:p w14:paraId="2FDD264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auto"/>
                      <w:sz w:val="21"/>
                      <w:szCs w:val="21"/>
                      <w:highlight w:val="none"/>
                      <w:lang w:val="zh-CN"/>
                    </w:rPr>
                  </w:pPr>
                  <w:r>
                    <w:rPr>
                      <w:rFonts w:hint="default"/>
                      <w:color w:val="auto"/>
                      <w:sz w:val="21"/>
                      <w:szCs w:val="21"/>
                      <w:highlight w:val="none"/>
                    </w:rPr>
                    <w:t>表示危险废物储存处置场所</w:t>
                  </w:r>
                </w:p>
              </w:tc>
            </w:tr>
          </w:tbl>
          <w:p w14:paraId="2FA12574">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auto"/>
                <w:kern w:val="44"/>
                <w:sz w:val="24"/>
                <w:szCs w:val="24"/>
                <w:highlight w:val="none"/>
                <w:lang w:val="zh-CN"/>
              </w:rPr>
            </w:pPr>
            <w:r>
              <w:rPr>
                <w:rFonts w:hint="default" w:ascii="Times New Roman" w:hAnsi="Times New Roman" w:eastAsia="宋体" w:cs="Times New Roman"/>
                <w:color w:val="auto"/>
                <w:kern w:val="44"/>
                <w:sz w:val="24"/>
                <w:szCs w:val="24"/>
                <w:highlight w:val="none"/>
                <w:lang w:val="zh-CN"/>
              </w:rPr>
              <w:t>②排放口的环境保护标志牌应设置在靠近采样点的醒目处，标志牌设置高度为其上缘距地面约2m。</w:t>
            </w:r>
          </w:p>
          <w:p w14:paraId="1B6E4E9D">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auto"/>
                <w:kern w:val="44"/>
                <w:sz w:val="24"/>
                <w:szCs w:val="24"/>
                <w:highlight w:val="none"/>
                <w:lang w:val="zh-CN"/>
              </w:rPr>
            </w:pPr>
            <w:r>
              <w:rPr>
                <w:rFonts w:hint="default" w:ascii="Times New Roman" w:hAnsi="Times New Roman" w:eastAsia="宋体" w:cs="Times New Roman"/>
                <w:color w:val="auto"/>
                <w:kern w:val="44"/>
                <w:sz w:val="24"/>
                <w:szCs w:val="24"/>
                <w:highlight w:val="none"/>
                <w:lang w:val="zh-CN"/>
              </w:rPr>
              <w:t>③图形颜色及装置颜色提示标志：底和立柱为绿色，图案、边框、支架和文字为白色；警告标志：底和立柱为黄色，图案、边框、支架和文字为黑色。</w:t>
            </w:r>
          </w:p>
          <w:p w14:paraId="59A7432E">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auto"/>
                <w:kern w:val="44"/>
                <w:sz w:val="24"/>
                <w:szCs w:val="24"/>
                <w:highlight w:val="none"/>
                <w:lang w:val="zh-CN"/>
              </w:rPr>
            </w:pPr>
            <w:r>
              <w:rPr>
                <w:rFonts w:hint="eastAsia" w:cs="Times New Roman"/>
                <w:color w:val="auto"/>
                <w:kern w:val="44"/>
                <w:sz w:val="24"/>
                <w:szCs w:val="24"/>
                <w:highlight w:val="none"/>
                <w:lang w:val="zh-CN"/>
              </w:rPr>
              <w:t>⑸</w:t>
            </w:r>
            <w:r>
              <w:rPr>
                <w:rFonts w:hint="default" w:ascii="Times New Roman" w:hAnsi="Times New Roman" w:eastAsia="宋体" w:cs="Times New Roman"/>
                <w:color w:val="auto"/>
                <w:kern w:val="44"/>
                <w:sz w:val="24"/>
                <w:szCs w:val="24"/>
                <w:highlight w:val="none"/>
                <w:lang w:val="zh-CN"/>
              </w:rPr>
              <w:t>排污口建档管理</w:t>
            </w:r>
          </w:p>
          <w:p w14:paraId="23DC6EEE">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auto"/>
                <w:kern w:val="44"/>
                <w:sz w:val="24"/>
                <w:szCs w:val="24"/>
                <w:highlight w:val="none"/>
                <w:lang w:val="zh-CN"/>
              </w:rPr>
            </w:pPr>
            <w:r>
              <w:rPr>
                <w:rFonts w:hint="default" w:ascii="Times New Roman" w:hAnsi="Times New Roman" w:eastAsia="宋体" w:cs="Times New Roman"/>
                <w:color w:val="auto"/>
                <w:kern w:val="44"/>
                <w:sz w:val="24"/>
                <w:szCs w:val="24"/>
                <w:highlight w:val="none"/>
                <w:lang w:val="zh-CN"/>
              </w:rPr>
              <w:t>①要求使用原国家环保总局统一印制的《中华人民共和国规范化排污口标志登记证》，并按照相关要求填写有关内容；</w:t>
            </w:r>
          </w:p>
          <w:p w14:paraId="43CC0224">
            <w:pPr>
              <w:shd w:val="clear"/>
              <w:rPr>
                <w:rFonts w:hint="default" w:ascii="Times New Roman" w:hAnsi="Times New Roman" w:eastAsia="宋体" w:cs="Times New Roman"/>
                <w:color w:val="auto"/>
                <w:kern w:val="44"/>
                <w:sz w:val="24"/>
                <w:szCs w:val="24"/>
                <w:highlight w:val="none"/>
                <w:lang w:val="zh-CN"/>
              </w:rPr>
            </w:pPr>
            <w:r>
              <w:rPr>
                <w:rFonts w:hint="default" w:ascii="Times New Roman" w:hAnsi="Times New Roman" w:eastAsia="宋体" w:cs="Times New Roman"/>
                <w:color w:val="auto"/>
                <w:kern w:val="44"/>
                <w:sz w:val="24"/>
                <w:szCs w:val="24"/>
                <w:highlight w:val="none"/>
                <w:lang w:val="zh-CN"/>
              </w:rPr>
              <w:t>②根据排污口管理档案内容要求，项目建成投产后，应将主要污染物种类、数量、浓度、排放去向、达标情况及设施运行情况记录于档案。</w:t>
            </w:r>
          </w:p>
          <w:p w14:paraId="3BCA5711">
            <w:pPr>
              <w:pStyle w:val="15"/>
              <w:shd w:val="clear"/>
              <w:rPr>
                <w:rFonts w:hint="default" w:ascii="Times New Roman" w:hAnsi="Times New Roman" w:eastAsia="宋体" w:cs="Times New Roman"/>
                <w:color w:val="auto"/>
                <w:kern w:val="44"/>
                <w:sz w:val="24"/>
                <w:szCs w:val="24"/>
                <w:highlight w:val="none"/>
                <w:lang w:val="zh-CN"/>
              </w:rPr>
            </w:pPr>
          </w:p>
          <w:p w14:paraId="56681699">
            <w:pPr>
              <w:pStyle w:val="15"/>
              <w:shd w:val="clear"/>
              <w:rPr>
                <w:rFonts w:hint="default" w:ascii="Times New Roman" w:hAnsi="Times New Roman" w:eastAsia="宋体" w:cs="Times New Roman"/>
                <w:color w:val="auto"/>
                <w:kern w:val="44"/>
                <w:sz w:val="24"/>
                <w:szCs w:val="24"/>
                <w:highlight w:val="none"/>
                <w:lang w:val="zh-CN"/>
              </w:rPr>
            </w:pPr>
          </w:p>
          <w:p w14:paraId="51ABC290">
            <w:pPr>
              <w:shd w:val="clear"/>
              <w:rPr>
                <w:rFonts w:hint="default"/>
                <w:color w:val="auto"/>
                <w:lang w:val="en-US" w:eastAsia="zh-CN"/>
              </w:rPr>
            </w:pPr>
          </w:p>
        </w:tc>
      </w:tr>
    </w:tbl>
    <w:p w14:paraId="014429DF">
      <w:pPr>
        <w:shd w:val="clea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22CD365D">
      <w:pPr>
        <w:keepNext w:val="0"/>
        <w:keepLines w:val="0"/>
        <w:pageBreakBefore w:val="0"/>
        <w:widowControl w:val="0"/>
        <w:shd w:val="clear"/>
        <w:kinsoku/>
        <w:wordWrap/>
        <w:overflowPunct/>
        <w:topLinePunct w:val="0"/>
        <w:autoSpaceDE/>
        <w:autoSpaceDN/>
        <w:bidi w:val="0"/>
        <w:adjustRightInd/>
        <w:snapToGrid/>
        <w:spacing w:beforeAutospacing="0" w:afterAutospacing="0"/>
        <w:ind w:firstLine="0" w:firstLineChars="0"/>
        <w:jc w:val="center"/>
        <w:textAlignment w:val="auto"/>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六、结论</w:t>
      </w:r>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14F09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tcBorders>
              <w:tl2br w:val="nil"/>
              <w:tr2bl w:val="nil"/>
            </w:tcBorders>
            <w:noWrap w:val="0"/>
            <w:vAlign w:val="top"/>
          </w:tcPr>
          <w:p w14:paraId="05D505A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cs="Times New Roman"/>
                <w:color w:val="auto"/>
                <w:highlight w:val="none"/>
                <w:lang w:val="en-US"/>
              </w:rPr>
            </w:pPr>
            <w:r>
              <w:rPr>
                <w:rFonts w:hint="eastAsia" w:cs="Times New Roman"/>
                <w:color w:val="auto"/>
                <w:sz w:val="24"/>
                <w:szCs w:val="24"/>
                <w:highlight w:val="none"/>
                <w:lang w:val="en-US" w:eastAsia="zh-CN"/>
              </w:rPr>
              <w:t>滦州市耀隆宝峰矿业有限公司</w:t>
            </w:r>
            <w:r>
              <w:rPr>
                <w:rFonts w:hint="default" w:ascii="Times New Roman" w:hAnsi="Times New Roman" w:cs="Times New Roman"/>
                <w:color w:val="auto"/>
                <w:sz w:val="24"/>
                <w:szCs w:val="24"/>
                <w:highlight w:val="none"/>
                <w:lang w:val="en-US" w:eastAsia="zh-CN"/>
              </w:rPr>
              <w:t>在</w:t>
            </w:r>
            <w:r>
              <w:rPr>
                <w:rFonts w:hint="eastAsia" w:cs="Times New Roman"/>
                <w:color w:val="auto"/>
                <w:sz w:val="24"/>
                <w:szCs w:val="24"/>
                <w:highlight w:val="none"/>
                <w:lang w:val="en-US" w:eastAsia="zh-CN"/>
              </w:rPr>
              <w:t>河北省唐山市滦州市雷庄镇耀隆宝峰矿业有限公司院内</w:t>
            </w:r>
            <w:r>
              <w:rPr>
                <w:rFonts w:hint="default" w:ascii="Times New Roman" w:hAnsi="Times New Roman" w:cs="Times New Roman"/>
                <w:color w:val="auto"/>
                <w:sz w:val="24"/>
                <w:szCs w:val="24"/>
                <w:highlight w:val="none"/>
                <w:lang w:val="en-US" w:eastAsia="zh-CN"/>
              </w:rPr>
              <w:t>投资</w:t>
            </w:r>
            <w:r>
              <w:rPr>
                <w:rFonts w:hint="eastAsia" w:cs="Times New Roman"/>
                <w:color w:val="auto"/>
                <w:sz w:val="24"/>
                <w:szCs w:val="24"/>
                <w:highlight w:val="none"/>
                <w:lang w:val="en-US" w:eastAsia="zh-CN"/>
              </w:rPr>
              <w:t>300</w:t>
            </w:r>
            <w:r>
              <w:rPr>
                <w:rFonts w:hint="default" w:ascii="Times New Roman" w:hAnsi="Times New Roman" w:cs="Times New Roman"/>
                <w:color w:val="auto"/>
                <w:sz w:val="24"/>
                <w:szCs w:val="24"/>
                <w:highlight w:val="none"/>
                <w:lang w:val="en-US" w:eastAsia="zh-CN"/>
              </w:rPr>
              <w:t>万元建设的</w:t>
            </w:r>
            <w:r>
              <w:rPr>
                <w:rFonts w:hint="eastAsia" w:cs="Times New Roman"/>
                <w:color w:val="auto"/>
                <w:highlight w:val="none"/>
                <w:lang w:val="en-US" w:eastAsia="zh-CN"/>
              </w:rPr>
              <w:t>滦州市耀隆宝峰矿业有限公司新增破碎筛分设备技术改造项目</w:t>
            </w:r>
            <w:r>
              <w:rPr>
                <w:rFonts w:hint="default" w:ascii="Times New Roman" w:hAnsi="Times New Roman" w:cs="Times New Roman"/>
                <w:color w:val="auto"/>
                <w:highlight w:val="none"/>
                <w:lang w:val="en-US" w:eastAsia="zh-CN"/>
              </w:rPr>
              <w:t>，符合国家产业政策，选址合理，采取环评提出的污染防治措施后，污染物可达标排放，不会对周围环境质量造成明显的不利影响，从环保角度而言，该项目建设可行。</w:t>
            </w:r>
          </w:p>
          <w:p w14:paraId="20621183">
            <w:pPr>
              <w:shd w:val="clear"/>
              <w:spacing w:line="360" w:lineRule="auto"/>
              <w:rPr>
                <w:rFonts w:hint="default" w:ascii="Times New Roman" w:hAnsi="Times New Roman" w:cs="Times New Roman"/>
                <w:color w:val="auto"/>
                <w:highlight w:val="none"/>
              </w:rPr>
            </w:pPr>
          </w:p>
          <w:p w14:paraId="37D0CF96">
            <w:pPr>
              <w:pStyle w:val="7"/>
              <w:shd w:val="clear"/>
              <w:rPr>
                <w:rFonts w:hint="default" w:ascii="Times New Roman" w:hAnsi="Times New Roman" w:cs="Times New Roman"/>
                <w:color w:val="auto"/>
                <w:highlight w:val="none"/>
              </w:rPr>
            </w:pPr>
          </w:p>
          <w:p w14:paraId="1E77C450">
            <w:pPr>
              <w:pStyle w:val="5"/>
              <w:shd w:val="clear"/>
              <w:rPr>
                <w:rFonts w:hint="default" w:ascii="Times New Roman" w:hAnsi="Times New Roman" w:cs="Times New Roman"/>
                <w:color w:val="auto"/>
                <w:highlight w:val="none"/>
              </w:rPr>
            </w:pPr>
          </w:p>
          <w:p w14:paraId="60065A94">
            <w:pPr>
              <w:shd w:val="clear"/>
              <w:rPr>
                <w:rFonts w:hint="default" w:ascii="Times New Roman" w:hAnsi="Times New Roman" w:cs="Times New Roman"/>
                <w:color w:val="auto"/>
                <w:highlight w:val="none"/>
              </w:rPr>
            </w:pPr>
          </w:p>
          <w:p w14:paraId="0F1E4A06">
            <w:pPr>
              <w:pStyle w:val="7"/>
              <w:shd w:val="clear"/>
              <w:rPr>
                <w:rFonts w:hint="default" w:ascii="Times New Roman" w:hAnsi="Times New Roman" w:cs="Times New Roman"/>
                <w:color w:val="auto"/>
                <w:highlight w:val="none"/>
              </w:rPr>
            </w:pPr>
          </w:p>
          <w:p w14:paraId="3FB8288C">
            <w:pPr>
              <w:pStyle w:val="5"/>
              <w:shd w:val="clear"/>
              <w:rPr>
                <w:rFonts w:hint="default" w:ascii="Times New Roman" w:hAnsi="Times New Roman" w:cs="Times New Roman"/>
                <w:color w:val="auto"/>
                <w:highlight w:val="none"/>
              </w:rPr>
            </w:pPr>
          </w:p>
          <w:p w14:paraId="7382EA4E">
            <w:pPr>
              <w:shd w:val="clear"/>
              <w:rPr>
                <w:rFonts w:hint="default" w:ascii="Times New Roman" w:hAnsi="Times New Roman" w:cs="Times New Roman"/>
                <w:color w:val="auto"/>
                <w:highlight w:val="none"/>
              </w:rPr>
            </w:pPr>
          </w:p>
          <w:p w14:paraId="480346E6">
            <w:pPr>
              <w:pStyle w:val="7"/>
              <w:shd w:val="clear"/>
              <w:rPr>
                <w:rFonts w:hint="default" w:ascii="Times New Roman" w:hAnsi="Times New Roman" w:cs="Times New Roman"/>
                <w:color w:val="auto"/>
                <w:highlight w:val="none"/>
              </w:rPr>
            </w:pPr>
          </w:p>
          <w:p w14:paraId="33ED7183">
            <w:pPr>
              <w:pStyle w:val="5"/>
              <w:shd w:val="clear"/>
              <w:rPr>
                <w:rFonts w:hint="default" w:ascii="Times New Roman" w:hAnsi="Times New Roman" w:cs="Times New Roman"/>
                <w:color w:val="auto"/>
                <w:highlight w:val="none"/>
              </w:rPr>
            </w:pPr>
          </w:p>
          <w:p w14:paraId="66AE33A7">
            <w:pPr>
              <w:shd w:val="clear"/>
              <w:rPr>
                <w:rFonts w:hint="default" w:ascii="Times New Roman" w:hAnsi="Times New Roman" w:cs="Times New Roman"/>
                <w:color w:val="auto"/>
                <w:highlight w:val="none"/>
              </w:rPr>
            </w:pPr>
          </w:p>
          <w:p w14:paraId="3E4C5885">
            <w:pPr>
              <w:pStyle w:val="7"/>
              <w:shd w:val="clear"/>
              <w:rPr>
                <w:rFonts w:hint="default" w:ascii="Times New Roman" w:hAnsi="Times New Roman" w:cs="Times New Roman"/>
                <w:color w:val="auto"/>
                <w:highlight w:val="none"/>
              </w:rPr>
            </w:pPr>
          </w:p>
          <w:p w14:paraId="7B34ECF7">
            <w:pPr>
              <w:pStyle w:val="5"/>
              <w:shd w:val="clear"/>
              <w:rPr>
                <w:rFonts w:hint="default" w:ascii="Times New Roman" w:hAnsi="Times New Roman" w:cs="Times New Roman"/>
                <w:color w:val="auto"/>
                <w:highlight w:val="none"/>
              </w:rPr>
            </w:pPr>
          </w:p>
          <w:p w14:paraId="5DA58743">
            <w:pPr>
              <w:shd w:val="clear"/>
              <w:rPr>
                <w:rFonts w:hint="default" w:ascii="Times New Roman" w:hAnsi="Times New Roman" w:cs="Times New Roman"/>
                <w:color w:val="auto"/>
                <w:highlight w:val="none"/>
              </w:rPr>
            </w:pPr>
          </w:p>
          <w:p w14:paraId="193E2C55">
            <w:pPr>
              <w:pStyle w:val="7"/>
              <w:shd w:val="clear"/>
              <w:rPr>
                <w:rFonts w:hint="default" w:ascii="Times New Roman" w:hAnsi="Times New Roman" w:cs="Times New Roman"/>
                <w:color w:val="auto"/>
                <w:highlight w:val="none"/>
              </w:rPr>
            </w:pPr>
          </w:p>
          <w:p w14:paraId="43013260">
            <w:pPr>
              <w:pStyle w:val="5"/>
              <w:shd w:val="clear"/>
              <w:rPr>
                <w:rFonts w:hint="default" w:ascii="Times New Roman" w:hAnsi="Times New Roman" w:cs="Times New Roman"/>
                <w:color w:val="auto"/>
                <w:highlight w:val="none"/>
              </w:rPr>
            </w:pPr>
          </w:p>
          <w:p w14:paraId="73CFFFD2">
            <w:pPr>
              <w:shd w:val="clear"/>
              <w:rPr>
                <w:rFonts w:hint="default" w:ascii="Times New Roman" w:hAnsi="Times New Roman" w:cs="Times New Roman"/>
                <w:color w:val="auto"/>
                <w:highlight w:val="none"/>
              </w:rPr>
            </w:pPr>
          </w:p>
          <w:p w14:paraId="525F573B">
            <w:pPr>
              <w:pStyle w:val="7"/>
              <w:shd w:val="clear"/>
              <w:rPr>
                <w:rFonts w:hint="default" w:ascii="Times New Roman" w:hAnsi="Times New Roman" w:cs="Times New Roman"/>
                <w:color w:val="auto"/>
                <w:highlight w:val="none"/>
              </w:rPr>
            </w:pPr>
          </w:p>
          <w:p w14:paraId="70FCB254">
            <w:pPr>
              <w:pStyle w:val="5"/>
              <w:shd w:val="clear"/>
              <w:rPr>
                <w:rFonts w:hint="default" w:ascii="Times New Roman" w:hAnsi="Times New Roman" w:cs="Times New Roman"/>
                <w:color w:val="auto"/>
                <w:highlight w:val="none"/>
              </w:rPr>
            </w:pPr>
          </w:p>
          <w:p w14:paraId="5AE00115">
            <w:pPr>
              <w:shd w:val="clear"/>
              <w:rPr>
                <w:rFonts w:hint="default" w:ascii="Times New Roman" w:hAnsi="Times New Roman" w:cs="Times New Roman"/>
                <w:color w:val="auto"/>
                <w:highlight w:val="none"/>
              </w:rPr>
            </w:pPr>
          </w:p>
          <w:p w14:paraId="61B2A2D3">
            <w:pPr>
              <w:pStyle w:val="7"/>
              <w:shd w:val="clear"/>
              <w:rPr>
                <w:rFonts w:hint="default" w:ascii="Times New Roman" w:hAnsi="Times New Roman" w:cs="Times New Roman"/>
                <w:color w:val="auto"/>
                <w:highlight w:val="none"/>
              </w:rPr>
            </w:pPr>
          </w:p>
          <w:p w14:paraId="6B209AC0">
            <w:pPr>
              <w:pStyle w:val="5"/>
              <w:shd w:val="clear"/>
              <w:rPr>
                <w:rFonts w:hint="default" w:ascii="Times New Roman" w:hAnsi="Times New Roman" w:cs="Times New Roman"/>
                <w:color w:val="auto"/>
                <w:highlight w:val="none"/>
              </w:rPr>
            </w:pPr>
          </w:p>
          <w:p w14:paraId="4B3486B8">
            <w:pPr>
              <w:shd w:val="clear"/>
              <w:rPr>
                <w:rFonts w:hint="default" w:ascii="Times New Roman" w:hAnsi="Times New Roman" w:cs="Times New Roman"/>
                <w:color w:val="auto"/>
                <w:highlight w:val="none"/>
              </w:rPr>
            </w:pPr>
          </w:p>
          <w:p w14:paraId="7AFD500B">
            <w:pPr>
              <w:pStyle w:val="7"/>
              <w:shd w:val="clear"/>
              <w:ind w:left="0" w:leftChars="0" w:firstLine="0" w:firstLineChars="0"/>
              <w:rPr>
                <w:rFonts w:hint="default" w:ascii="Times New Roman" w:hAnsi="Times New Roman" w:cs="Times New Roman"/>
                <w:color w:val="auto"/>
                <w:highlight w:val="none"/>
              </w:rPr>
            </w:pPr>
          </w:p>
        </w:tc>
      </w:tr>
    </w:tbl>
    <w:p w14:paraId="5EE48497">
      <w:pPr>
        <w:pStyle w:val="31"/>
        <w:shd w:val="clear"/>
        <w:rPr>
          <w:rFonts w:hint="default" w:ascii="Times New Roman" w:hAnsi="Times New Roman" w:cs="Times New Roman"/>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2280143">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eastAsia" w:ascii="Times New Roman" w:hAnsi="Times New Roman" w:eastAsia="黑体" w:cs="Times New Roman"/>
          <w:snapToGrid w:val="0"/>
          <w:color w:val="auto"/>
          <w:sz w:val="24"/>
          <w:szCs w:val="24"/>
          <w:highlight w:val="none"/>
          <w:lang w:eastAsia="zh-CN"/>
        </w:rPr>
      </w:pPr>
      <w:r>
        <w:rPr>
          <w:rFonts w:hint="default" w:ascii="Times New Roman" w:hAnsi="Times New Roman" w:eastAsia="黑体" w:cs="Times New Roman"/>
          <w:snapToGrid w:val="0"/>
          <w:color w:val="auto"/>
          <w:sz w:val="24"/>
          <w:szCs w:val="24"/>
          <w:highlight w:val="none"/>
        </w:rPr>
        <w:t>建设项目污染物排放量汇总表</w:t>
      </w:r>
      <w:r>
        <w:rPr>
          <w:rFonts w:hint="eastAsia" w:ascii="Times New Roman" w:hAnsi="Times New Roman" w:eastAsia="黑体" w:cs="Times New Roman"/>
          <w:snapToGrid w:val="0"/>
          <w:color w:val="auto"/>
          <w:sz w:val="24"/>
          <w:szCs w:val="24"/>
          <w:highlight w:val="none"/>
          <w:lang w:eastAsia="zh-CN"/>
        </w:rPr>
        <w:t>（单位：</w:t>
      </w:r>
      <w:r>
        <w:rPr>
          <w:rFonts w:hint="eastAsia" w:ascii="Times New Roman" w:hAnsi="Times New Roman" w:eastAsia="黑体" w:cs="Times New Roman"/>
          <w:snapToGrid w:val="0"/>
          <w:color w:val="auto"/>
          <w:sz w:val="24"/>
          <w:szCs w:val="24"/>
          <w:highlight w:val="none"/>
          <w:lang w:val="en-US" w:eastAsia="zh-CN"/>
        </w:rPr>
        <w:t>t/a</w:t>
      </w:r>
      <w:r>
        <w:rPr>
          <w:rFonts w:hint="eastAsia" w:ascii="Times New Roman" w:hAnsi="Times New Roman" w:eastAsia="黑体" w:cs="Times New Roman"/>
          <w:snapToGrid w:val="0"/>
          <w:color w:val="auto"/>
          <w:sz w:val="24"/>
          <w:szCs w:val="24"/>
          <w:highlight w:val="none"/>
          <w:lang w:eastAsia="zh-CN"/>
        </w:rPr>
        <w:t>）</w:t>
      </w:r>
    </w:p>
    <w:tbl>
      <w:tblPr>
        <w:tblStyle w:val="32"/>
        <w:tblW w:w="13936"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1278"/>
        <w:gridCol w:w="2880"/>
        <w:gridCol w:w="1426"/>
        <w:gridCol w:w="1080"/>
        <w:gridCol w:w="1456"/>
        <w:gridCol w:w="1411"/>
        <w:gridCol w:w="1411"/>
        <w:gridCol w:w="1747"/>
        <w:gridCol w:w="1247"/>
      </w:tblGrid>
      <w:tr w14:paraId="37DE12F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1052" w:hRule="atLeast"/>
          <w:tblHeader/>
          <w:jc w:val="center"/>
        </w:trPr>
        <w:tc>
          <w:tcPr>
            <w:tcW w:w="1278" w:type="dxa"/>
            <w:tcBorders>
              <w:tl2br w:val="nil"/>
              <w:tr2bl w:val="nil"/>
            </w:tcBorders>
            <w:shd w:val="clear" w:color="auto" w:fill="auto"/>
            <w:noWrap/>
            <w:vAlign w:val="center"/>
            <mc:AlternateContent>
              <mc:Choice Requires="wpsCustomData">
                <wpsCustomData:diagonals>
                  <wpsCustomData:diagonal from="10000" to="30000">
                    <wpsCustomData:border w:val="single" w:color="000000" w:sz="12" w:space="0"/>
                  </wpsCustomData:diagonal>
                </wpsCustomData:diagonals>
              </mc:Choice>
            </mc:AlternateContent>
          </w:tcPr>
          <w:p w14:paraId="363AFD37">
            <w:pPr>
              <w:keepNext w:val="0"/>
              <w:keepLines w:val="0"/>
              <w:pageBreakBefore w:val="0"/>
              <w:widowControl/>
              <w:suppressLineNumbers w:val="0"/>
              <w:shd w:val="clear"/>
              <w:kinsoku/>
              <w:wordWrap/>
              <w:overflowPunct/>
              <w:topLinePunct w:val="0"/>
              <w:autoSpaceDE/>
              <w:autoSpaceDN/>
              <w:bidi w:val="0"/>
              <w:adjustRightInd/>
              <w:snapToGrid w:val="0"/>
              <w:spacing w:line="0" w:lineRule="atLeas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p w14:paraId="7739CA69">
            <w:pPr>
              <w:keepNext w:val="0"/>
              <w:keepLines w:val="0"/>
              <w:pageBreakBefore w:val="0"/>
              <w:widowControl/>
              <w:suppressLineNumbers w:val="0"/>
              <w:shd w:val="clear"/>
              <w:kinsoku/>
              <w:wordWrap/>
              <w:overflowPunct/>
              <w:topLinePunct w:val="0"/>
              <w:autoSpaceDE/>
              <w:autoSpaceDN/>
              <w:bidi w:val="0"/>
              <w:adjustRightInd/>
              <w:snapToGrid w:val="0"/>
              <w:spacing w:line="0" w:lineRule="atLeas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p w14:paraId="4BD0DF8F">
            <w:pPr>
              <w:keepNext w:val="0"/>
              <w:keepLines w:val="0"/>
              <w:pageBreakBefore w:val="0"/>
              <w:widowControl/>
              <w:suppressLineNumbers w:val="0"/>
              <w:shd w:val="clear"/>
              <w:kinsoku/>
              <w:wordWrap/>
              <w:overflowPunct/>
              <w:topLinePunct w:val="0"/>
              <w:autoSpaceDE/>
              <w:autoSpaceDN/>
              <w:bidi w:val="0"/>
              <w:adjustRightInd/>
              <w:snapToGrid w:val="0"/>
              <w:spacing w:line="0" w:lineRule="atLeast"/>
              <w:ind w:firstLine="0" w:firstLineChars="0"/>
              <w:jc w:val="left"/>
              <w:textAlignment w:val="center"/>
              <mc:AlternateContent>
                <mc:Choice Requires="wpsCustomData">
                  <wpsCustomData:diagonalParaType/>
                </mc:Choice>
              </mc:AlternateContent>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分类</w:t>
            </w:r>
          </w:p>
          <w:p w14:paraId="2294C5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210" w:firstLineChars="10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项目</w:t>
            </w:r>
          </w:p>
          <w:p w14:paraId="249A845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宋体" w:cs="Times New Roman"/>
                <w:i w:val="0"/>
                <w:iCs w:val="0"/>
                <w:color w:val="auto"/>
                <w:sz w:val="21"/>
                <w:szCs w:val="21"/>
                <w:highlight w:val="none"/>
                <w:u w:val="none"/>
              </w:rPr>
            </w:pPr>
          </w:p>
        </w:tc>
        <w:tc>
          <w:tcPr>
            <w:tcW w:w="2880" w:type="dxa"/>
            <w:tcBorders>
              <w:tl2br w:val="nil"/>
              <w:tr2bl w:val="nil"/>
            </w:tcBorders>
            <w:shd w:val="clear" w:color="auto" w:fill="auto"/>
            <w:noWrap/>
            <w:vAlign w:val="center"/>
          </w:tcPr>
          <w:p w14:paraId="5E25FE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污染物名称</w:t>
            </w:r>
          </w:p>
        </w:tc>
        <w:tc>
          <w:tcPr>
            <w:tcW w:w="1426" w:type="dxa"/>
            <w:tcBorders>
              <w:tl2br w:val="nil"/>
              <w:tr2bl w:val="nil"/>
            </w:tcBorders>
            <w:shd w:val="clear" w:color="auto" w:fill="auto"/>
            <w:vAlign w:val="center"/>
          </w:tcPr>
          <w:p w14:paraId="71530C4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现有工程排放量（固体废物产生量）①</w:t>
            </w:r>
          </w:p>
        </w:tc>
        <w:tc>
          <w:tcPr>
            <w:tcW w:w="1080" w:type="dxa"/>
            <w:tcBorders>
              <w:tl2br w:val="nil"/>
              <w:tr2bl w:val="nil"/>
            </w:tcBorders>
            <w:shd w:val="clear" w:color="auto" w:fill="auto"/>
            <w:vAlign w:val="center"/>
          </w:tcPr>
          <w:p w14:paraId="2437EF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现有工程许可排放量②</w:t>
            </w:r>
          </w:p>
        </w:tc>
        <w:tc>
          <w:tcPr>
            <w:tcW w:w="1456" w:type="dxa"/>
            <w:tcBorders>
              <w:tl2br w:val="nil"/>
              <w:tr2bl w:val="nil"/>
            </w:tcBorders>
            <w:shd w:val="clear" w:color="auto" w:fill="auto"/>
            <w:vAlign w:val="center"/>
          </w:tcPr>
          <w:p w14:paraId="5D8B8C6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在建工程排放量（固体废物产生量）③</w:t>
            </w:r>
          </w:p>
        </w:tc>
        <w:tc>
          <w:tcPr>
            <w:tcW w:w="1411" w:type="dxa"/>
            <w:tcBorders>
              <w:tl2br w:val="nil"/>
              <w:tr2bl w:val="nil"/>
            </w:tcBorders>
            <w:shd w:val="clear" w:color="auto" w:fill="auto"/>
            <w:vAlign w:val="center"/>
          </w:tcPr>
          <w:p w14:paraId="67C46F1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本项目排放量（固体废物产生量）④</w:t>
            </w:r>
          </w:p>
        </w:tc>
        <w:tc>
          <w:tcPr>
            <w:tcW w:w="1411" w:type="dxa"/>
            <w:tcBorders>
              <w:tl2br w:val="nil"/>
              <w:tr2bl w:val="nil"/>
            </w:tcBorders>
            <w:shd w:val="clear" w:color="auto" w:fill="auto"/>
            <w:vAlign w:val="center"/>
          </w:tcPr>
          <w:p w14:paraId="3EEEB6A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以新带老削减量（新建项目不填）⑤</w:t>
            </w:r>
          </w:p>
        </w:tc>
        <w:tc>
          <w:tcPr>
            <w:tcW w:w="1747" w:type="dxa"/>
            <w:tcBorders>
              <w:tl2br w:val="nil"/>
              <w:tr2bl w:val="nil"/>
            </w:tcBorders>
            <w:shd w:val="clear" w:color="auto" w:fill="auto"/>
            <w:vAlign w:val="center"/>
          </w:tcPr>
          <w:p w14:paraId="3443473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本项目建成后全厂排放量（固体废物产生量）⑥</w:t>
            </w:r>
          </w:p>
        </w:tc>
        <w:tc>
          <w:tcPr>
            <w:tcW w:w="1247" w:type="dxa"/>
            <w:tcBorders>
              <w:tl2br w:val="nil"/>
              <w:tr2bl w:val="nil"/>
            </w:tcBorders>
            <w:shd w:val="clear" w:color="auto" w:fill="auto"/>
            <w:vAlign w:val="center"/>
          </w:tcPr>
          <w:p w14:paraId="4058F5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变化量⑦</w:t>
            </w:r>
          </w:p>
        </w:tc>
      </w:tr>
      <w:tr w14:paraId="3297BC2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604" w:hRule="atLeast"/>
          <w:jc w:val="center"/>
        </w:trPr>
        <w:tc>
          <w:tcPr>
            <w:tcW w:w="1278" w:type="dxa"/>
            <w:tcBorders>
              <w:tl2br w:val="nil"/>
              <w:tr2bl w:val="nil"/>
            </w:tcBorders>
            <w:shd w:val="clear" w:color="auto" w:fill="auto"/>
            <w:noWrap/>
            <w:vAlign w:val="center"/>
          </w:tcPr>
          <w:p w14:paraId="6CC13A7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废气</w:t>
            </w:r>
          </w:p>
        </w:tc>
        <w:tc>
          <w:tcPr>
            <w:tcW w:w="2880" w:type="dxa"/>
            <w:tcBorders>
              <w:tl2br w:val="nil"/>
              <w:tr2bl w:val="nil"/>
            </w:tcBorders>
            <w:shd w:val="clear" w:color="auto" w:fill="auto"/>
            <w:vAlign w:val="center"/>
          </w:tcPr>
          <w:p w14:paraId="3996414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颗粒物</w:t>
            </w:r>
          </w:p>
        </w:tc>
        <w:tc>
          <w:tcPr>
            <w:tcW w:w="1426" w:type="dxa"/>
            <w:tcBorders>
              <w:tl2br w:val="nil"/>
              <w:tr2bl w:val="nil"/>
            </w:tcBorders>
            <w:shd w:val="clear" w:color="auto" w:fill="auto"/>
            <w:vAlign w:val="center"/>
          </w:tcPr>
          <w:p w14:paraId="6805C73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0.560</w:t>
            </w:r>
          </w:p>
        </w:tc>
        <w:tc>
          <w:tcPr>
            <w:tcW w:w="1080" w:type="dxa"/>
            <w:tcBorders>
              <w:tl2br w:val="nil"/>
              <w:tr2bl w:val="nil"/>
            </w:tcBorders>
            <w:shd w:val="clear" w:color="auto" w:fill="auto"/>
            <w:vAlign w:val="center"/>
          </w:tcPr>
          <w:p w14:paraId="2B8B77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32C4052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394056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u w:val="none"/>
                <w:lang w:val="en-US" w:eastAsia="zh-CN" w:bidi="ar"/>
              </w:rPr>
              <w:t>1.168</w:t>
            </w:r>
          </w:p>
        </w:tc>
        <w:tc>
          <w:tcPr>
            <w:tcW w:w="1411" w:type="dxa"/>
            <w:tcBorders>
              <w:tl2br w:val="nil"/>
              <w:tr2bl w:val="nil"/>
            </w:tcBorders>
            <w:shd w:val="clear" w:color="auto" w:fill="auto"/>
            <w:vAlign w:val="center"/>
          </w:tcPr>
          <w:p w14:paraId="394E7D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5363C0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u w:val="none"/>
                <w:lang w:val="en-US" w:eastAsia="zh-CN" w:bidi="ar"/>
              </w:rPr>
              <w:t>1.728</w:t>
            </w:r>
          </w:p>
        </w:tc>
        <w:tc>
          <w:tcPr>
            <w:tcW w:w="1247" w:type="dxa"/>
            <w:tcBorders>
              <w:tl2br w:val="nil"/>
              <w:tr2bl w:val="nil"/>
            </w:tcBorders>
            <w:shd w:val="clear" w:color="auto" w:fill="auto"/>
            <w:vAlign w:val="center"/>
          </w:tcPr>
          <w:p w14:paraId="6F2CF61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u w:val="none"/>
                <w:lang w:val="en-US" w:eastAsia="zh-CN" w:bidi="ar"/>
              </w:rPr>
              <w:t>+1.168</w:t>
            </w:r>
          </w:p>
        </w:tc>
      </w:tr>
      <w:tr w14:paraId="3006BE6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restart"/>
            <w:tcBorders>
              <w:tl2br w:val="nil"/>
              <w:tr2bl w:val="nil"/>
            </w:tcBorders>
            <w:shd w:val="clear" w:color="auto" w:fill="auto"/>
            <w:vAlign w:val="center"/>
          </w:tcPr>
          <w:p w14:paraId="29FEDFB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一般工业</w:t>
            </w:r>
          </w:p>
          <w:p w14:paraId="562716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固体废物</w:t>
            </w:r>
          </w:p>
        </w:tc>
        <w:tc>
          <w:tcPr>
            <w:tcW w:w="2880" w:type="dxa"/>
            <w:tcBorders>
              <w:tl2br w:val="nil"/>
              <w:tr2bl w:val="nil"/>
            </w:tcBorders>
            <w:shd w:val="clear" w:color="auto" w:fill="auto"/>
            <w:vAlign w:val="center"/>
          </w:tcPr>
          <w:p w14:paraId="1F05EE4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sz w:val="21"/>
                <w:szCs w:val="21"/>
                <w:highlight w:val="none"/>
                <w:u w:val="none"/>
              </w:rPr>
            </w:pPr>
            <w:r>
              <w:rPr>
                <w:rFonts w:hint="eastAsia" w:ascii="Times New Roman" w:hAnsi="Times New Roman" w:eastAsia="宋体" w:cs="Times New Roman"/>
                <w:b w:val="0"/>
                <w:bCs w:val="0"/>
                <w:color w:val="auto"/>
                <w:w w:val="100"/>
                <w:kern w:val="2"/>
                <w:sz w:val="21"/>
                <w:szCs w:val="21"/>
                <w:highlight w:val="none"/>
                <w:lang w:val="en-US" w:eastAsia="zh-CN" w:bidi="ar-SA"/>
              </w:rPr>
              <w:t>尾矿砂</w:t>
            </w:r>
          </w:p>
        </w:tc>
        <w:tc>
          <w:tcPr>
            <w:tcW w:w="1426" w:type="dxa"/>
            <w:tcBorders>
              <w:tl2br w:val="nil"/>
              <w:tr2bl w:val="nil"/>
            </w:tcBorders>
            <w:shd w:val="clear" w:color="auto" w:fill="auto"/>
            <w:vAlign w:val="center"/>
          </w:tcPr>
          <w:p w14:paraId="0BB5224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19787.3</w:t>
            </w:r>
          </w:p>
        </w:tc>
        <w:tc>
          <w:tcPr>
            <w:tcW w:w="1080" w:type="dxa"/>
            <w:tcBorders>
              <w:tl2br w:val="nil"/>
              <w:tr2bl w:val="nil"/>
            </w:tcBorders>
            <w:shd w:val="clear" w:color="auto" w:fill="auto"/>
            <w:vAlign w:val="center"/>
          </w:tcPr>
          <w:p w14:paraId="16C2C6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14A506B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4E22A96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i w:val="0"/>
                <w:iCs w:val="0"/>
                <w:color w:val="auto"/>
                <w:spacing w:val="20"/>
                <w:sz w:val="21"/>
                <w:szCs w:val="21"/>
                <w:highlight w:val="none"/>
                <w:u w:val="none"/>
                <w:lang w:val="en-US" w:eastAsia="zh-CN"/>
              </w:rPr>
            </w:pPr>
            <w:r>
              <w:rPr>
                <w:rFonts w:hint="eastAsia" w:cs="Times New Roman"/>
                <w:i w:val="0"/>
                <w:iCs w:val="0"/>
                <w:color w:val="auto"/>
                <w:spacing w:val="20"/>
                <w:sz w:val="21"/>
                <w:szCs w:val="21"/>
                <w:highlight w:val="none"/>
                <w:u w:val="none"/>
                <w:lang w:val="en-US" w:eastAsia="zh-CN"/>
              </w:rPr>
              <w:t>0</w:t>
            </w:r>
          </w:p>
        </w:tc>
        <w:tc>
          <w:tcPr>
            <w:tcW w:w="1411" w:type="dxa"/>
            <w:tcBorders>
              <w:tl2br w:val="nil"/>
              <w:tr2bl w:val="nil"/>
            </w:tcBorders>
            <w:shd w:val="clear" w:color="auto" w:fill="auto"/>
            <w:vAlign w:val="center"/>
          </w:tcPr>
          <w:p w14:paraId="2504B5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sz w:val="21"/>
                <w:szCs w:val="21"/>
                <w:highlight w:val="none"/>
                <w:u w:val="none"/>
                <w:lang w:val="en-US"/>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40D88836">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s="Times New Roman"/>
                <w:i w:val="0"/>
                <w:iCs w:val="0"/>
                <w:color w:val="auto"/>
                <w:spacing w:val="20"/>
                <w:kern w:val="0"/>
                <w:sz w:val="21"/>
                <w:szCs w:val="21"/>
                <w:highlight w:val="none"/>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19787.3</w:t>
            </w:r>
          </w:p>
        </w:tc>
        <w:tc>
          <w:tcPr>
            <w:tcW w:w="1247" w:type="dxa"/>
            <w:tcBorders>
              <w:tl2br w:val="nil"/>
              <w:tr2bl w:val="nil"/>
            </w:tcBorders>
            <w:shd w:val="clear" w:color="auto" w:fill="auto"/>
            <w:vAlign w:val="center"/>
          </w:tcPr>
          <w:p w14:paraId="5226294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color w:val="auto"/>
                <w:sz w:val="21"/>
                <w:szCs w:val="21"/>
                <w:highlight w:val="none"/>
                <w:vertAlign w:val="baseline"/>
                <w:lang w:val="en-US" w:eastAsia="zh-CN"/>
              </w:rPr>
              <w:t>0</w:t>
            </w:r>
          </w:p>
        </w:tc>
      </w:tr>
      <w:tr w14:paraId="0F5A0B59">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793A361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880" w:type="dxa"/>
            <w:tcBorders>
              <w:tl2br w:val="nil"/>
              <w:tr2bl w:val="nil"/>
            </w:tcBorders>
            <w:shd w:val="clear" w:color="auto" w:fill="auto"/>
            <w:vAlign w:val="center"/>
          </w:tcPr>
          <w:p w14:paraId="56636DC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除尘灰</w:t>
            </w:r>
          </w:p>
        </w:tc>
        <w:tc>
          <w:tcPr>
            <w:tcW w:w="1426" w:type="dxa"/>
            <w:tcBorders>
              <w:tl2br w:val="nil"/>
              <w:tr2bl w:val="nil"/>
            </w:tcBorders>
            <w:shd w:val="clear" w:color="auto" w:fill="auto"/>
            <w:vAlign w:val="center"/>
          </w:tcPr>
          <w:p w14:paraId="4005A9B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92.7</w:t>
            </w:r>
          </w:p>
        </w:tc>
        <w:tc>
          <w:tcPr>
            <w:tcW w:w="1080" w:type="dxa"/>
            <w:tcBorders>
              <w:tl2br w:val="nil"/>
              <w:tr2bl w:val="nil"/>
            </w:tcBorders>
            <w:shd w:val="clear" w:color="auto" w:fill="auto"/>
            <w:vAlign w:val="center"/>
          </w:tcPr>
          <w:p w14:paraId="2EBE55D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5F2F7B2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0B0082E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highlight w:val="none"/>
                <w:u w:val="none"/>
                <w:lang w:val="en-US" w:eastAsia="zh-CN" w:bidi="ar"/>
              </w:rPr>
              <w:t>107.791</w:t>
            </w:r>
          </w:p>
        </w:tc>
        <w:tc>
          <w:tcPr>
            <w:tcW w:w="1411" w:type="dxa"/>
            <w:tcBorders>
              <w:tl2br w:val="nil"/>
              <w:tr2bl w:val="nil"/>
            </w:tcBorders>
            <w:shd w:val="clear" w:color="auto" w:fill="auto"/>
            <w:vAlign w:val="center"/>
          </w:tcPr>
          <w:p w14:paraId="105BA3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69D7AC04">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olor w:val="auto"/>
                <w:sz w:val="21"/>
                <w:szCs w:val="21"/>
                <w:highlight w:val="none"/>
                <w:vertAlign w:val="baseline"/>
                <w:lang w:val="en-US" w:eastAsia="zh-CN"/>
              </w:rPr>
              <w:t>199.891</w:t>
            </w:r>
          </w:p>
        </w:tc>
        <w:tc>
          <w:tcPr>
            <w:tcW w:w="1247" w:type="dxa"/>
            <w:tcBorders>
              <w:tl2br w:val="nil"/>
              <w:tr2bl w:val="nil"/>
            </w:tcBorders>
            <w:shd w:val="clear" w:color="auto" w:fill="auto"/>
            <w:vAlign w:val="center"/>
          </w:tcPr>
          <w:p w14:paraId="0F0040E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s="Times New Roman"/>
                <w:color w:val="auto"/>
                <w:sz w:val="21"/>
                <w:szCs w:val="21"/>
                <w:highlight w:val="none"/>
                <w:vertAlign w:val="baseline"/>
                <w:lang w:val="en-US" w:eastAsia="zh-CN"/>
              </w:rPr>
              <w:t>+107.791</w:t>
            </w:r>
          </w:p>
        </w:tc>
      </w:tr>
      <w:tr w14:paraId="6970812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175EC5D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880" w:type="dxa"/>
            <w:tcBorders>
              <w:tl2br w:val="nil"/>
              <w:tr2bl w:val="nil"/>
            </w:tcBorders>
            <w:shd w:val="clear" w:color="auto" w:fill="auto"/>
            <w:vAlign w:val="center"/>
          </w:tcPr>
          <w:p w14:paraId="26046A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洗车平台污泥</w:t>
            </w:r>
          </w:p>
        </w:tc>
        <w:tc>
          <w:tcPr>
            <w:tcW w:w="1426" w:type="dxa"/>
            <w:tcBorders>
              <w:tl2br w:val="nil"/>
              <w:tr2bl w:val="nil"/>
            </w:tcBorders>
            <w:shd w:val="clear" w:color="auto" w:fill="auto"/>
            <w:vAlign w:val="center"/>
          </w:tcPr>
          <w:p w14:paraId="1717AF5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10</w:t>
            </w:r>
          </w:p>
        </w:tc>
        <w:tc>
          <w:tcPr>
            <w:tcW w:w="1080" w:type="dxa"/>
            <w:tcBorders>
              <w:tl2br w:val="nil"/>
              <w:tr2bl w:val="nil"/>
            </w:tcBorders>
            <w:shd w:val="clear" w:color="auto" w:fill="auto"/>
            <w:vAlign w:val="center"/>
          </w:tcPr>
          <w:p w14:paraId="2A63562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0CC7508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3362D4A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highlight w:val="none"/>
                <w:u w:val="none"/>
                <w:lang w:val="en-US" w:eastAsia="zh-CN" w:bidi="ar"/>
              </w:rPr>
              <w:t>2.5</w:t>
            </w:r>
          </w:p>
        </w:tc>
        <w:tc>
          <w:tcPr>
            <w:tcW w:w="1411" w:type="dxa"/>
            <w:tcBorders>
              <w:tl2br w:val="nil"/>
              <w:tr2bl w:val="nil"/>
            </w:tcBorders>
            <w:shd w:val="clear" w:color="auto" w:fill="auto"/>
            <w:vAlign w:val="center"/>
          </w:tcPr>
          <w:p w14:paraId="346772B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70EBA64B">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olor w:val="auto"/>
                <w:sz w:val="21"/>
                <w:szCs w:val="21"/>
                <w:highlight w:val="none"/>
                <w:vertAlign w:val="baseline"/>
                <w:lang w:val="en-US" w:eastAsia="zh-CN"/>
              </w:rPr>
              <w:t>12.5</w:t>
            </w:r>
          </w:p>
        </w:tc>
        <w:tc>
          <w:tcPr>
            <w:tcW w:w="1247" w:type="dxa"/>
            <w:tcBorders>
              <w:tl2br w:val="nil"/>
              <w:tr2bl w:val="nil"/>
            </w:tcBorders>
            <w:shd w:val="clear" w:color="auto" w:fill="auto"/>
            <w:vAlign w:val="center"/>
          </w:tcPr>
          <w:p w14:paraId="73E6A4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s="Times New Roman"/>
                <w:color w:val="auto"/>
                <w:sz w:val="21"/>
                <w:szCs w:val="21"/>
                <w:highlight w:val="none"/>
                <w:vertAlign w:val="baseline"/>
                <w:lang w:val="en-US" w:eastAsia="zh-CN"/>
              </w:rPr>
              <w:t>+2.5</w:t>
            </w:r>
          </w:p>
        </w:tc>
      </w:tr>
      <w:tr w14:paraId="559217A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1EAC23F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880" w:type="dxa"/>
            <w:tcBorders>
              <w:tl2br w:val="nil"/>
              <w:tr2bl w:val="nil"/>
            </w:tcBorders>
            <w:shd w:val="clear" w:color="auto" w:fill="auto"/>
            <w:vAlign w:val="center"/>
          </w:tcPr>
          <w:p w14:paraId="47B0D92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废布袋</w:t>
            </w:r>
          </w:p>
        </w:tc>
        <w:tc>
          <w:tcPr>
            <w:tcW w:w="1426" w:type="dxa"/>
            <w:tcBorders>
              <w:tl2br w:val="nil"/>
              <w:tr2bl w:val="nil"/>
            </w:tcBorders>
            <w:shd w:val="clear" w:color="auto" w:fill="auto"/>
            <w:vAlign w:val="center"/>
          </w:tcPr>
          <w:p w14:paraId="13DBA5B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0.1</w:t>
            </w:r>
          </w:p>
        </w:tc>
        <w:tc>
          <w:tcPr>
            <w:tcW w:w="1080" w:type="dxa"/>
            <w:tcBorders>
              <w:tl2br w:val="nil"/>
              <w:tr2bl w:val="nil"/>
            </w:tcBorders>
            <w:shd w:val="clear" w:color="auto" w:fill="auto"/>
            <w:vAlign w:val="center"/>
          </w:tcPr>
          <w:p w14:paraId="09490CA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4391EAF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79FDF20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spacing w:val="20"/>
                <w:sz w:val="21"/>
                <w:szCs w:val="21"/>
                <w:highlight w:val="none"/>
                <w:u w:val="none"/>
                <w:lang w:val="en-US" w:eastAsia="zh-CN"/>
              </w:rPr>
            </w:pPr>
            <w:r>
              <w:rPr>
                <w:rFonts w:hint="eastAsia" w:cs="Times New Roman"/>
                <w:i w:val="0"/>
                <w:iCs w:val="0"/>
                <w:color w:val="auto"/>
                <w:spacing w:val="20"/>
                <w:sz w:val="21"/>
                <w:szCs w:val="21"/>
                <w:highlight w:val="none"/>
                <w:u w:val="none"/>
                <w:lang w:val="en-US" w:eastAsia="zh-CN"/>
              </w:rPr>
              <w:t>0.1</w:t>
            </w:r>
          </w:p>
        </w:tc>
        <w:tc>
          <w:tcPr>
            <w:tcW w:w="1411" w:type="dxa"/>
            <w:tcBorders>
              <w:tl2br w:val="nil"/>
              <w:tr2bl w:val="nil"/>
            </w:tcBorders>
            <w:shd w:val="clear" w:color="auto" w:fill="auto"/>
            <w:vAlign w:val="center"/>
          </w:tcPr>
          <w:p w14:paraId="4316694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sz w:val="21"/>
                <w:szCs w:val="21"/>
                <w:highlight w:val="none"/>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4FE252BA">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s="Times New Roman"/>
                <w:i w:val="0"/>
                <w:iCs w:val="0"/>
                <w:color w:val="auto"/>
                <w:spacing w:val="20"/>
                <w:kern w:val="0"/>
                <w:sz w:val="21"/>
                <w:szCs w:val="21"/>
                <w:highlight w:val="none"/>
                <w:u w:val="none"/>
                <w:lang w:val="en-US" w:eastAsia="zh-CN" w:bidi="ar"/>
              </w:rPr>
            </w:pPr>
            <w:r>
              <w:rPr>
                <w:rFonts w:hint="eastAsia"/>
                <w:color w:val="auto"/>
                <w:sz w:val="21"/>
                <w:szCs w:val="21"/>
                <w:highlight w:val="none"/>
                <w:vertAlign w:val="baseline"/>
                <w:lang w:val="en-US" w:eastAsia="zh-CN"/>
              </w:rPr>
              <w:t>0.2</w:t>
            </w:r>
          </w:p>
        </w:tc>
        <w:tc>
          <w:tcPr>
            <w:tcW w:w="1247" w:type="dxa"/>
            <w:tcBorders>
              <w:tl2br w:val="nil"/>
              <w:tr2bl w:val="nil"/>
            </w:tcBorders>
            <w:shd w:val="clear" w:color="auto" w:fill="auto"/>
            <w:vAlign w:val="center"/>
          </w:tcPr>
          <w:p w14:paraId="21F6166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color w:val="auto"/>
                <w:sz w:val="21"/>
                <w:szCs w:val="21"/>
                <w:highlight w:val="none"/>
                <w:vertAlign w:val="baseline"/>
                <w:lang w:val="en-US" w:eastAsia="zh-CN"/>
              </w:rPr>
              <w:t>+0.1</w:t>
            </w:r>
          </w:p>
        </w:tc>
      </w:tr>
      <w:tr w14:paraId="7D8B2A0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471E51C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880" w:type="dxa"/>
            <w:tcBorders>
              <w:tl2br w:val="nil"/>
              <w:tr2bl w:val="nil"/>
            </w:tcBorders>
            <w:shd w:val="clear" w:color="auto" w:fill="auto"/>
            <w:vAlign w:val="center"/>
          </w:tcPr>
          <w:p w14:paraId="6BD1C7C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b w:val="0"/>
                <w:bCs/>
                <w:color w:val="auto"/>
                <w:sz w:val="21"/>
                <w:szCs w:val="21"/>
                <w:highlight w:val="none"/>
                <w:lang w:eastAsia="zh-CN"/>
              </w:rPr>
            </w:pPr>
            <w:r>
              <w:rPr>
                <w:rFonts w:hint="eastAsia" w:ascii="Times New Roman" w:hAnsi="Times New Roman" w:eastAsia="宋体" w:cs="Times New Roman"/>
                <w:b w:val="0"/>
                <w:bCs w:val="0"/>
                <w:color w:val="auto"/>
                <w:w w:val="100"/>
                <w:kern w:val="2"/>
                <w:sz w:val="21"/>
                <w:szCs w:val="21"/>
                <w:highlight w:val="none"/>
                <w:lang w:val="en-US" w:eastAsia="zh-CN" w:bidi="ar-SA"/>
              </w:rPr>
              <w:t>铁精粉</w:t>
            </w:r>
          </w:p>
        </w:tc>
        <w:tc>
          <w:tcPr>
            <w:tcW w:w="1426" w:type="dxa"/>
            <w:tcBorders>
              <w:tl2br w:val="nil"/>
              <w:tr2bl w:val="nil"/>
            </w:tcBorders>
            <w:shd w:val="clear" w:color="auto" w:fill="auto"/>
            <w:vAlign w:val="center"/>
          </w:tcPr>
          <w:p w14:paraId="27014AF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120</w:t>
            </w:r>
          </w:p>
        </w:tc>
        <w:tc>
          <w:tcPr>
            <w:tcW w:w="1080" w:type="dxa"/>
            <w:tcBorders>
              <w:tl2br w:val="nil"/>
              <w:tr2bl w:val="nil"/>
            </w:tcBorders>
            <w:shd w:val="clear" w:color="auto" w:fill="auto"/>
            <w:vAlign w:val="center"/>
          </w:tcPr>
          <w:p w14:paraId="25FBBD9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441B13E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398F3BD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auto"/>
                <w:spacing w:val="20"/>
                <w:kern w:val="2"/>
                <w:sz w:val="21"/>
                <w:szCs w:val="21"/>
                <w:highlight w:val="none"/>
                <w:lang w:val="en-US" w:eastAsia="zh-CN" w:bidi="ar-SA"/>
              </w:rPr>
            </w:pPr>
            <w:r>
              <w:rPr>
                <w:rFonts w:hint="eastAsia" w:cs="Times New Roman"/>
                <w:color w:val="auto"/>
                <w:spacing w:val="20"/>
                <w:kern w:val="2"/>
                <w:sz w:val="21"/>
                <w:szCs w:val="21"/>
                <w:highlight w:val="none"/>
                <w:lang w:val="en-US" w:eastAsia="zh-CN" w:bidi="ar-SA"/>
              </w:rPr>
              <w:t>0</w:t>
            </w:r>
          </w:p>
        </w:tc>
        <w:tc>
          <w:tcPr>
            <w:tcW w:w="1411" w:type="dxa"/>
            <w:tcBorders>
              <w:tl2br w:val="nil"/>
              <w:tr2bl w:val="nil"/>
            </w:tcBorders>
            <w:shd w:val="clear" w:color="auto" w:fill="auto"/>
            <w:vAlign w:val="center"/>
          </w:tcPr>
          <w:p w14:paraId="5B12773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7E6CE310">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eastAsia" w:cs="Times New Roman"/>
                <w:color w:val="auto"/>
                <w:spacing w:val="20"/>
                <w:kern w:val="2"/>
                <w:sz w:val="21"/>
                <w:szCs w:val="21"/>
                <w:highlight w:val="none"/>
                <w:lang w:val="en-US" w:eastAsia="zh-CN" w:bidi="ar-SA"/>
              </w:rPr>
            </w:pPr>
            <w:r>
              <w:rPr>
                <w:rFonts w:hint="eastAsia"/>
                <w:color w:val="auto"/>
                <w:sz w:val="21"/>
                <w:szCs w:val="21"/>
                <w:highlight w:val="none"/>
                <w:vertAlign w:val="baseline"/>
                <w:lang w:val="en-US" w:eastAsia="zh-CN"/>
              </w:rPr>
              <w:t>120</w:t>
            </w:r>
          </w:p>
        </w:tc>
        <w:tc>
          <w:tcPr>
            <w:tcW w:w="1247" w:type="dxa"/>
            <w:tcBorders>
              <w:tl2br w:val="nil"/>
              <w:tr2bl w:val="nil"/>
            </w:tcBorders>
            <w:shd w:val="clear" w:color="auto" w:fill="auto"/>
            <w:vAlign w:val="center"/>
          </w:tcPr>
          <w:p w14:paraId="0D11C33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auto"/>
                <w:spacing w:val="20"/>
                <w:kern w:val="0"/>
                <w:sz w:val="21"/>
                <w:szCs w:val="21"/>
                <w:u w:val="none"/>
                <w:lang w:val="en-US" w:eastAsia="zh-CN" w:bidi="ar"/>
              </w:rPr>
            </w:pPr>
            <w:r>
              <w:rPr>
                <w:rFonts w:hint="eastAsia" w:cs="Times New Roman"/>
                <w:color w:val="auto"/>
                <w:sz w:val="21"/>
                <w:szCs w:val="21"/>
                <w:highlight w:val="none"/>
                <w:vertAlign w:val="baseline"/>
                <w:lang w:val="en-US" w:eastAsia="zh-CN"/>
              </w:rPr>
              <w:t>0</w:t>
            </w:r>
          </w:p>
        </w:tc>
      </w:tr>
      <w:tr w14:paraId="573477C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5CAF9B9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880" w:type="dxa"/>
            <w:tcBorders>
              <w:tl2br w:val="nil"/>
              <w:tr2bl w:val="nil"/>
            </w:tcBorders>
            <w:shd w:val="clear" w:color="auto" w:fill="auto"/>
            <w:vAlign w:val="center"/>
          </w:tcPr>
          <w:p w14:paraId="2EE2F09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sz w:val="21"/>
                <w:szCs w:val="21"/>
                <w:highlight w:val="none"/>
                <w:u w:val="none"/>
              </w:rPr>
            </w:pPr>
            <w:r>
              <w:rPr>
                <w:rFonts w:hint="eastAsia" w:ascii="Times New Roman" w:hAnsi="Times New Roman" w:eastAsia="宋体" w:cs="Times New Roman"/>
                <w:b w:val="0"/>
                <w:bCs w:val="0"/>
                <w:color w:val="auto"/>
                <w:w w:val="100"/>
                <w:kern w:val="2"/>
                <w:sz w:val="21"/>
                <w:szCs w:val="21"/>
                <w:highlight w:val="none"/>
                <w:lang w:val="en-US" w:eastAsia="zh-CN" w:bidi="ar-SA"/>
              </w:rPr>
              <w:t>土渣</w:t>
            </w:r>
          </w:p>
        </w:tc>
        <w:tc>
          <w:tcPr>
            <w:tcW w:w="1426" w:type="dxa"/>
            <w:tcBorders>
              <w:tl2br w:val="nil"/>
              <w:tr2bl w:val="nil"/>
            </w:tcBorders>
            <w:shd w:val="clear" w:color="auto" w:fill="auto"/>
            <w:vAlign w:val="center"/>
          </w:tcPr>
          <w:p w14:paraId="0DF19A7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vertAlign w:val="baseline"/>
                <w:lang w:val="en-US" w:eastAsia="zh-CN"/>
              </w:rPr>
              <w:t>0</w:t>
            </w:r>
          </w:p>
        </w:tc>
        <w:tc>
          <w:tcPr>
            <w:tcW w:w="1080" w:type="dxa"/>
            <w:tcBorders>
              <w:tl2br w:val="nil"/>
              <w:tr2bl w:val="nil"/>
            </w:tcBorders>
            <w:shd w:val="clear" w:color="auto" w:fill="auto"/>
            <w:vAlign w:val="center"/>
          </w:tcPr>
          <w:p w14:paraId="31BE1B3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545B73B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05A7FE3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auto"/>
                <w:spacing w:val="20"/>
                <w:sz w:val="21"/>
                <w:szCs w:val="21"/>
                <w:highlight w:val="none"/>
                <w:u w:val="none"/>
                <w:lang w:val="en-US" w:eastAsia="zh-CN"/>
              </w:rPr>
            </w:pPr>
            <w:r>
              <w:rPr>
                <w:rFonts w:hint="eastAsia" w:cs="Times New Roman"/>
                <w:i w:val="0"/>
                <w:iCs w:val="0"/>
                <w:color w:val="auto"/>
                <w:spacing w:val="20"/>
                <w:sz w:val="21"/>
                <w:szCs w:val="21"/>
                <w:highlight w:val="none"/>
                <w:u w:val="none"/>
                <w:lang w:val="en-US" w:eastAsia="zh-CN"/>
              </w:rPr>
              <w:t>29891.041</w:t>
            </w:r>
          </w:p>
        </w:tc>
        <w:tc>
          <w:tcPr>
            <w:tcW w:w="1411" w:type="dxa"/>
            <w:tcBorders>
              <w:tl2br w:val="nil"/>
              <w:tr2bl w:val="nil"/>
            </w:tcBorders>
            <w:shd w:val="clear" w:color="auto" w:fill="auto"/>
            <w:vAlign w:val="center"/>
          </w:tcPr>
          <w:p w14:paraId="25C1B76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sz w:val="21"/>
                <w:szCs w:val="21"/>
                <w:highlight w:val="none"/>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693375C2">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s="Times New Roman"/>
                <w:i w:val="0"/>
                <w:iCs w:val="0"/>
                <w:color w:val="auto"/>
                <w:spacing w:val="20"/>
                <w:kern w:val="0"/>
                <w:sz w:val="21"/>
                <w:szCs w:val="21"/>
                <w:highlight w:val="none"/>
                <w:u w:val="none"/>
                <w:lang w:val="en-US" w:eastAsia="zh-CN" w:bidi="ar"/>
              </w:rPr>
            </w:pPr>
            <w:r>
              <w:rPr>
                <w:rFonts w:hint="eastAsia"/>
                <w:color w:val="auto"/>
                <w:sz w:val="21"/>
                <w:szCs w:val="21"/>
                <w:highlight w:val="none"/>
                <w:vertAlign w:val="baseline"/>
                <w:lang w:val="en-US" w:eastAsia="zh-CN"/>
              </w:rPr>
              <w:t>29891.041</w:t>
            </w:r>
          </w:p>
        </w:tc>
        <w:tc>
          <w:tcPr>
            <w:tcW w:w="1247" w:type="dxa"/>
            <w:tcBorders>
              <w:tl2br w:val="nil"/>
              <w:tr2bl w:val="nil"/>
            </w:tcBorders>
            <w:shd w:val="clear" w:color="auto" w:fill="auto"/>
            <w:vAlign w:val="center"/>
          </w:tcPr>
          <w:p w14:paraId="2E5FDA5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29891.041</w:t>
            </w:r>
          </w:p>
        </w:tc>
      </w:tr>
      <w:tr w14:paraId="566AD4B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29" w:hRule="atLeast"/>
          <w:jc w:val="center"/>
        </w:trPr>
        <w:tc>
          <w:tcPr>
            <w:tcW w:w="1278" w:type="dxa"/>
            <w:vMerge w:val="restart"/>
            <w:tcBorders>
              <w:tl2br w:val="nil"/>
              <w:tr2bl w:val="nil"/>
            </w:tcBorders>
            <w:shd w:val="clear" w:color="auto" w:fill="auto"/>
            <w:noWrap/>
            <w:vAlign w:val="center"/>
          </w:tcPr>
          <w:p w14:paraId="46C97EA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eastAsia" w:ascii="Times New Roman" w:hAnsi="Times New Roman" w:eastAsia="宋体" w:cs="Times New Roman"/>
                <w:i w:val="0"/>
                <w:iCs w:val="0"/>
                <w:color w:val="auto"/>
                <w:sz w:val="21"/>
                <w:szCs w:val="21"/>
                <w:highlight w:val="none"/>
                <w:u w:val="none"/>
                <w:lang w:eastAsia="zh-CN"/>
              </w:rPr>
            </w:pPr>
            <w:r>
              <w:rPr>
                <w:rFonts w:hint="eastAsia" w:cs="Times New Roman"/>
                <w:i w:val="0"/>
                <w:iCs w:val="0"/>
                <w:color w:val="auto"/>
                <w:sz w:val="21"/>
                <w:szCs w:val="21"/>
                <w:highlight w:val="none"/>
                <w:u w:val="none"/>
                <w:lang w:eastAsia="zh-CN"/>
              </w:rPr>
              <w:t>危险废物</w:t>
            </w:r>
          </w:p>
        </w:tc>
        <w:tc>
          <w:tcPr>
            <w:tcW w:w="2880" w:type="dxa"/>
            <w:tcBorders>
              <w:tl2br w:val="nil"/>
              <w:tr2bl w:val="nil"/>
            </w:tcBorders>
            <w:shd w:val="clear" w:color="auto" w:fill="auto"/>
            <w:vAlign w:val="center"/>
          </w:tcPr>
          <w:p w14:paraId="38D040F4">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default" w:ascii="Times New Roman" w:hAnsi="Times New Roman" w:eastAsia="宋体" w:cs="Times New Roman"/>
                <w:i w:val="0"/>
                <w:iCs w:val="0"/>
                <w:color w:val="auto"/>
                <w:sz w:val="21"/>
                <w:szCs w:val="21"/>
                <w:highlight w:val="none"/>
                <w:u w:val="none"/>
              </w:rPr>
            </w:pPr>
            <w:r>
              <w:rPr>
                <w:b w:val="0"/>
                <w:bCs w:val="0"/>
                <w:color w:val="auto"/>
                <w:kern w:val="0"/>
                <w:sz w:val="21"/>
                <w:szCs w:val="21"/>
                <w:highlight w:val="none"/>
              </w:rPr>
              <w:t>废润滑油</w:t>
            </w:r>
          </w:p>
        </w:tc>
        <w:tc>
          <w:tcPr>
            <w:tcW w:w="1426" w:type="dxa"/>
            <w:tcBorders>
              <w:tl2br w:val="nil"/>
              <w:tr2bl w:val="nil"/>
            </w:tcBorders>
            <w:shd w:val="clear" w:color="auto" w:fill="auto"/>
            <w:vAlign w:val="center"/>
          </w:tcPr>
          <w:p w14:paraId="33E3BAC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0.3</w:t>
            </w:r>
          </w:p>
        </w:tc>
        <w:tc>
          <w:tcPr>
            <w:tcW w:w="1080" w:type="dxa"/>
            <w:tcBorders>
              <w:tl2br w:val="nil"/>
              <w:tr2bl w:val="nil"/>
            </w:tcBorders>
            <w:shd w:val="clear" w:color="auto" w:fill="auto"/>
            <w:vAlign w:val="center"/>
          </w:tcPr>
          <w:p w14:paraId="7C617BA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3972D8C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3089E06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highlight w:val="none"/>
                <w:u w:val="none"/>
                <w:lang w:val="en-US" w:eastAsia="zh-CN" w:bidi="ar"/>
              </w:rPr>
              <w:t>0.05</w:t>
            </w:r>
          </w:p>
        </w:tc>
        <w:tc>
          <w:tcPr>
            <w:tcW w:w="1411" w:type="dxa"/>
            <w:tcBorders>
              <w:tl2br w:val="nil"/>
              <w:tr2bl w:val="nil"/>
            </w:tcBorders>
            <w:shd w:val="clear" w:color="auto" w:fill="auto"/>
            <w:vAlign w:val="center"/>
          </w:tcPr>
          <w:p w14:paraId="2D6DFF4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140C9D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highlight w:val="none"/>
                <w:u w:val="none"/>
                <w:lang w:val="en-US" w:eastAsia="zh-CN" w:bidi="ar"/>
              </w:rPr>
              <w:t>0.35</w:t>
            </w:r>
          </w:p>
        </w:tc>
        <w:tc>
          <w:tcPr>
            <w:tcW w:w="1247" w:type="dxa"/>
            <w:tcBorders>
              <w:tl2br w:val="nil"/>
              <w:tr2bl w:val="nil"/>
            </w:tcBorders>
            <w:shd w:val="clear" w:color="auto" w:fill="auto"/>
            <w:vAlign w:val="center"/>
          </w:tcPr>
          <w:p w14:paraId="4E0CD42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u w:val="none"/>
                <w:lang w:val="en-US" w:eastAsia="zh-CN" w:bidi="ar"/>
              </w:rPr>
              <w:t>+</w:t>
            </w:r>
            <w:r>
              <w:rPr>
                <w:rFonts w:hint="default" w:ascii="Times New Roman" w:hAnsi="Times New Roman" w:eastAsia="宋体" w:cs="Times New Roman"/>
                <w:i w:val="0"/>
                <w:iCs w:val="0"/>
                <w:color w:val="auto"/>
                <w:spacing w:val="20"/>
                <w:kern w:val="0"/>
                <w:sz w:val="21"/>
                <w:szCs w:val="21"/>
                <w:u w:val="none"/>
                <w:lang w:val="en-US" w:eastAsia="zh-CN" w:bidi="ar"/>
              </w:rPr>
              <w:t>0.</w:t>
            </w:r>
            <w:r>
              <w:rPr>
                <w:rFonts w:hint="eastAsia" w:cs="Times New Roman"/>
                <w:i w:val="0"/>
                <w:iCs w:val="0"/>
                <w:color w:val="auto"/>
                <w:spacing w:val="20"/>
                <w:kern w:val="0"/>
                <w:sz w:val="21"/>
                <w:szCs w:val="21"/>
                <w:u w:val="none"/>
                <w:lang w:val="en-US" w:eastAsia="zh-CN" w:bidi="ar"/>
              </w:rPr>
              <w:t>05</w:t>
            </w:r>
          </w:p>
        </w:tc>
      </w:tr>
      <w:tr w14:paraId="7ED2BED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66" w:hRule="atLeast"/>
          <w:jc w:val="center"/>
        </w:trPr>
        <w:tc>
          <w:tcPr>
            <w:tcW w:w="1278" w:type="dxa"/>
            <w:vMerge w:val="continue"/>
            <w:tcBorders>
              <w:tl2br w:val="nil"/>
              <w:tr2bl w:val="nil"/>
            </w:tcBorders>
            <w:shd w:val="clear" w:color="auto" w:fill="auto"/>
            <w:noWrap/>
            <w:vAlign w:val="center"/>
          </w:tcPr>
          <w:p w14:paraId="3D06257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880" w:type="dxa"/>
            <w:tcBorders>
              <w:tl2br w:val="nil"/>
              <w:tr2bl w:val="nil"/>
            </w:tcBorders>
            <w:shd w:val="clear" w:color="auto" w:fill="auto"/>
            <w:vAlign w:val="center"/>
          </w:tcPr>
          <w:p w14:paraId="6F03825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ascii="Times New Roman" w:hAnsi="Times New Roman" w:eastAsia="宋体" w:cs="Times New Roman"/>
                <w:i w:val="0"/>
                <w:iCs w:val="0"/>
                <w:color w:val="auto"/>
                <w:sz w:val="21"/>
                <w:szCs w:val="21"/>
                <w:highlight w:val="none"/>
                <w:u w:val="none"/>
                <w:lang w:eastAsia="zh-CN"/>
              </w:rPr>
            </w:pPr>
            <w:r>
              <w:rPr>
                <w:rFonts w:hint="eastAsia"/>
                <w:b w:val="0"/>
                <w:bCs w:val="0"/>
                <w:color w:val="auto"/>
                <w:kern w:val="0"/>
                <w:sz w:val="21"/>
                <w:szCs w:val="21"/>
                <w:highlight w:val="none"/>
                <w:lang w:eastAsia="zh-CN"/>
              </w:rPr>
              <w:t>废润滑油桶</w:t>
            </w:r>
          </w:p>
        </w:tc>
        <w:tc>
          <w:tcPr>
            <w:tcW w:w="1426" w:type="dxa"/>
            <w:tcBorders>
              <w:tl2br w:val="nil"/>
              <w:tr2bl w:val="nil"/>
            </w:tcBorders>
            <w:shd w:val="clear" w:color="auto" w:fill="auto"/>
            <w:vAlign w:val="center"/>
          </w:tcPr>
          <w:p w14:paraId="4CF68A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0.02</w:t>
            </w:r>
          </w:p>
        </w:tc>
        <w:tc>
          <w:tcPr>
            <w:tcW w:w="1080" w:type="dxa"/>
            <w:tcBorders>
              <w:tl2br w:val="nil"/>
              <w:tr2bl w:val="nil"/>
            </w:tcBorders>
            <w:shd w:val="clear" w:color="auto" w:fill="auto"/>
            <w:vAlign w:val="center"/>
          </w:tcPr>
          <w:p w14:paraId="2D1A831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56" w:type="dxa"/>
            <w:tcBorders>
              <w:tl2br w:val="nil"/>
              <w:tr2bl w:val="nil"/>
            </w:tcBorders>
            <w:shd w:val="clear" w:color="auto" w:fill="auto"/>
            <w:vAlign w:val="center"/>
          </w:tcPr>
          <w:p w14:paraId="7363847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411" w:type="dxa"/>
            <w:tcBorders>
              <w:tl2br w:val="nil"/>
              <w:tr2bl w:val="nil"/>
            </w:tcBorders>
            <w:shd w:val="clear" w:color="auto" w:fill="auto"/>
            <w:vAlign w:val="center"/>
          </w:tcPr>
          <w:p w14:paraId="6EFD50B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highlight w:val="none"/>
                <w:u w:val="none"/>
                <w:lang w:val="en-US" w:eastAsia="zh-CN" w:bidi="ar"/>
              </w:rPr>
              <w:t>0.02</w:t>
            </w:r>
          </w:p>
        </w:tc>
        <w:tc>
          <w:tcPr>
            <w:tcW w:w="1411" w:type="dxa"/>
            <w:tcBorders>
              <w:tl2br w:val="nil"/>
              <w:tr2bl w:val="nil"/>
            </w:tcBorders>
            <w:shd w:val="clear" w:color="auto" w:fill="auto"/>
            <w:vAlign w:val="center"/>
          </w:tcPr>
          <w:p w14:paraId="778D35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auto"/>
                <w:spacing w:val="2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47" w:type="dxa"/>
            <w:tcBorders>
              <w:tl2br w:val="nil"/>
              <w:tr2bl w:val="nil"/>
            </w:tcBorders>
            <w:shd w:val="clear" w:color="auto" w:fill="auto"/>
            <w:vAlign w:val="center"/>
          </w:tcPr>
          <w:p w14:paraId="302F49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highlight w:val="none"/>
                <w:u w:val="none"/>
                <w:lang w:val="en-US" w:eastAsia="zh-CN" w:bidi="ar"/>
              </w:rPr>
              <w:t>0.04</w:t>
            </w:r>
          </w:p>
        </w:tc>
        <w:tc>
          <w:tcPr>
            <w:tcW w:w="1247" w:type="dxa"/>
            <w:tcBorders>
              <w:tl2br w:val="nil"/>
              <w:tr2bl w:val="nil"/>
            </w:tcBorders>
            <w:shd w:val="clear" w:color="auto" w:fill="auto"/>
            <w:vAlign w:val="center"/>
          </w:tcPr>
          <w:p w14:paraId="21A970E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auto"/>
                <w:spacing w:val="20"/>
                <w:kern w:val="0"/>
                <w:sz w:val="21"/>
                <w:szCs w:val="21"/>
                <w:highlight w:val="none"/>
                <w:u w:val="none"/>
                <w:lang w:val="en-US" w:eastAsia="zh-CN" w:bidi="ar"/>
              </w:rPr>
            </w:pPr>
            <w:r>
              <w:rPr>
                <w:rFonts w:hint="eastAsia" w:cs="Times New Roman"/>
                <w:i w:val="0"/>
                <w:iCs w:val="0"/>
                <w:color w:val="auto"/>
                <w:spacing w:val="20"/>
                <w:kern w:val="0"/>
                <w:sz w:val="21"/>
                <w:szCs w:val="21"/>
                <w:u w:val="none"/>
                <w:lang w:val="en-US" w:eastAsia="zh-CN" w:bidi="ar"/>
              </w:rPr>
              <w:t>+</w:t>
            </w:r>
            <w:r>
              <w:rPr>
                <w:rFonts w:hint="default" w:ascii="Times New Roman" w:hAnsi="Times New Roman" w:eastAsia="宋体" w:cs="Times New Roman"/>
                <w:i w:val="0"/>
                <w:iCs w:val="0"/>
                <w:color w:val="auto"/>
                <w:spacing w:val="20"/>
                <w:kern w:val="0"/>
                <w:sz w:val="21"/>
                <w:szCs w:val="21"/>
                <w:u w:val="none"/>
                <w:lang w:val="en-US" w:eastAsia="zh-CN" w:bidi="ar"/>
              </w:rPr>
              <w:t>0.0</w:t>
            </w:r>
            <w:r>
              <w:rPr>
                <w:rFonts w:hint="eastAsia" w:cs="Times New Roman"/>
                <w:i w:val="0"/>
                <w:iCs w:val="0"/>
                <w:color w:val="auto"/>
                <w:spacing w:val="20"/>
                <w:kern w:val="0"/>
                <w:sz w:val="21"/>
                <w:szCs w:val="21"/>
                <w:u w:val="none"/>
                <w:lang w:val="en-US" w:eastAsia="zh-CN" w:bidi="ar"/>
              </w:rPr>
              <w:t>2</w:t>
            </w:r>
          </w:p>
        </w:tc>
      </w:tr>
    </w:tbl>
    <w:p w14:paraId="6B276DAB">
      <w:pPr>
        <w:keepNext w:val="0"/>
        <w:keepLines w:val="0"/>
        <w:pageBreakBefore w:val="0"/>
        <w:widowControl w:val="0"/>
        <w:shd w:val="clear"/>
        <w:kinsoku/>
        <w:wordWrap/>
        <w:overflowPunct/>
        <w:topLinePunct w:val="0"/>
        <w:autoSpaceDE/>
        <w:autoSpaceDN/>
        <w:bidi w:val="0"/>
        <w:adjustRightInd/>
        <w:snapToGrid/>
        <w:spacing w:line="0" w:lineRule="atLeast"/>
        <w:ind w:left="0" w:leftChars="0" w:firstLine="0" w:firstLineChars="0"/>
        <w:jc w:val="left"/>
        <w:textAlignment w:val="auto"/>
        <w:rPr>
          <w:rFonts w:hint="default" w:ascii="Times New Roman" w:hAnsi="Times New Roman" w:cs="Times New Roman"/>
          <w:snapToGrid w:val="0"/>
          <w:color w:val="auto"/>
          <w:spacing w:val="-6"/>
          <w:kern w:val="21"/>
          <w:szCs w:val="21"/>
          <w:highlight w:val="none"/>
          <w:lang w:val="en-US" w:eastAsia="zh-CN"/>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TimesNewRomanPSMT">
    <w:altName w:val="Times New Roman"/>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24F0F">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FD210">
    <w:pPr>
      <w:pStyle w:val="20"/>
      <w:framePr w:wrap="around" w:vAnchor="text" w:hAnchor="margin" w:xAlign="center" w:y="1"/>
      <w:rPr>
        <w:rStyle w:val="36"/>
      </w:rPr>
    </w:pPr>
    <w:r>
      <w:fldChar w:fldCharType="begin"/>
    </w:r>
    <w:r>
      <w:rPr>
        <w:rStyle w:val="36"/>
      </w:rPr>
      <w:instrText xml:space="preserve">PAGE  </w:instrText>
    </w:r>
    <w:r>
      <w:fldChar w:fldCharType="end"/>
    </w:r>
  </w:p>
  <w:p w14:paraId="52A313D9">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CC10A">
    <w:pPr>
      <w:pStyle w:val="2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01237">
                          <w:pPr>
                            <w:pStyle w:val="20"/>
                            <w:keepNext w:val="0"/>
                            <w:keepLines w:val="0"/>
                            <w:pageBreakBefore w:val="0"/>
                            <w:widowControl w:val="0"/>
                            <w:kinsoku/>
                            <w:wordWrap/>
                            <w:overflowPunct/>
                            <w:topLinePunct w:val="0"/>
                            <w:autoSpaceDE/>
                            <w:autoSpaceDN/>
                            <w:bidi w:val="0"/>
                            <w:adjustRightInd/>
                            <w:snapToGrid w:val="0"/>
                            <w:ind w:firstLine="0" w:firstLineChars="0"/>
                            <w:jc w:val="center"/>
                            <w:textAlignment w:val="auto"/>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7901237">
                    <w:pPr>
                      <w:pStyle w:val="20"/>
                      <w:keepNext w:val="0"/>
                      <w:keepLines w:val="0"/>
                      <w:pageBreakBefore w:val="0"/>
                      <w:widowControl w:val="0"/>
                      <w:kinsoku/>
                      <w:wordWrap/>
                      <w:overflowPunct/>
                      <w:topLinePunct w:val="0"/>
                      <w:autoSpaceDE/>
                      <w:autoSpaceDN/>
                      <w:bidi w:val="0"/>
                      <w:adjustRightInd/>
                      <w:snapToGrid w:val="0"/>
                      <w:ind w:firstLine="0" w:firstLineChars="0"/>
                      <w:jc w:val="center"/>
                      <w:textAlignment w:val="auto"/>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78D75"/>
    <w:multiLevelType w:val="singleLevel"/>
    <w:tmpl w:val="84E78D75"/>
    <w:lvl w:ilvl="0" w:tentative="0">
      <w:start w:val="6"/>
      <w:numFmt w:val="decimal"/>
      <w:suff w:val="nothing"/>
      <w:lvlText w:val="%1、"/>
      <w:lvlJc w:val="left"/>
    </w:lvl>
  </w:abstractNum>
  <w:abstractNum w:abstractNumId="1">
    <w:nsid w:val="98E53821"/>
    <w:multiLevelType w:val="singleLevel"/>
    <w:tmpl w:val="98E53821"/>
    <w:lvl w:ilvl="0" w:tentative="0">
      <w:start w:val="1"/>
      <w:numFmt w:val="decimal"/>
      <w:suff w:val="nothing"/>
      <w:lvlText w:val="%1"/>
      <w:lvlJc w:val="left"/>
      <w:pPr>
        <w:ind w:left="0" w:firstLine="403"/>
      </w:pPr>
      <w:rPr>
        <w:rFonts w:hint="default"/>
      </w:rPr>
    </w:lvl>
  </w:abstractNum>
  <w:abstractNum w:abstractNumId="2">
    <w:nsid w:val="A66AA164"/>
    <w:multiLevelType w:val="singleLevel"/>
    <w:tmpl w:val="A66AA164"/>
    <w:lvl w:ilvl="0" w:tentative="0">
      <w:start w:val="1"/>
      <w:numFmt w:val="decimal"/>
      <w:suff w:val="nothing"/>
      <w:lvlText w:val="%1"/>
      <w:lvlJc w:val="left"/>
      <w:pPr>
        <w:ind w:left="0" w:firstLine="403"/>
      </w:pPr>
      <w:rPr>
        <w:rFonts w:hint="default"/>
      </w:rPr>
    </w:lvl>
  </w:abstractNum>
  <w:abstractNum w:abstractNumId="3">
    <w:nsid w:val="B2072A1D"/>
    <w:multiLevelType w:val="singleLevel"/>
    <w:tmpl w:val="B2072A1D"/>
    <w:lvl w:ilvl="0" w:tentative="0">
      <w:start w:val="1"/>
      <w:numFmt w:val="decimal"/>
      <w:suff w:val="nothing"/>
      <w:lvlText w:val="%1"/>
      <w:lvlJc w:val="left"/>
      <w:pPr>
        <w:ind w:left="0" w:firstLine="403"/>
      </w:pPr>
      <w:rPr>
        <w:rFonts w:hint="default"/>
      </w:rPr>
    </w:lvl>
  </w:abstractNum>
  <w:abstractNum w:abstractNumId="4">
    <w:nsid w:val="DACF0A51"/>
    <w:multiLevelType w:val="singleLevel"/>
    <w:tmpl w:val="DACF0A51"/>
    <w:lvl w:ilvl="0" w:tentative="0">
      <w:start w:val="1"/>
      <w:numFmt w:val="decimal"/>
      <w:suff w:val="nothing"/>
      <w:lvlText w:val="%1"/>
      <w:lvlJc w:val="left"/>
      <w:pPr>
        <w:ind w:left="0" w:firstLine="403"/>
      </w:pPr>
      <w:rPr>
        <w:rFonts w:hint="default"/>
      </w:rPr>
    </w:lvl>
  </w:abstractNum>
  <w:abstractNum w:abstractNumId="5">
    <w:nsid w:val="DB4111E7"/>
    <w:multiLevelType w:val="singleLevel"/>
    <w:tmpl w:val="DB4111E7"/>
    <w:lvl w:ilvl="0" w:tentative="0">
      <w:start w:val="1"/>
      <w:numFmt w:val="decimal"/>
      <w:suff w:val="nothing"/>
      <w:lvlText w:val="%1"/>
      <w:lvlJc w:val="left"/>
      <w:pPr>
        <w:ind w:left="0" w:firstLine="0"/>
      </w:pPr>
      <w:rPr>
        <w:rFonts w:hint="default"/>
      </w:rPr>
    </w:lvl>
  </w:abstractNum>
  <w:abstractNum w:abstractNumId="6">
    <w:nsid w:val="E4333188"/>
    <w:multiLevelType w:val="singleLevel"/>
    <w:tmpl w:val="E4333188"/>
    <w:lvl w:ilvl="0" w:tentative="0">
      <w:start w:val="1"/>
      <w:numFmt w:val="upperLetter"/>
      <w:suff w:val="nothing"/>
      <w:lvlText w:val="%1、"/>
      <w:lvlJc w:val="left"/>
    </w:lvl>
  </w:abstractNum>
  <w:abstractNum w:abstractNumId="7">
    <w:nsid w:val="E7030B47"/>
    <w:multiLevelType w:val="singleLevel"/>
    <w:tmpl w:val="E7030B47"/>
    <w:lvl w:ilvl="0" w:tentative="0">
      <w:start w:val="8"/>
      <w:numFmt w:val="decimal"/>
      <w:suff w:val="nothing"/>
      <w:lvlText w:val="%1、"/>
      <w:lvlJc w:val="left"/>
    </w:lvl>
  </w:abstractNum>
  <w:abstractNum w:abstractNumId="8">
    <w:nsid w:val="E73BC117"/>
    <w:multiLevelType w:val="singleLevel"/>
    <w:tmpl w:val="E73BC117"/>
    <w:lvl w:ilvl="0" w:tentative="0">
      <w:start w:val="2"/>
      <w:numFmt w:val="chineseCounting"/>
      <w:suff w:val="nothing"/>
      <w:lvlText w:val="%1、"/>
      <w:lvlJc w:val="left"/>
      <w:rPr>
        <w:rFonts w:hint="eastAsia"/>
      </w:rPr>
    </w:lvl>
  </w:abstractNum>
  <w:abstractNum w:abstractNumId="9">
    <w:nsid w:val="E915E56C"/>
    <w:multiLevelType w:val="singleLevel"/>
    <w:tmpl w:val="E915E56C"/>
    <w:lvl w:ilvl="0" w:tentative="0">
      <w:start w:val="1"/>
      <w:numFmt w:val="decimal"/>
      <w:suff w:val="nothing"/>
      <w:lvlText w:val="%1、"/>
      <w:lvlJc w:val="left"/>
    </w:lvl>
  </w:abstractNum>
  <w:abstractNum w:abstractNumId="10">
    <w:nsid w:val="ECAEACE6"/>
    <w:multiLevelType w:val="singleLevel"/>
    <w:tmpl w:val="ECAEACE6"/>
    <w:lvl w:ilvl="0" w:tentative="0">
      <w:start w:val="1"/>
      <w:numFmt w:val="decimal"/>
      <w:suff w:val="nothing"/>
      <w:lvlText w:val="%1"/>
      <w:lvlJc w:val="left"/>
      <w:pPr>
        <w:ind w:left="0" w:firstLine="403"/>
      </w:pPr>
      <w:rPr>
        <w:rFonts w:hint="default"/>
      </w:rPr>
    </w:lvl>
  </w:abstractNum>
  <w:abstractNum w:abstractNumId="11">
    <w:nsid w:val="EFBA7CB8"/>
    <w:multiLevelType w:val="singleLevel"/>
    <w:tmpl w:val="EFBA7CB8"/>
    <w:lvl w:ilvl="0" w:tentative="0">
      <w:start w:val="1"/>
      <w:numFmt w:val="decimal"/>
      <w:suff w:val="nothing"/>
      <w:lvlText w:val="%1"/>
      <w:lvlJc w:val="center"/>
      <w:pPr>
        <w:ind w:left="0" w:firstLine="0"/>
      </w:pPr>
      <w:rPr>
        <w:rFonts w:hint="default"/>
      </w:rPr>
    </w:lvl>
  </w:abstractNum>
  <w:abstractNum w:abstractNumId="12">
    <w:nsid w:val="13A4E7D4"/>
    <w:multiLevelType w:val="singleLevel"/>
    <w:tmpl w:val="13A4E7D4"/>
    <w:lvl w:ilvl="0" w:tentative="0">
      <w:start w:val="12"/>
      <w:numFmt w:val="decimal"/>
      <w:suff w:val="nothing"/>
      <w:lvlText w:val="%1、"/>
      <w:lvlJc w:val="left"/>
    </w:lvl>
  </w:abstractNum>
  <w:abstractNum w:abstractNumId="13">
    <w:nsid w:val="1878671C"/>
    <w:multiLevelType w:val="singleLevel"/>
    <w:tmpl w:val="1878671C"/>
    <w:lvl w:ilvl="0" w:tentative="0">
      <w:start w:val="1"/>
      <w:numFmt w:val="decimal"/>
      <w:suff w:val="nothing"/>
      <w:lvlText w:val="%1、"/>
      <w:lvlJc w:val="left"/>
    </w:lvl>
  </w:abstractNum>
  <w:abstractNum w:abstractNumId="14">
    <w:nsid w:val="1B5C1881"/>
    <w:multiLevelType w:val="singleLevel"/>
    <w:tmpl w:val="1B5C1881"/>
    <w:lvl w:ilvl="0" w:tentative="0">
      <w:start w:val="1"/>
      <w:numFmt w:val="chineseCounting"/>
      <w:suff w:val="nothing"/>
      <w:lvlText w:val="%1、"/>
      <w:lvlJc w:val="left"/>
      <w:rPr>
        <w:rFonts w:hint="eastAsia"/>
      </w:rPr>
    </w:lvl>
  </w:abstractNum>
  <w:abstractNum w:abstractNumId="15">
    <w:nsid w:val="232DFD28"/>
    <w:multiLevelType w:val="singleLevel"/>
    <w:tmpl w:val="232DFD28"/>
    <w:lvl w:ilvl="0" w:tentative="0">
      <w:start w:val="1"/>
      <w:numFmt w:val="decimal"/>
      <w:suff w:val="nothing"/>
      <w:lvlText w:val="图%1  "/>
      <w:lvlJc w:val="left"/>
      <w:pPr>
        <w:ind w:left="0" w:firstLine="403"/>
      </w:pPr>
      <w:rPr>
        <w:rFonts w:hint="default" w:ascii="Times New Roman" w:hAnsi="Times New Roman" w:cs="Times New Roman"/>
        <w:b/>
        <w:bCs/>
        <w:sz w:val="21"/>
        <w:szCs w:val="21"/>
      </w:rPr>
    </w:lvl>
  </w:abstractNum>
  <w:abstractNum w:abstractNumId="16">
    <w:nsid w:val="248A252A"/>
    <w:multiLevelType w:val="singleLevel"/>
    <w:tmpl w:val="248A252A"/>
    <w:lvl w:ilvl="0" w:tentative="0">
      <w:start w:val="1"/>
      <w:numFmt w:val="decimal"/>
      <w:suff w:val="nothing"/>
      <w:lvlText w:val="表%1  "/>
      <w:lvlJc w:val="left"/>
      <w:pPr>
        <w:tabs>
          <w:tab w:val="left" w:pos="0"/>
        </w:tabs>
        <w:ind w:left="0" w:firstLine="403"/>
      </w:pPr>
      <w:rPr>
        <w:rFonts w:hint="default" w:ascii="Times New Roman" w:hAnsi="Times New Roman" w:eastAsia="宋体" w:cs="Times New Roman"/>
      </w:rPr>
    </w:lvl>
  </w:abstractNum>
  <w:abstractNum w:abstractNumId="17">
    <w:nsid w:val="249E0376"/>
    <w:multiLevelType w:val="multilevel"/>
    <w:tmpl w:val="249E0376"/>
    <w:lvl w:ilvl="0" w:tentative="0">
      <w:start w:val="1"/>
      <w:numFmt w:val="decimal"/>
      <w:pStyle w:val="101"/>
      <w:isLgl/>
      <w:suff w:val="space"/>
      <w:lvlText w:val="%1"/>
      <w:lvlJc w:val="left"/>
      <w:pPr>
        <w:ind w:left="0" w:firstLine="0"/>
      </w:pPr>
      <w:rPr>
        <w:rFonts w:hint="default" w:ascii="Times New Roman" w:hAnsi="Times New Roman" w:eastAsia="宋体"/>
        <w:b/>
        <w:i w:val="0"/>
        <w:sz w:val="32"/>
      </w:rPr>
    </w:lvl>
    <w:lvl w:ilvl="1" w:tentative="0">
      <w:start w:val="1"/>
      <w:numFmt w:val="decimal"/>
      <w:isLgl/>
      <w:suff w:val="space"/>
      <w:lvlText w:val="%1.%2"/>
      <w:lvlJc w:val="left"/>
      <w:pPr>
        <w:ind w:left="1985" w:firstLine="0"/>
      </w:pPr>
      <w:rPr>
        <w:rFonts w:hint="default" w:ascii="Times New Roman" w:hAnsi="Times New Roman" w:eastAsia="宋体"/>
        <w:b/>
        <w:i w:val="0"/>
        <w:sz w:val="30"/>
      </w:rPr>
    </w:lvl>
    <w:lvl w:ilvl="2" w:tentative="0">
      <w:start w:val="1"/>
      <w:numFmt w:val="decimal"/>
      <w:isLgl/>
      <w:suff w:val="space"/>
      <w:lvlText w:val="%1.%2.%3"/>
      <w:lvlJc w:val="left"/>
      <w:pPr>
        <w:ind w:left="0" w:firstLine="0"/>
      </w:pPr>
      <w:rPr>
        <w:rFonts w:hint="default" w:ascii="Times New Roman" w:hAnsi="Times New Roman" w:eastAsia="宋体"/>
        <w:b/>
        <w:i w:val="0"/>
        <w:sz w:val="28"/>
      </w:rPr>
    </w:lvl>
    <w:lvl w:ilvl="3" w:tentative="0">
      <w:start w:val="1"/>
      <w:numFmt w:val="decimal"/>
      <w:isLgl/>
      <w:suff w:val="space"/>
      <w:lvlText w:val="%1.%2.%3.%4"/>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lvlRestart w:val="2"/>
      <w:pStyle w:val="110"/>
      <w:isLgl/>
      <w:suff w:val="space"/>
      <w:lvlText w:val="表%1.%2-%5"/>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kern w:val="0"/>
        <w:position w:val="0"/>
        <w:sz w:val="21"/>
        <w:szCs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lvlRestart w:val="2"/>
      <w:isLgl/>
      <w:lvlText w:val="图%1.%2-%6"/>
      <w:lvlJc w:val="left"/>
      <w:pPr>
        <w:ind w:left="0" w:firstLine="0"/>
      </w:pPr>
      <w:rPr>
        <w:rFonts w:hint="default" w:ascii="Times New Roman" w:hAnsi="Times New Roman" w:eastAsia="宋体"/>
        <w:b/>
        <w:i w:val="0"/>
        <w:sz w:val="21"/>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8">
    <w:nsid w:val="27850527"/>
    <w:multiLevelType w:val="singleLevel"/>
    <w:tmpl w:val="27850527"/>
    <w:lvl w:ilvl="0" w:tentative="0">
      <w:start w:val="1"/>
      <w:numFmt w:val="decimal"/>
      <w:suff w:val="nothing"/>
      <w:lvlText w:val="%1"/>
      <w:lvlJc w:val="left"/>
      <w:pPr>
        <w:ind w:left="0" w:firstLine="403"/>
      </w:pPr>
      <w:rPr>
        <w:rFonts w:hint="default"/>
      </w:rPr>
    </w:lvl>
  </w:abstractNum>
  <w:abstractNum w:abstractNumId="19">
    <w:nsid w:val="52D75C13"/>
    <w:multiLevelType w:val="singleLevel"/>
    <w:tmpl w:val="52D75C13"/>
    <w:lvl w:ilvl="0" w:tentative="0">
      <w:start w:val="1"/>
      <w:numFmt w:val="decimal"/>
      <w:suff w:val="nothing"/>
      <w:lvlText w:val="%1、"/>
      <w:lvlJc w:val="left"/>
    </w:lvl>
  </w:abstractNum>
  <w:abstractNum w:abstractNumId="20">
    <w:nsid w:val="7AACFD22"/>
    <w:multiLevelType w:val="singleLevel"/>
    <w:tmpl w:val="7AACFD22"/>
    <w:lvl w:ilvl="0" w:tentative="0">
      <w:start w:val="4"/>
      <w:numFmt w:val="upperLetter"/>
      <w:suff w:val="nothing"/>
      <w:lvlText w:val="%1-"/>
      <w:lvlJc w:val="left"/>
    </w:lvl>
  </w:abstractNum>
  <w:num w:numId="1">
    <w:abstractNumId w:val="17"/>
  </w:num>
  <w:num w:numId="2">
    <w:abstractNumId w:val="19"/>
  </w:num>
  <w:num w:numId="3">
    <w:abstractNumId w:val="16"/>
  </w:num>
  <w:num w:numId="4">
    <w:abstractNumId w:val="7"/>
  </w:num>
  <w:num w:numId="5">
    <w:abstractNumId w:val="8"/>
  </w:num>
  <w:num w:numId="6">
    <w:abstractNumId w:val="14"/>
  </w:num>
  <w:num w:numId="7">
    <w:abstractNumId w:val="15"/>
  </w:num>
  <w:num w:numId="8">
    <w:abstractNumId w:val="0"/>
  </w:num>
  <w:num w:numId="9">
    <w:abstractNumId w:val="4"/>
  </w:num>
  <w:num w:numId="10">
    <w:abstractNumId w:val="18"/>
  </w:num>
  <w:num w:numId="11">
    <w:abstractNumId w:val="12"/>
  </w:num>
  <w:num w:numId="12">
    <w:abstractNumId w:val="13"/>
  </w:num>
  <w:num w:numId="13">
    <w:abstractNumId w:val="9"/>
  </w:num>
  <w:num w:numId="14">
    <w:abstractNumId w:val="20"/>
  </w:num>
  <w:num w:numId="15">
    <w:abstractNumId w:val="5"/>
  </w:num>
  <w:num w:numId="16">
    <w:abstractNumId w:val="2"/>
  </w:num>
  <w:num w:numId="17">
    <w:abstractNumId w:val="3"/>
  </w:num>
  <w:num w:numId="18">
    <w:abstractNumId w:val="1"/>
  </w:num>
  <w:num w:numId="19">
    <w:abstractNumId w:val="6"/>
  </w:num>
  <w:num w:numId="20">
    <w:abstractNumId w:val="10"/>
  </w:num>
  <w:num w:numId="21">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呆桃">
    <w15:presenceInfo w15:providerId="WPS Office" w15:userId="35658850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yNWFiODlmNTc4ZmFhY2VkNTE1YTRhN2JhYTlmYzYifQ=="/>
  </w:docVars>
  <w:rsids>
    <w:rsidRoot w:val="00172A27"/>
    <w:rsid w:val="00013654"/>
    <w:rsid w:val="0011760F"/>
    <w:rsid w:val="003B391F"/>
    <w:rsid w:val="00435DD5"/>
    <w:rsid w:val="004A7E60"/>
    <w:rsid w:val="005C7203"/>
    <w:rsid w:val="007721D9"/>
    <w:rsid w:val="00D5212B"/>
    <w:rsid w:val="011213BB"/>
    <w:rsid w:val="011473B7"/>
    <w:rsid w:val="0115331A"/>
    <w:rsid w:val="0119236E"/>
    <w:rsid w:val="01297074"/>
    <w:rsid w:val="014402DC"/>
    <w:rsid w:val="01657C13"/>
    <w:rsid w:val="017773C1"/>
    <w:rsid w:val="01AA5582"/>
    <w:rsid w:val="01B65374"/>
    <w:rsid w:val="01BC775B"/>
    <w:rsid w:val="01BC7932"/>
    <w:rsid w:val="01BF4648"/>
    <w:rsid w:val="01C52A3D"/>
    <w:rsid w:val="01CD46E2"/>
    <w:rsid w:val="01F86178"/>
    <w:rsid w:val="02061EF8"/>
    <w:rsid w:val="02103919"/>
    <w:rsid w:val="02186374"/>
    <w:rsid w:val="022467AE"/>
    <w:rsid w:val="023109DD"/>
    <w:rsid w:val="025B50D2"/>
    <w:rsid w:val="026B1259"/>
    <w:rsid w:val="02763227"/>
    <w:rsid w:val="027B2AF2"/>
    <w:rsid w:val="029F005F"/>
    <w:rsid w:val="02A66262"/>
    <w:rsid w:val="02B8349F"/>
    <w:rsid w:val="02BB407A"/>
    <w:rsid w:val="02E1776D"/>
    <w:rsid w:val="02E35FCD"/>
    <w:rsid w:val="036859A7"/>
    <w:rsid w:val="037B7C72"/>
    <w:rsid w:val="03A762C0"/>
    <w:rsid w:val="03AA7B5F"/>
    <w:rsid w:val="03AD2D02"/>
    <w:rsid w:val="03B35DA3"/>
    <w:rsid w:val="03BD6CB7"/>
    <w:rsid w:val="03C36E72"/>
    <w:rsid w:val="04316BDC"/>
    <w:rsid w:val="044960FC"/>
    <w:rsid w:val="046F14D4"/>
    <w:rsid w:val="04715BE5"/>
    <w:rsid w:val="04AC2A16"/>
    <w:rsid w:val="04C50721"/>
    <w:rsid w:val="04CD247C"/>
    <w:rsid w:val="04D71DB7"/>
    <w:rsid w:val="04DD738A"/>
    <w:rsid w:val="05091758"/>
    <w:rsid w:val="0528099B"/>
    <w:rsid w:val="0535602A"/>
    <w:rsid w:val="055778FF"/>
    <w:rsid w:val="05613BD7"/>
    <w:rsid w:val="059652F0"/>
    <w:rsid w:val="05BC06B5"/>
    <w:rsid w:val="05EB1650"/>
    <w:rsid w:val="062A4F87"/>
    <w:rsid w:val="065D6E3C"/>
    <w:rsid w:val="065E25A9"/>
    <w:rsid w:val="06621B3C"/>
    <w:rsid w:val="066F2B8F"/>
    <w:rsid w:val="06940EC6"/>
    <w:rsid w:val="06CF3724"/>
    <w:rsid w:val="06D04BBC"/>
    <w:rsid w:val="06E34232"/>
    <w:rsid w:val="06F45032"/>
    <w:rsid w:val="06F85085"/>
    <w:rsid w:val="07066A4E"/>
    <w:rsid w:val="07091040"/>
    <w:rsid w:val="073929DD"/>
    <w:rsid w:val="0749768F"/>
    <w:rsid w:val="07592141"/>
    <w:rsid w:val="076B5B27"/>
    <w:rsid w:val="078A67B7"/>
    <w:rsid w:val="07972AF0"/>
    <w:rsid w:val="079923C4"/>
    <w:rsid w:val="079929DA"/>
    <w:rsid w:val="07E21517"/>
    <w:rsid w:val="081309BD"/>
    <w:rsid w:val="081734DD"/>
    <w:rsid w:val="082C09A4"/>
    <w:rsid w:val="082D6515"/>
    <w:rsid w:val="08316AF1"/>
    <w:rsid w:val="08363BB4"/>
    <w:rsid w:val="0844352F"/>
    <w:rsid w:val="087958B3"/>
    <w:rsid w:val="087C5358"/>
    <w:rsid w:val="088F09AA"/>
    <w:rsid w:val="08EC634D"/>
    <w:rsid w:val="09192D31"/>
    <w:rsid w:val="099646D7"/>
    <w:rsid w:val="09981B16"/>
    <w:rsid w:val="09AD1BE1"/>
    <w:rsid w:val="09B263AD"/>
    <w:rsid w:val="09E13885"/>
    <w:rsid w:val="0A0E2B43"/>
    <w:rsid w:val="0A395A17"/>
    <w:rsid w:val="0A486323"/>
    <w:rsid w:val="0AB07738"/>
    <w:rsid w:val="0AE97ED1"/>
    <w:rsid w:val="0B193D9F"/>
    <w:rsid w:val="0B566063"/>
    <w:rsid w:val="0B730DEC"/>
    <w:rsid w:val="0B7A2FB3"/>
    <w:rsid w:val="0B7B1FE3"/>
    <w:rsid w:val="0B9D61FB"/>
    <w:rsid w:val="0BA770EE"/>
    <w:rsid w:val="0BB02BB1"/>
    <w:rsid w:val="0BC34B39"/>
    <w:rsid w:val="0BFB0B3E"/>
    <w:rsid w:val="0C0D6E54"/>
    <w:rsid w:val="0C1956C2"/>
    <w:rsid w:val="0C2845A9"/>
    <w:rsid w:val="0C3703FE"/>
    <w:rsid w:val="0C5B3E1B"/>
    <w:rsid w:val="0CA64A4B"/>
    <w:rsid w:val="0CAD246E"/>
    <w:rsid w:val="0CB57F27"/>
    <w:rsid w:val="0CD37262"/>
    <w:rsid w:val="0D003653"/>
    <w:rsid w:val="0D3B293F"/>
    <w:rsid w:val="0D42705A"/>
    <w:rsid w:val="0D576E03"/>
    <w:rsid w:val="0D5A0848"/>
    <w:rsid w:val="0DC3401E"/>
    <w:rsid w:val="0DFD674D"/>
    <w:rsid w:val="0E004625"/>
    <w:rsid w:val="0E15476E"/>
    <w:rsid w:val="0E17252A"/>
    <w:rsid w:val="0E346F70"/>
    <w:rsid w:val="0E923550"/>
    <w:rsid w:val="0EB07E3F"/>
    <w:rsid w:val="0EC17D25"/>
    <w:rsid w:val="0EDE2B1E"/>
    <w:rsid w:val="0EEC54CF"/>
    <w:rsid w:val="0F155E79"/>
    <w:rsid w:val="0F2A424A"/>
    <w:rsid w:val="0F5D461F"/>
    <w:rsid w:val="0F997807"/>
    <w:rsid w:val="0FC85F3C"/>
    <w:rsid w:val="1005355C"/>
    <w:rsid w:val="10066A65"/>
    <w:rsid w:val="10250DCB"/>
    <w:rsid w:val="102652F2"/>
    <w:rsid w:val="103241E5"/>
    <w:rsid w:val="104755C7"/>
    <w:rsid w:val="1053332C"/>
    <w:rsid w:val="107675AA"/>
    <w:rsid w:val="10B35258"/>
    <w:rsid w:val="10BF0530"/>
    <w:rsid w:val="10CA1840"/>
    <w:rsid w:val="10DC6EFE"/>
    <w:rsid w:val="10F039A5"/>
    <w:rsid w:val="10FC60E0"/>
    <w:rsid w:val="111172D6"/>
    <w:rsid w:val="111831F6"/>
    <w:rsid w:val="11872970"/>
    <w:rsid w:val="119B2E18"/>
    <w:rsid w:val="119F3A9A"/>
    <w:rsid w:val="11E651BC"/>
    <w:rsid w:val="11F254F3"/>
    <w:rsid w:val="11F823DD"/>
    <w:rsid w:val="120F7A07"/>
    <w:rsid w:val="121D3E94"/>
    <w:rsid w:val="122777BF"/>
    <w:rsid w:val="12413D84"/>
    <w:rsid w:val="125149D8"/>
    <w:rsid w:val="12650314"/>
    <w:rsid w:val="127F665A"/>
    <w:rsid w:val="1288550F"/>
    <w:rsid w:val="129B0EDA"/>
    <w:rsid w:val="12C0765B"/>
    <w:rsid w:val="12CF0E9D"/>
    <w:rsid w:val="12D01940"/>
    <w:rsid w:val="12D66A14"/>
    <w:rsid w:val="12DE3E4D"/>
    <w:rsid w:val="12F17558"/>
    <w:rsid w:val="130D3C66"/>
    <w:rsid w:val="13306483"/>
    <w:rsid w:val="1362352E"/>
    <w:rsid w:val="136E0BA9"/>
    <w:rsid w:val="13760381"/>
    <w:rsid w:val="13941E53"/>
    <w:rsid w:val="13A935F4"/>
    <w:rsid w:val="13B81026"/>
    <w:rsid w:val="13BD5225"/>
    <w:rsid w:val="13C33E74"/>
    <w:rsid w:val="13C52CAD"/>
    <w:rsid w:val="1406211E"/>
    <w:rsid w:val="14135DF7"/>
    <w:rsid w:val="14147066"/>
    <w:rsid w:val="144616CB"/>
    <w:rsid w:val="147863C1"/>
    <w:rsid w:val="148557AE"/>
    <w:rsid w:val="14EF5274"/>
    <w:rsid w:val="14F83400"/>
    <w:rsid w:val="152B041F"/>
    <w:rsid w:val="1537372D"/>
    <w:rsid w:val="15384243"/>
    <w:rsid w:val="15510782"/>
    <w:rsid w:val="155644FB"/>
    <w:rsid w:val="156404B5"/>
    <w:rsid w:val="15774B6B"/>
    <w:rsid w:val="157A7036"/>
    <w:rsid w:val="15BB16D6"/>
    <w:rsid w:val="15C42D02"/>
    <w:rsid w:val="15D84761"/>
    <w:rsid w:val="15EE05F4"/>
    <w:rsid w:val="16113A6D"/>
    <w:rsid w:val="1626241E"/>
    <w:rsid w:val="16385FC0"/>
    <w:rsid w:val="163871FF"/>
    <w:rsid w:val="163F682C"/>
    <w:rsid w:val="166F4CC6"/>
    <w:rsid w:val="16887C25"/>
    <w:rsid w:val="169E30ED"/>
    <w:rsid w:val="170021A5"/>
    <w:rsid w:val="1714607C"/>
    <w:rsid w:val="17167795"/>
    <w:rsid w:val="172508E3"/>
    <w:rsid w:val="172D2B29"/>
    <w:rsid w:val="1737031C"/>
    <w:rsid w:val="17486885"/>
    <w:rsid w:val="177937EE"/>
    <w:rsid w:val="17797B1C"/>
    <w:rsid w:val="17941AFD"/>
    <w:rsid w:val="17B77691"/>
    <w:rsid w:val="17DB2954"/>
    <w:rsid w:val="17E1508B"/>
    <w:rsid w:val="18001C70"/>
    <w:rsid w:val="18095344"/>
    <w:rsid w:val="181E041F"/>
    <w:rsid w:val="184022D4"/>
    <w:rsid w:val="18610323"/>
    <w:rsid w:val="1890511D"/>
    <w:rsid w:val="18C20C80"/>
    <w:rsid w:val="18D25804"/>
    <w:rsid w:val="18E5428A"/>
    <w:rsid w:val="18E94FBB"/>
    <w:rsid w:val="18EB4A4A"/>
    <w:rsid w:val="18F64A17"/>
    <w:rsid w:val="18F87A11"/>
    <w:rsid w:val="19256404"/>
    <w:rsid w:val="19510EAD"/>
    <w:rsid w:val="195770FF"/>
    <w:rsid w:val="19D6546A"/>
    <w:rsid w:val="1A1B310D"/>
    <w:rsid w:val="1A361DC9"/>
    <w:rsid w:val="1A3A1DE2"/>
    <w:rsid w:val="1A3D12D5"/>
    <w:rsid w:val="1AD1049B"/>
    <w:rsid w:val="1B22750D"/>
    <w:rsid w:val="1B3740E4"/>
    <w:rsid w:val="1B39452E"/>
    <w:rsid w:val="1B6B6C59"/>
    <w:rsid w:val="1B7864D6"/>
    <w:rsid w:val="1B7E7287"/>
    <w:rsid w:val="1B825437"/>
    <w:rsid w:val="1B8947E8"/>
    <w:rsid w:val="1B8E093E"/>
    <w:rsid w:val="1B9B5B71"/>
    <w:rsid w:val="1B9E1AE3"/>
    <w:rsid w:val="1BBD7954"/>
    <w:rsid w:val="1C063106"/>
    <w:rsid w:val="1C375971"/>
    <w:rsid w:val="1C406E5A"/>
    <w:rsid w:val="1C6E16B6"/>
    <w:rsid w:val="1C6F5E02"/>
    <w:rsid w:val="1C8B6116"/>
    <w:rsid w:val="1C9571A6"/>
    <w:rsid w:val="1CC63804"/>
    <w:rsid w:val="1CCA60A8"/>
    <w:rsid w:val="1CDB5CFC"/>
    <w:rsid w:val="1CF45482"/>
    <w:rsid w:val="1CFD2F9D"/>
    <w:rsid w:val="1D253C3C"/>
    <w:rsid w:val="1D2957CB"/>
    <w:rsid w:val="1D3140BF"/>
    <w:rsid w:val="1DA35507"/>
    <w:rsid w:val="1DB775F0"/>
    <w:rsid w:val="1DB820EC"/>
    <w:rsid w:val="1DD00688"/>
    <w:rsid w:val="1DD42A7D"/>
    <w:rsid w:val="1DDE3EDD"/>
    <w:rsid w:val="1DE93CBA"/>
    <w:rsid w:val="1DFE3D28"/>
    <w:rsid w:val="1E3554E8"/>
    <w:rsid w:val="1E4C1408"/>
    <w:rsid w:val="1E876C7E"/>
    <w:rsid w:val="1EA9286B"/>
    <w:rsid w:val="1EB17E9E"/>
    <w:rsid w:val="1EBF49AE"/>
    <w:rsid w:val="1ECF128E"/>
    <w:rsid w:val="1EFA3CD5"/>
    <w:rsid w:val="1F2A7CF2"/>
    <w:rsid w:val="1F331DDE"/>
    <w:rsid w:val="1F675534"/>
    <w:rsid w:val="1F6B0692"/>
    <w:rsid w:val="1F6B6D7D"/>
    <w:rsid w:val="1F7E32B0"/>
    <w:rsid w:val="1F881244"/>
    <w:rsid w:val="1FA52077"/>
    <w:rsid w:val="1FD41D2C"/>
    <w:rsid w:val="20580C17"/>
    <w:rsid w:val="207A3EE6"/>
    <w:rsid w:val="20991403"/>
    <w:rsid w:val="20997BE3"/>
    <w:rsid w:val="20AA343C"/>
    <w:rsid w:val="20EB098B"/>
    <w:rsid w:val="2145768F"/>
    <w:rsid w:val="215D225D"/>
    <w:rsid w:val="216B6728"/>
    <w:rsid w:val="2177331E"/>
    <w:rsid w:val="217B030D"/>
    <w:rsid w:val="218241E8"/>
    <w:rsid w:val="21B856E5"/>
    <w:rsid w:val="21D151F3"/>
    <w:rsid w:val="21E13260"/>
    <w:rsid w:val="21E944E1"/>
    <w:rsid w:val="21F02C4B"/>
    <w:rsid w:val="220646A2"/>
    <w:rsid w:val="22374F98"/>
    <w:rsid w:val="225D0766"/>
    <w:rsid w:val="22632846"/>
    <w:rsid w:val="226911A3"/>
    <w:rsid w:val="22717D6E"/>
    <w:rsid w:val="227E17E0"/>
    <w:rsid w:val="227F7C27"/>
    <w:rsid w:val="22914C32"/>
    <w:rsid w:val="22BE4368"/>
    <w:rsid w:val="22C846D5"/>
    <w:rsid w:val="22E4041E"/>
    <w:rsid w:val="22F75578"/>
    <w:rsid w:val="23114B53"/>
    <w:rsid w:val="2315555B"/>
    <w:rsid w:val="231A0405"/>
    <w:rsid w:val="23250856"/>
    <w:rsid w:val="233F31C1"/>
    <w:rsid w:val="234B6EF7"/>
    <w:rsid w:val="237C0DAC"/>
    <w:rsid w:val="238A5357"/>
    <w:rsid w:val="2397120D"/>
    <w:rsid w:val="239857CE"/>
    <w:rsid w:val="23AD578A"/>
    <w:rsid w:val="23B63A93"/>
    <w:rsid w:val="23C927AA"/>
    <w:rsid w:val="23DA5DE6"/>
    <w:rsid w:val="23EE3640"/>
    <w:rsid w:val="23FA0A20"/>
    <w:rsid w:val="241074FD"/>
    <w:rsid w:val="2448573A"/>
    <w:rsid w:val="244871F4"/>
    <w:rsid w:val="246011F9"/>
    <w:rsid w:val="24652DDA"/>
    <w:rsid w:val="249A6EF9"/>
    <w:rsid w:val="249E21DB"/>
    <w:rsid w:val="24A53730"/>
    <w:rsid w:val="24CF0698"/>
    <w:rsid w:val="24EB7A48"/>
    <w:rsid w:val="24EE7D9B"/>
    <w:rsid w:val="24F609FE"/>
    <w:rsid w:val="252A578D"/>
    <w:rsid w:val="254D12CD"/>
    <w:rsid w:val="25673BFF"/>
    <w:rsid w:val="25797F62"/>
    <w:rsid w:val="258A3728"/>
    <w:rsid w:val="25A46000"/>
    <w:rsid w:val="25B70DB8"/>
    <w:rsid w:val="25CB4576"/>
    <w:rsid w:val="25CD7AA8"/>
    <w:rsid w:val="25E76D2B"/>
    <w:rsid w:val="25EA5D47"/>
    <w:rsid w:val="25EC1354"/>
    <w:rsid w:val="25F93E63"/>
    <w:rsid w:val="25F97DE8"/>
    <w:rsid w:val="26040EF9"/>
    <w:rsid w:val="261547F5"/>
    <w:rsid w:val="262275D1"/>
    <w:rsid w:val="264F3EC9"/>
    <w:rsid w:val="265B3E9A"/>
    <w:rsid w:val="2670658E"/>
    <w:rsid w:val="26BE19EF"/>
    <w:rsid w:val="26BE1DFC"/>
    <w:rsid w:val="26E256DE"/>
    <w:rsid w:val="271411F1"/>
    <w:rsid w:val="2714427E"/>
    <w:rsid w:val="27670907"/>
    <w:rsid w:val="27814EF7"/>
    <w:rsid w:val="278622E8"/>
    <w:rsid w:val="278E40C4"/>
    <w:rsid w:val="279F4645"/>
    <w:rsid w:val="27A306E7"/>
    <w:rsid w:val="27AA3862"/>
    <w:rsid w:val="27DA00E8"/>
    <w:rsid w:val="27DB7175"/>
    <w:rsid w:val="27E965F8"/>
    <w:rsid w:val="27FA6A57"/>
    <w:rsid w:val="28204EE9"/>
    <w:rsid w:val="282A7C22"/>
    <w:rsid w:val="28380FB0"/>
    <w:rsid w:val="286D0FD7"/>
    <w:rsid w:val="2889649E"/>
    <w:rsid w:val="28A1664D"/>
    <w:rsid w:val="28A41758"/>
    <w:rsid w:val="28B00582"/>
    <w:rsid w:val="28B94551"/>
    <w:rsid w:val="28BE0B49"/>
    <w:rsid w:val="28C9242C"/>
    <w:rsid w:val="290F7E5D"/>
    <w:rsid w:val="29152CB6"/>
    <w:rsid w:val="291C66DF"/>
    <w:rsid w:val="29641999"/>
    <w:rsid w:val="299724D0"/>
    <w:rsid w:val="2997496C"/>
    <w:rsid w:val="29C85D36"/>
    <w:rsid w:val="29DF1706"/>
    <w:rsid w:val="29F6324E"/>
    <w:rsid w:val="2A131F62"/>
    <w:rsid w:val="2A3D2C2B"/>
    <w:rsid w:val="2A8733C9"/>
    <w:rsid w:val="2A89478F"/>
    <w:rsid w:val="2A9A62D0"/>
    <w:rsid w:val="2A9C2B2F"/>
    <w:rsid w:val="2AD97FE2"/>
    <w:rsid w:val="2B157C6B"/>
    <w:rsid w:val="2B275DB5"/>
    <w:rsid w:val="2B3E30FF"/>
    <w:rsid w:val="2B5C4363"/>
    <w:rsid w:val="2B99684E"/>
    <w:rsid w:val="2BA016C4"/>
    <w:rsid w:val="2BDA5F01"/>
    <w:rsid w:val="2C07082B"/>
    <w:rsid w:val="2C0F7624"/>
    <w:rsid w:val="2C1F6A8C"/>
    <w:rsid w:val="2C241AC1"/>
    <w:rsid w:val="2C2917EA"/>
    <w:rsid w:val="2C351E0C"/>
    <w:rsid w:val="2C464019"/>
    <w:rsid w:val="2C5B0FA2"/>
    <w:rsid w:val="2C8D580B"/>
    <w:rsid w:val="2C9A7E5B"/>
    <w:rsid w:val="2CAD1597"/>
    <w:rsid w:val="2CD82433"/>
    <w:rsid w:val="2D0126F1"/>
    <w:rsid w:val="2D207958"/>
    <w:rsid w:val="2D71460F"/>
    <w:rsid w:val="2D7E3C87"/>
    <w:rsid w:val="2D804C3C"/>
    <w:rsid w:val="2D853B6C"/>
    <w:rsid w:val="2D9D410D"/>
    <w:rsid w:val="2DBB51A3"/>
    <w:rsid w:val="2DFF2502"/>
    <w:rsid w:val="2E0E359B"/>
    <w:rsid w:val="2E127C24"/>
    <w:rsid w:val="2E1E448E"/>
    <w:rsid w:val="2E416702"/>
    <w:rsid w:val="2E4D1B2D"/>
    <w:rsid w:val="2E504D51"/>
    <w:rsid w:val="2E7135E8"/>
    <w:rsid w:val="2E731311"/>
    <w:rsid w:val="2E7F77AD"/>
    <w:rsid w:val="2E8637E5"/>
    <w:rsid w:val="2E884DBD"/>
    <w:rsid w:val="2EB35101"/>
    <w:rsid w:val="2EC91221"/>
    <w:rsid w:val="2ED27DE6"/>
    <w:rsid w:val="2EDE1B67"/>
    <w:rsid w:val="2F0B34FA"/>
    <w:rsid w:val="2F0E4B96"/>
    <w:rsid w:val="2F2E6FE6"/>
    <w:rsid w:val="2F3517E6"/>
    <w:rsid w:val="2F367FCF"/>
    <w:rsid w:val="2F484A2C"/>
    <w:rsid w:val="2F4A21D1"/>
    <w:rsid w:val="2F6173BC"/>
    <w:rsid w:val="2F651F16"/>
    <w:rsid w:val="30120F5C"/>
    <w:rsid w:val="306C7796"/>
    <w:rsid w:val="30722B1B"/>
    <w:rsid w:val="308600DE"/>
    <w:rsid w:val="30A34A58"/>
    <w:rsid w:val="30A851C7"/>
    <w:rsid w:val="30AB1BA8"/>
    <w:rsid w:val="30B51478"/>
    <w:rsid w:val="30D244E5"/>
    <w:rsid w:val="30DC319E"/>
    <w:rsid w:val="30F56214"/>
    <w:rsid w:val="30FF39B5"/>
    <w:rsid w:val="31061EB7"/>
    <w:rsid w:val="313F3539"/>
    <w:rsid w:val="31590A22"/>
    <w:rsid w:val="316E7B6E"/>
    <w:rsid w:val="317863A6"/>
    <w:rsid w:val="31B505C7"/>
    <w:rsid w:val="31BE4652"/>
    <w:rsid w:val="31C9792C"/>
    <w:rsid w:val="31CD40BC"/>
    <w:rsid w:val="31DC5791"/>
    <w:rsid w:val="31DD56E6"/>
    <w:rsid w:val="31E83DC4"/>
    <w:rsid w:val="32087FC3"/>
    <w:rsid w:val="32292FA2"/>
    <w:rsid w:val="323112C7"/>
    <w:rsid w:val="3245044D"/>
    <w:rsid w:val="32473A64"/>
    <w:rsid w:val="32554355"/>
    <w:rsid w:val="325A081E"/>
    <w:rsid w:val="325E33D3"/>
    <w:rsid w:val="32813850"/>
    <w:rsid w:val="32D46A11"/>
    <w:rsid w:val="32E736D8"/>
    <w:rsid w:val="331033B9"/>
    <w:rsid w:val="331B3F52"/>
    <w:rsid w:val="334212B2"/>
    <w:rsid w:val="33496EA4"/>
    <w:rsid w:val="3356094E"/>
    <w:rsid w:val="33604B74"/>
    <w:rsid w:val="336E4DB2"/>
    <w:rsid w:val="339345D4"/>
    <w:rsid w:val="339A146B"/>
    <w:rsid w:val="339E15BF"/>
    <w:rsid w:val="33A323F1"/>
    <w:rsid w:val="33AD0700"/>
    <w:rsid w:val="34117602"/>
    <w:rsid w:val="34195A69"/>
    <w:rsid w:val="343E0F3A"/>
    <w:rsid w:val="344D7F0F"/>
    <w:rsid w:val="34BB24B7"/>
    <w:rsid w:val="34BD6E42"/>
    <w:rsid w:val="34BF0E0C"/>
    <w:rsid w:val="34D94D83"/>
    <w:rsid w:val="34F5705F"/>
    <w:rsid w:val="34FF6EA9"/>
    <w:rsid w:val="355132CD"/>
    <w:rsid w:val="35577A9C"/>
    <w:rsid w:val="35613C72"/>
    <w:rsid w:val="35C66BAB"/>
    <w:rsid w:val="35E5212A"/>
    <w:rsid w:val="35FA5E74"/>
    <w:rsid w:val="360D2F4B"/>
    <w:rsid w:val="361F1E85"/>
    <w:rsid w:val="362B4280"/>
    <w:rsid w:val="362C5B7C"/>
    <w:rsid w:val="363602C3"/>
    <w:rsid w:val="363C78E7"/>
    <w:rsid w:val="365B4B65"/>
    <w:rsid w:val="36955434"/>
    <w:rsid w:val="36B91CA1"/>
    <w:rsid w:val="36DE2727"/>
    <w:rsid w:val="36E40AF7"/>
    <w:rsid w:val="36E62234"/>
    <w:rsid w:val="36E763F9"/>
    <w:rsid w:val="36FF3E2B"/>
    <w:rsid w:val="371F3590"/>
    <w:rsid w:val="3744782D"/>
    <w:rsid w:val="37470A06"/>
    <w:rsid w:val="37557806"/>
    <w:rsid w:val="3787198A"/>
    <w:rsid w:val="378E35FB"/>
    <w:rsid w:val="38290817"/>
    <w:rsid w:val="382B0567"/>
    <w:rsid w:val="383E473E"/>
    <w:rsid w:val="388C7464"/>
    <w:rsid w:val="38B5651C"/>
    <w:rsid w:val="38CC612A"/>
    <w:rsid w:val="38EF77E6"/>
    <w:rsid w:val="38F90665"/>
    <w:rsid w:val="3943504A"/>
    <w:rsid w:val="39585037"/>
    <w:rsid w:val="395E2F2B"/>
    <w:rsid w:val="39786CDF"/>
    <w:rsid w:val="397C10C3"/>
    <w:rsid w:val="399F3563"/>
    <w:rsid w:val="39AD2005"/>
    <w:rsid w:val="39B36A66"/>
    <w:rsid w:val="39C052F2"/>
    <w:rsid w:val="39C52D51"/>
    <w:rsid w:val="39D35282"/>
    <w:rsid w:val="39DA793B"/>
    <w:rsid w:val="39DC420F"/>
    <w:rsid w:val="39F74BA5"/>
    <w:rsid w:val="39FD5F33"/>
    <w:rsid w:val="3A06128C"/>
    <w:rsid w:val="3A092E15"/>
    <w:rsid w:val="3A14464F"/>
    <w:rsid w:val="3A176FF5"/>
    <w:rsid w:val="3A267238"/>
    <w:rsid w:val="3A2A62F1"/>
    <w:rsid w:val="3A2A7ACA"/>
    <w:rsid w:val="3A5123C7"/>
    <w:rsid w:val="3A731559"/>
    <w:rsid w:val="3A8622D9"/>
    <w:rsid w:val="3A877D1D"/>
    <w:rsid w:val="3A960861"/>
    <w:rsid w:val="3AA25026"/>
    <w:rsid w:val="3AA6415A"/>
    <w:rsid w:val="3AC1392B"/>
    <w:rsid w:val="3B015561"/>
    <w:rsid w:val="3B1A3B84"/>
    <w:rsid w:val="3B273F0F"/>
    <w:rsid w:val="3B2E6AEB"/>
    <w:rsid w:val="3B411C9A"/>
    <w:rsid w:val="3B9B0BD8"/>
    <w:rsid w:val="3BD57D48"/>
    <w:rsid w:val="3C061E38"/>
    <w:rsid w:val="3C0D4BA5"/>
    <w:rsid w:val="3C2123D9"/>
    <w:rsid w:val="3C410359"/>
    <w:rsid w:val="3C485B8B"/>
    <w:rsid w:val="3C65673D"/>
    <w:rsid w:val="3C700C3E"/>
    <w:rsid w:val="3C8A5CEA"/>
    <w:rsid w:val="3CE37794"/>
    <w:rsid w:val="3CEF70D9"/>
    <w:rsid w:val="3CF655E7"/>
    <w:rsid w:val="3D3659E4"/>
    <w:rsid w:val="3D584176"/>
    <w:rsid w:val="3D623C3F"/>
    <w:rsid w:val="3D8204D3"/>
    <w:rsid w:val="3D8D3604"/>
    <w:rsid w:val="3DB37034"/>
    <w:rsid w:val="3DCB26A6"/>
    <w:rsid w:val="3DE23DBE"/>
    <w:rsid w:val="3DE84A23"/>
    <w:rsid w:val="3E272902"/>
    <w:rsid w:val="3E3913D7"/>
    <w:rsid w:val="3E6666C7"/>
    <w:rsid w:val="3E927736"/>
    <w:rsid w:val="3EB5502E"/>
    <w:rsid w:val="3F2807D6"/>
    <w:rsid w:val="3F3325D2"/>
    <w:rsid w:val="3F452E93"/>
    <w:rsid w:val="3F854124"/>
    <w:rsid w:val="3F9C777A"/>
    <w:rsid w:val="3FB63CE7"/>
    <w:rsid w:val="3FB86B84"/>
    <w:rsid w:val="3FC54954"/>
    <w:rsid w:val="3FF33512"/>
    <w:rsid w:val="402320DA"/>
    <w:rsid w:val="404B3E9C"/>
    <w:rsid w:val="4073752B"/>
    <w:rsid w:val="407A02DD"/>
    <w:rsid w:val="40C75A02"/>
    <w:rsid w:val="40EE40D9"/>
    <w:rsid w:val="410B1343"/>
    <w:rsid w:val="41116868"/>
    <w:rsid w:val="413224CB"/>
    <w:rsid w:val="4164249B"/>
    <w:rsid w:val="41A05D7E"/>
    <w:rsid w:val="41B94FD5"/>
    <w:rsid w:val="41C65158"/>
    <w:rsid w:val="41E708CD"/>
    <w:rsid w:val="41EA3A3F"/>
    <w:rsid w:val="41F01AF7"/>
    <w:rsid w:val="41F86062"/>
    <w:rsid w:val="42287BC4"/>
    <w:rsid w:val="42322164"/>
    <w:rsid w:val="42327931"/>
    <w:rsid w:val="423A451A"/>
    <w:rsid w:val="42474FC4"/>
    <w:rsid w:val="42526A80"/>
    <w:rsid w:val="426E2D2D"/>
    <w:rsid w:val="42785968"/>
    <w:rsid w:val="42925DB2"/>
    <w:rsid w:val="429A6A15"/>
    <w:rsid w:val="42AC18D6"/>
    <w:rsid w:val="42BD15FA"/>
    <w:rsid w:val="430350E5"/>
    <w:rsid w:val="43040332"/>
    <w:rsid w:val="433C187A"/>
    <w:rsid w:val="43425045"/>
    <w:rsid w:val="435D65EB"/>
    <w:rsid w:val="43884ABF"/>
    <w:rsid w:val="438F00E0"/>
    <w:rsid w:val="439610F6"/>
    <w:rsid w:val="43A51A85"/>
    <w:rsid w:val="43B71689"/>
    <w:rsid w:val="43C750D8"/>
    <w:rsid w:val="43CF6B92"/>
    <w:rsid w:val="43D95AC7"/>
    <w:rsid w:val="448434D9"/>
    <w:rsid w:val="44A229E5"/>
    <w:rsid w:val="44F90E7C"/>
    <w:rsid w:val="44FF5255"/>
    <w:rsid w:val="45085EB8"/>
    <w:rsid w:val="451424DA"/>
    <w:rsid w:val="452B4C8F"/>
    <w:rsid w:val="453E18DA"/>
    <w:rsid w:val="454D3BE7"/>
    <w:rsid w:val="45790330"/>
    <w:rsid w:val="45936C80"/>
    <w:rsid w:val="45985408"/>
    <w:rsid w:val="459C68A4"/>
    <w:rsid w:val="45C1250B"/>
    <w:rsid w:val="45E158E2"/>
    <w:rsid w:val="462C02CC"/>
    <w:rsid w:val="467632F5"/>
    <w:rsid w:val="467775A2"/>
    <w:rsid w:val="46DF3D08"/>
    <w:rsid w:val="46E32749"/>
    <w:rsid w:val="46FA143D"/>
    <w:rsid w:val="471274C2"/>
    <w:rsid w:val="474E2BCB"/>
    <w:rsid w:val="47500654"/>
    <w:rsid w:val="475A034C"/>
    <w:rsid w:val="47767025"/>
    <w:rsid w:val="47A0687C"/>
    <w:rsid w:val="47A10662"/>
    <w:rsid w:val="47BB271D"/>
    <w:rsid w:val="47CB14BF"/>
    <w:rsid w:val="47EB2161"/>
    <w:rsid w:val="481E071F"/>
    <w:rsid w:val="48475C0D"/>
    <w:rsid w:val="48766C39"/>
    <w:rsid w:val="48841A04"/>
    <w:rsid w:val="488C1BEB"/>
    <w:rsid w:val="489514EA"/>
    <w:rsid w:val="48AB2595"/>
    <w:rsid w:val="48C34680"/>
    <w:rsid w:val="48CC36A0"/>
    <w:rsid w:val="48EA3D88"/>
    <w:rsid w:val="49261002"/>
    <w:rsid w:val="493C0826"/>
    <w:rsid w:val="498875C7"/>
    <w:rsid w:val="49975214"/>
    <w:rsid w:val="49985DE8"/>
    <w:rsid w:val="499A5112"/>
    <w:rsid w:val="49A83C6E"/>
    <w:rsid w:val="49C5186C"/>
    <w:rsid w:val="49DC03DA"/>
    <w:rsid w:val="49E371FA"/>
    <w:rsid w:val="49E3742F"/>
    <w:rsid w:val="49EE1185"/>
    <w:rsid w:val="49F642F5"/>
    <w:rsid w:val="49FD0A6D"/>
    <w:rsid w:val="4A0A10E2"/>
    <w:rsid w:val="4A0C0C19"/>
    <w:rsid w:val="4A111CB3"/>
    <w:rsid w:val="4A2D344E"/>
    <w:rsid w:val="4A54660D"/>
    <w:rsid w:val="4A6B2A0F"/>
    <w:rsid w:val="4A951CE0"/>
    <w:rsid w:val="4AA441DF"/>
    <w:rsid w:val="4ACA58D5"/>
    <w:rsid w:val="4AD66A58"/>
    <w:rsid w:val="4AE00BA9"/>
    <w:rsid w:val="4AEB2504"/>
    <w:rsid w:val="4B0709C0"/>
    <w:rsid w:val="4B0D68FE"/>
    <w:rsid w:val="4B312A96"/>
    <w:rsid w:val="4B393F1F"/>
    <w:rsid w:val="4B3C29A1"/>
    <w:rsid w:val="4B3F3F22"/>
    <w:rsid w:val="4B425E9C"/>
    <w:rsid w:val="4B9D0BB9"/>
    <w:rsid w:val="4BD07EF1"/>
    <w:rsid w:val="4BEA6428"/>
    <w:rsid w:val="4BF21670"/>
    <w:rsid w:val="4C2C2DD4"/>
    <w:rsid w:val="4C343A36"/>
    <w:rsid w:val="4C50521D"/>
    <w:rsid w:val="4C5378BB"/>
    <w:rsid w:val="4C777E24"/>
    <w:rsid w:val="4C8B6370"/>
    <w:rsid w:val="4C9534D6"/>
    <w:rsid w:val="4CC04B40"/>
    <w:rsid w:val="4CD10F6A"/>
    <w:rsid w:val="4CEF5BAF"/>
    <w:rsid w:val="4D062C29"/>
    <w:rsid w:val="4D3068D5"/>
    <w:rsid w:val="4D3161C8"/>
    <w:rsid w:val="4D454DE0"/>
    <w:rsid w:val="4D9A5B1B"/>
    <w:rsid w:val="4DC07C2E"/>
    <w:rsid w:val="4DCE3A17"/>
    <w:rsid w:val="4DDA03A6"/>
    <w:rsid w:val="4DF370C2"/>
    <w:rsid w:val="4DF47921"/>
    <w:rsid w:val="4DF80A94"/>
    <w:rsid w:val="4E12548B"/>
    <w:rsid w:val="4E1E5BCB"/>
    <w:rsid w:val="4E5A0DDA"/>
    <w:rsid w:val="4E7520E4"/>
    <w:rsid w:val="4E791BD4"/>
    <w:rsid w:val="4E890664"/>
    <w:rsid w:val="4E9905D5"/>
    <w:rsid w:val="4EB059E7"/>
    <w:rsid w:val="4EE4577B"/>
    <w:rsid w:val="4EEA4880"/>
    <w:rsid w:val="4EEE4370"/>
    <w:rsid w:val="4F0C2A48"/>
    <w:rsid w:val="4F253B0A"/>
    <w:rsid w:val="4F297A53"/>
    <w:rsid w:val="4F8F1CB9"/>
    <w:rsid w:val="4FA458EB"/>
    <w:rsid w:val="4FB8672C"/>
    <w:rsid w:val="4FDA59E6"/>
    <w:rsid w:val="5000785E"/>
    <w:rsid w:val="500E743C"/>
    <w:rsid w:val="50151480"/>
    <w:rsid w:val="503F268C"/>
    <w:rsid w:val="504C42AC"/>
    <w:rsid w:val="50583834"/>
    <w:rsid w:val="50615016"/>
    <w:rsid w:val="50744D49"/>
    <w:rsid w:val="508769D7"/>
    <w:rsid w:val="50A334EB"/>
    <w:rsid w:val="50B102B3"/>
    <w:rsid w:val="50C44CD9"/>
    <w:rsid w:val="50DD0B60"/>
    <w:rsid w:val="51163A4D"/>
    <w:rsid w:val="518C7E71"/>
    <w:rsid w:val="519B00B4"/>
    <w:rsid w:val="51A22299"/>
    <w:rsid w:val="51AA1F6E"/>
    <w:rsid w:val="51D11ACB"/>
    <w:rsid w:val="51D6586B"/>
    <w:rsid w:val="51D72D57"/>
    <w:rsid w:val="51DC79F0"/>
    <w:rsid w:val="520E011F"/>
    <w:rsid w:val="52156A01"/>
    <w:rsid w:val="5224454D"/>
    <w:rsid w:val="522E5B7E"/>
    <w:rsid w:val="52894B8D"/>
    <w:rsid w:val="52995543"/>
    <w:rsid w:val="529C5A87"/>
    <w:rsid w:val="52C35B14"/>
    <w:rsid w:val="52C8137C"/>
    <w:rsid w:val="52D36CFA"/>
    <w:rsid w:val="52DC2732"/>
    <w:rsid w:val="534312E2"/>
    <w:rsid w:val="53590226"/>
    <w:rsid w:val="5368130D"/>
    <w:rsid w:val="536B410A"/>
    <w:rsid w:val="53896D9F"/>
    <w:rsid w:val="538F5B1D"/>
    <w:rsid w:val="5391176E"/>
    <w:rsid w:val="539A5D52"/>
    <w:rsid w:val="53C04185"/>
    <w:rsid w:val="53CF175F"/>
    <w:rsid w:val="53FC1864"/>
    <w:rsid w:val="5472538C"/>
    <w:rsid w:val="54745318"/>
    <w:rsid w:val="547728ED"/>
    <w:rsid w:val="54D65B0F"/>
    <w:rsid w:val="54E3249D"/>
    <w:rsid w:val="550B27BD"/>
    <w:rsid w:val="55180399"/>
    <w:rsid w:val="552842C4"/>
    <w:rsid w:val="553F1C35"/>
    <w:rsid w:val="55751BEB"/>
    <w:rsid w:val="55876705"/>
    <w:rsid w:val="558B26A1"/>
    <w:rsid w:val="55A65CDF"/>
    <w:rsid w:val="55AD4E38"/>
    <w:rsid w:val="55B23C34"/>
    <w:rsid w:val="55B87486"/>
    <w:rsid w:val="55D655E1"/>
    <w:rsid w:val="55D87B28"/>
    <w:rsid w:val="55F771A7"/>
    <w:rsid w:val="55F935FB"/>
    <w:rsid w:val="55FD758F"/>
    <w:rsid w:val="561672A7"/>
    <w:rsid w:val="56453889"/>
    <w:rsid w:val="56561334"/>
    <w:rsid w:val="56781F19"/>
    <w:rsid w:val="56811F6E"/>
    <w:rsid w:val="568F4DAA"/>
    <w:rsid w:val="56954E86"/>
    <w:rsid w:val="56977921"/>
    <w:rsid w:val="56B61FDB"/>
    <w:rsid w:val="56D17931"/>
    <w:rsid w:val="56DA45E1"/>
    <w:rsid w:val="56E54635"/>
    <w:rsid w:val="57081035"/>
    <w:rsid w:val="571E156B"/>
    <w:rsid w:val="57297DC7"/>
    <w:rsid w:val="574F5F81"/>
    <w:rsid w:val="57625D9B"/>
    <w:rsid w:val="57A2213D"/>
    <w:rsid w:val="57AE6D93"/>
    <w:rsid w:val="57CF3558"/>
    <w:rsid w:val="57EB123B"/>
    <w:rsid w:val="58112577"/>
    <w:rsid w:val="58177C24"/>
    <w:rsid w:val="5823294F"/>
    <w:rsid w:val="5825158A"/>
    <w:rsid w:val="583D1240"/>
    <w:rsid w:val="58445001"/>
    <w:rsid w:val="58446514"/>
    <w:rsid w:val="58580AAD"/>
    <w:rsid w:val="586C0874"/>
    <w:rsid w:val="587032E4"/>
    <w:rsid w:val="587329E5"/>
    <w:rsid w:val="58B475AE"/>
    <w:rsid w:val="58F85DEC"/>
    <w:rsid w:val="592D3CE7"/>
    <w:rsid w:val="594807E3"/>
    <w:rsid w:val="59617E35"/>
    <w:rsid w:val="59B30AF9"/>
    <w:rsid w:val="59D0111F"/>
    <w:rsid w:val="59D87D6A"/>
    <w:rsid w:val="59F44E8C"/>
    <w:rsid w:val="59F9263E"/>
    <w:rsid w:val="5A053811"/>
    <w:rsid w:val="5A1C7017"/>
    <w:rsid w:val="5A1D0200"/>
    <w:rsid w:val="5A290284"/>
    <w:rsid w:val="5A2C0AD2"/>
    <w:rsid w:val="5A305E8B"/>
    <w:rsid w:val="5A36150F"/>
    <w:rsid w:val="5A4D3A78"/>
    <w:rsid w:val="5A6C6A91"/>
    <w:rsid w:val="5A8A69AE"/>
    <w:rsid w:val="5ABE44DC"/>
    <w:rsid w:val="5ABF3E2D"/>
    <w:rsid w:val="5AEF47D3"/>
    <w:rsid w:val="5AF1251A"/>
    <w:rsid w:val="5B026DD9"/>
    <w:rsid w:val="5B2F1F99"/>
    <w:rsid w:val="5B615ECA"/>
    <w:rsid w:val="5B7D355E"/>
    <w:rsid w:val="5B843A0B"/>
    <w:rsid w:val="5B8C4D8C"/>
    <w:rsid w:val="5B8D2077"/>
    <w:rsid w:val="5B9954A5"/>
    <w:rsid w:val="5B9E4209"/>
    <w:rsid w:val="5BFC3A81"/>
    <w:rsid w:val="5C17056B"/>
    <w:rsid w:val="5C1B352E"/>
    <w:rsid w:val="5C583771"/>
    <w:rsid w:val="5CA73DB1"/>
    <w:rsid w:val="5CAB38A1"/>
    <w:rsid w:val="5CCE2C05"/>
    <w:rsid w:val="5CCE57E1"/>
    <w:rsid w:val="5CE071B4"/>
    <w:rsid w:val="5CEE378D"/>
    <w:rsid w:val="5CFE38E5"/>
    <w:rsid w:val="5D115319"/>
    <w:rsid w:val="5D1C2F57"/>
    <w:rsid w:val="5D3A78BB"/>
    <w:rsid w:val="5D3E45CF"/>
    <w:rsid w:val="5D521F6E"/>
    <w:rsid w:val="5D557CB0"/>
    <w:rsid w:val="5D5802EB"/>
    <w:rsid w:val="5D5A26BF"/>
    <w:rsid w:val="5D6B35DA"/>
    <w:rsid w:val="5D7B1836"/>
    <w:rsid w:val="5D805F38"/>
    <w:rsid w:val="5DBC6BAA"/>
    <w:rsid w:val="5DC5168B"/>
    <w:rsid w:val="5DCA6460"/>
    <w:rsid w:val="5DE554B0"/>
    <w:rsid w:val="5E08779A"/>
    <w:rsid w:val="5E261517"/>
    <w:rsid w:val="5E657C9B"/>
    <w:rsid w:val="5E7500BE"/>
    <w:rsid w:val="5E8333FC"/>
    <w:rsid w:val="5E865445"/>
    <w:rsid w:val="5ECD69EC"/>
    <w:rsid w:val="5EF05EE3"/>
    <w:rsid w:val="5F0C558A"/>
    <w:rsid w:val="5F2122B0"/>
    <w:rsid w:val="5F390C9A"/>
    <w:rsid w:val="5F427A01"/>
    <w:rsid w:val="5F5556C9"/>
    <w:rsid w:val="5F575108"/>
    <w:rsid w:val="5FC01F90"/>
    <w:rsid w:val="5FD24BD3"/>
    <w:rsid w:val="5FD63269"/>
    <w:rsid w:val="5FE31DEF"/>
    <w:rsid w:val="5FE36744"/>
    <w:rsid w:val="5FE42DA6"/>
    <w:rsid w:val="6022031E"/>
    <w:rsid w:val="60237BF2"/>
    <w:rsid w:val="603242D9"/>
    <w:rsid w:val="603931BA"/>
    <w:rsid w:val="60414FA2"/>
    <w:rsid w:val="604570C3"/>
    <w:rsid w:val="60660A1E"/>
    <w:rsid w:val="607F681A"/>
    <w:rsid w:val="608E4594"/>
    <w:rsid w:val="608F5287"/>
    <w:rsid w:val="609409FD"/>
    <w:rsid w:val="60A47D6E"/>
    <w:rsid w:val="60CA62C0"/>
    <w:rsid w:val="60DB07C3"/>
    <w:rsid w:val="60E53DC6"/>
    <w:rsid w:val="610D73E8"/>
    <w:rsid w:val="617050B9"/>
    <w:rsid w:val="617526CF"/>
    <w:rsid w:val="61784E41"/>
    <w:rsid w:val="61800C90"/>
    <w:rsid w:val="619046C6"/>
    <w:rsid w:val="619264F3"/>
    <w:rsid w:val="619C4100"/>
    <w:rsid w:val="61A32862"/>
    <w:rsid w:val="61A72BD9"/>
    <w:rsid w:val="61AC3FBC"/>
    <w:rsid w:val="61B054B5"/>
    <w:rsid w:val="61C40B5D"/>
    <w:rsid w:val="62014EFF"/>
    <w:rsid w:val="62100CE1"/>
    <w:rsid w:val="622163B3"/>
    <w:rsid w:val="622757AD"/>
    <w:rsid w:val="629636FB"/>
    <w:rsid w:val="62A64724"/>
    <w:rsid w:val="62F774BE"/>
    <w:rsid w:val="62FC41AF"/>
    <w:rsid w:val="630006BE"/>
    <w:rsid w:val="63082191"/>
    <w:rsid w:val="633C2821"/>
    <w:rsid w:val="633E1F4E"/>
    <w:rsid w:val="63AE1EC8"/>
    <w:rsid w:val="63BE78D0"/>
    <w:rsid w:val="63CE5878"/>
    <w:rsid w:val="63FB2A95"/>
    <w:rsid w:val="640970FF"/>
    <w:rsid w:val="645410A4"/>
    <w:rsid w:val="645760BC"/>
    <w:rsid w:val="64594B59"/>
    <w:rsid w:val="64851F3C"/>
    <w:rsid w:val="64852C29"/>
    <w:rsid w:val="6490742C"/>
    <w:rsid w:val="64AD2180"/>
    <w:rsid w:val="64CC2B4B"/>
    <w:rsid w:val="6506160D"/>
    <w:rsid w:val="65226C62"/>
    <w:rsid w:val="652B7DC7"/>
    <w:rsid w:val="65A21CAF"/>
    <w:rsid w:val="65AB2111"/>
    <w:rsid w:val="65C94D98"/>
    <w:rsid w:val="66000F25"/>
    <w:rsid w:val="660D10C3"/>
    <w:rsid w:val="662F7131"/>
    <w:rsid w:val="6663791B"/>
    <w:rsid w:val="666845B1"/>
    <w:rsid w:val="667824BB"/>
    <w:rsid w:val="66890C0F"/>
    <w:rsid w:val="668B4BF2"/>
    <w:rsid w:val="668D2269"/>
    <w:rsid w:val="669722C4"/>
    <w:rsid w:val="66A13C51"/>
    <w:rsid w:val="66C4206E"/>
    <w:rsid w:val="66C826B4"/>
    <w:rsid w:val="66DB25CF"/>
    <w:rsid w:val="66E358EC"/>
    <w:rsid w:val="66F721E4"/>
    <w:rsid w:val="673842E0"/>
    <w:rsid w:val="673B1CC5"/>
    <w:rsid w:val="674E7D87"/>
    <w:rsid w:val="676236F6"/>
    <w:rsid w:val="677A6B46"/>
    <w:rsid w:val="677F6056"/>
    <w:rsid w:val="67955879"/>
    <w:rsid w:val="679F4002"/>
    <w:rsid w:val="67B01968"/>
    <w:rsid w:val="67C1666E"/>
    <w:rsid w:val="67D30295"/>
    <w:rsid w:val="684743AA"/>
    <w:rsid w:val="686D6B41"/>
    <w:rsid w:val="6877086E"/>
    <w:rsid w:val="68B53948"/>
    <w:rsid w:val="68C161FA"/>
    <w:rsid w:val="690031C6"/>
    <w:rsid w:val="690C7466"/>
    <w:rsid w:val="69142FF2"/>
    <w:rsid w:val="691F589D"/>
    <w:rsid w:val="69300A63"/>
    <w:rsid w:val="69512620"/>
    <w:rsid w:val="695E7EED"/>
    <w:rsid w:val="69630BE3"/>
    <w:rsid w:val="69AC1A30"/>
    <w:rsid w:val="69B55D5F"/>
    <w:rsid w:val="69BA528C"/>
    <w:rsid w:val="6A195AA7"/>
    <w:rsid w:val="6A416C5D"/>
    <w:rsid w:val="6A7F0327"/>
    <w:rsid w:val="6A8E035E"/>
    <w:rsid w:val="6AAA2146"/>
    <w:rsid w:val="6AB97AD1"/>
    <w:rsid w:val="6ABA2C2A"/>
    <w:rsid w:val="6ABC41C4"/>
    <w:rsid w:val="6AE5418C"/>
    <w:rsid w:val="6AE91947"/>
    <w:rsid w:val="6AF02221"/>
    <w:rsid w:val="6AFE54E3"/>
    <w:rsid w:val="6B5731EB"/>
    <w:rsid w:val="6B8329FE"/>
    <w:rsid w:val="6B8D31ED"/>
    <w:rsid w:val="6BDB6151"/>
    <w:rsid w:val="6BE323E1"/>
    <w:rsid w:val="6C2471CC"/>
    <w:rsid w:val="6C394848"/>
    <w:rsid w:val="6C6F4582"/>
    <w:rsid w:val="6C781D87"/>
    <w:rsid w:val="6C787537"/>
    <w:rsid w:val="6CB561CE"/>
    <w:rsid w:val="6CBC5216"/>
    <w:rsid w:val="6CC45B0C"/>
    <w:rsid w:val="6CD805E7"/>
    <w:rsid w:val="6CF927CF"/>
    <w:rsid w:val="6D064B23"/>
    <w:rsid w:val="6D5E067F"/>
    <w:rsid w:val="6D654E36"/>
    <w:rsid w:val="6DB81120"/>
    <w:rsid w:val="6DD5670F"/>
    <w:rsid w:val="6E2D158F"/>
    <w:rsid w:val="6E7B7F3E"/>
    <w:rsid w:val="6E970B47"/>
    <w:rsid w:val="6EB7319D"/>
    <w:rsid w:val="6EBA5BC5"/>
    <w:rsid w:val="6EBD6D2E"/>
    <w:rsid w:val="6ED52EB7"/>
    <w:rsid w:val="6EE67DB6"/>
    <w:rsid w:val="6EF10A8B"/>
    <w:rsid w:val="6F051E9F"/>
    <w:rsid w:val="6F25601A"/>
    <w:rsid w:val="6F2A317D"/>
    <w:rsid w:val="6F52523D"/>
    <w:rsid w:val="6F620DE8"/>
    <w:rsid w:val="6F6A1399"/>
    <w:rsid w:val="6FA23F2C"/>
    <w:rsid w:val="6FEB6BCB"/>
    <w:rsid w:val="6FF57D4B"/>
    <w:rsid w:val="6FFE4A92"/>
    <w:rsid w:val="703067E4"/>
    <w:rsid w:val="704B7B93"/>
    <w:rsid w:val="705C55AC"/>
    <w:rsid w:val="70BB5761"/>
    <w:rsid w:val="70CC398E"/>
    <w:rsid w:val="70F7400A"/>
    <w:rsid w:val="710629D6"/>
    <w:rsid w:val="710A36E8"/>
    <w:rsid w:val="7126509C"/>
    <w:rsid w:val="71293A68"/>
    <w:rsid w:val="713314FE"/>
    <w:rsid w:val="71371F39"/>
    <w:rsid w:val="715100D4"/>
    <w:rsid w:val="716465A2"/>
    <w:rsid w:val="71752301"/>
    <w:rsid w:val="717707EA"/>
    <w:rsid w:val="71973F9C"/>
    <w:rsid w:val="71AD6A57"/>
    <w:rsid w:val="71C11CBE"/>
    <w:rsid w:val="71CA4AC4"/>
    <w:rsid w:val="71E511AB"/>
    <w:rsid w:val="720E742F"/>
    <w:rsid w:val="7217661C"/>
    <w:rsid w:val="721C178C"/>
    <w:rsid w:val="722F17E0"/>
    <w:rsid w:val="72552C5C"/>
    <w:rsid w:val="72641379"/>
    <w:rsid w:val="726A59A3"/>
    <w:rsid w:val="727442DD"/>
    <w:rsid w:val="72B47365"/>
    <w:rsid w:val="72C2773E"/>
    <w:rsid w:val="72FF09F8"/>
    <w:rsid w:val="7300624D"/>
    <w:rsid w:val="73255BF7"/>
    <w:rsid w:val="733221CE"/>
    <w:rsid w:val="73342D49"/>
    <w:rsid w:val="73487C44"/>
    <w:rsid w:val="73542805"/>
    <w:rsid w:val="735C09EA"/>
    <w:rsid w:val="7363758C"/>
    <w:rsid w:val="736B5452"/>
    <w:rsid w:val="73950C00"/>
    <w:rsid w:val="73981F83"/>
    <w:rsid w:val="73B8519B"/>
    <w:rsid w:val="73C3265B"/>
    <w:rsid w:val="73CA0A99"/>
    <w:rsid w:val="73F85EC6"/>
    <w:rsid w:val="74166C50"/>
    <w:rsid w:val="746976B7"/>
    <w:rsid w:val="747B1953"/>
    <w:rsid w:val="74A67D11"/>
    <w:rsid w:val="74A75393"/>
    <w:rsid w:val="74B63922"/>
    <w:rsid w:val="74B80DF9"/>
    <w:rsid w:val="74C50E20"/>
    <w:rsid w:val="74DC22AC"/>
    <w:rsid w:val="74DD539B"/>
    <w:rsid w:val="74FD1D2F"/>
    <w:rsid w:val="752B5127"/>
    <w:rsid w:val="75582780"/>
    <w:rsid w:val="75621536"/>
    <w:rsid w:val="756F4E41"/>
    <w:rsid w:val="757C06CD"/>
    <w:rsid w:val="757C1E26"/>
    <w:rsid w:val="758111EB"/>
    <w:rsid w:val="758B74BD"/>
    <w:rsid w:val="758C4BAD"/>
    <w:rsid w:val="759F49A6"/>
    <w:rsid w:val="75A25C9D"/>
    <w:rsid w:val="75B2739F"/>
    <w:rsid w:val="75D8680D"/>
    <w:rsid w:val="75E023B5"/>
    <w:rsid w:val="75E6623C"/>
    <w:rsid w:val="76000A80"/>
    <w:rsid w:val="76152364"/>
    <w:rsid w:val="761C30A6"/>
    <w:rsid w:val="762304F4"/>
    <w:rsid w:val="76406897"/>
    <w:rsid w:val="76584E17"/>
    <w:rsid w:val="76595CC4"/>
    <w:rsid w:val="7666391E"/>
    <w:rsid w:val="768236F9"/>
    <w:rsid w:val="76856248"/>
    <w:rsid w:val="76C600E8"/>
    <w:rsid w:val="76CC032F"/>
    <w:rsid w:val="76E658FC"/>
    <w:rsid w:val="774249AA"/>
    <w:rsid w:val="7757620D"/>
    <w:rsid w:val="7764123C"/>
    <w:rsid w:val="776B12A0"/>
    <w:rsid w:val="776C1564"/>
    <w:rsid w:val="77A9147E"/>
    <w:rsid w:val="77C35AEB"/>
    <w:rsid w:val="77CD0717"/>
    <w:rsid w:val="77DA4D66"/>
    <w:rsid w:val="785C70E1"/>
    <w:rsid w:val="7878509B"/>
    <w:rsid w:val="78934A64"/>
    <w:rsid w:val="78A771BA"/>
    <w:rsid w:val="78A82F32"/>
    <w:rsid w:val="78B0018B"/>
    <w:rsid w:val="78B52B9F"/>
    <w:rsid w:val="78CA20C0"/>
    <w:rsid w:val="78DF4BA6"/>
    <w:rsid w:val="78DF689A"/>
    <w:rsid w:val="78EE1536"/>
    <w:rsid w:val="79345106"/>
    <w:rsid w:val="797A042B"/>
    <w:rsid w:val="79904524"/>
    <w:rsid w:val="79930360"/>
    <w:rsid w:val="79937D05"/>
    <w:rsid w:val="79B578E7"/>
    <w:rsid w:val="79B75C6B"/>
    <w:rsid w:val="79D96EF6"/>
    <w:rsid w:val="79D97BC7"/>
    <w:rsid w:val="79E129F8"/>
    <w:rsid w:val="79F05317"/>
    <w:rsid w:val="79FA5715"/>
    <w:rsid w:val="7A130DEB"/>
    <w:rsid w:val="7A1556FF"/>
    <w:rsid w:val="7A3424D0"/>
    <w:rsid w:val="7A50037D"/>
    <w:rsid w:val="7A5275FA"/>
    <w:rsid w:val="7A5B4A02"/>
    <w:rsid w:val="7A796CAE"/>
    <w:rsid w:val="7A7F55E4"/>
    <w:rsid w:val="7A984B66"/>
    <w:rsid w:val="7A9B4F41"/>
    <w:rsid w:val="7AB70E4A"/>
    <w:rsid w:val="7AD002BA"/>
    <w:rsid w:val="7AD4000F"/>
    <w:rsid w:val="7AE528AE"/>
    <w:rsid w:val="7AF95221"/>
    <w:rsid w:val="7B0B2E14"/>
    <w:rsid w:val="7B0E3521"/>
    <w:rsid w:val="7B162F05"/>
    <w:rsid w:val="7B315EC8"/>
    <w:rsid w:val="7B4045E4"/>
    <w:rsid w:val="7B6A5AFE"/>
    <w:rsid w:val="7B7D42A9"/>
    <w:rsid w:val="7B95779E"/>
    <w:rsid w:val="7BAB3E1A"/>
    <w:rsid w:val="7BB237F9"/>
    <w:rsid w:val="7BB97C1E"/>
    <w:rsid w:val="7BBC279A"/>
    <w:rsid w:val="7BDA43CC"/>
    <w:rsid w:val="7BDB2897"/>
    <w:rsid w:val="7BDC6C32"/>
    <w:rsid w:val="7C455243"/>
    <w:rsid w:val="7C574A54"/>
    <w:rsid w:val="7CAA0221"/>
    <w:rsid w:val="7CE22023"/>
    <w:rsid w:val="7CE2443F"/>
    <w:rsid w:val="7CEB5BDA"/>
    <w:rsid w:val="7D38665C"/>
    <w:rsid w:val="7D731FEC"/>
    <w:rsid w:val="7D8C4BD1"/>
    <w:rsid w:val="7DD05067"/>
    <w:rsid w:val="7DD30A52"/>
    <w:rsid w:val="7E0B7481"/>
    <w:rsid w:val="7E165E8B"/>
    <w:rsid w:val="7E1F2B1E"/>
    <w:rsid w:val="7E2836BB"/>
    <w:rsid w:val="7E2C0304"/>
    <w:rsid w:val="7E313619"/>
    <w:rsid w:val="7E6873FD"/>
    <w:rsid w:val="7E6949C0"/>
    <w:rsid w:val="7E6D54B9"/>
    <w:rsid w:val="7E7147C6"/>
    <w:rsid w:val="7E991353"/>
    <w:rsid w:val="7EC637CE"/>
    <w:rsid w:val="7EDA1911"/>
    <w:rsid w:val="7EF01A6D"/>
    <w:rsid w:val="7EFD2FC3"/>
    <w:rsid w:val="7F062761"/>
    <w:rsid w:val="7F385010"/>
    <w:rsid w:val="7F3C1ECA"/>
    <w:rsid w:val="7F4D708F"/>
    <w:rsid w:val="7F680CAB"/>
    <w:rsid w:val="7F68264A"/>
    <w:rsid w:val="7F8A644F"/>
    <w:rsid w:val="7FA60FD1"/>
    <w:rsid w:val="7FB30D07"/>
    <w:rsid w:val="7FC537B7"/>
    <w:rsid w:val="7FD830A1"/>
    <w:rsid w:val="7FDF3229"/>
    <w:rsid w:val="7FED104B"/>
    <w:rsid w:val="7FF71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iPriority="99"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unhideWhenUsed/>
    <w:qFormat/>
    <w:uiPriority w:val="0"/>
    <w:pPr>
      <w:keepNext/>
      <w:keepLines/>
      <w:adjustRightInd w:val="0"/>
      <w:snapToGrid w:val="0"/>
      <w:spacing w:beforeLines="0" w:beforeAutospacing="0" w:afterLines="0" w:afterAutospacing="0" w:line="240" w:lineRule="auto"/>
      <w:outlineLvl w:val="1"/>
    </w:pPr>
    <w:rPr>
      <w:rFonts w:ascii="Times New Roman" w:hAnsi="Times New Roman" w:eastAsia="宋体"/>
      <w:b/>
      <w:sz w:val="28"/>
    </w:rPr>
  </w:style>
  <w:style w:type="paragraph" w:styleId="4">
    <w:name w:val="heading 3"/>
    <w:basedOn w:val="1"/>
    <w:next w:val="1"/>
    <w:qFormat/>
    <w:uiPriority w:val="0"/>
    <w:pPr>
      <w:keepNext/>
      <w:keepLines/>
      <w:adjustRightInd w:val="0"/>
      <w:spacing w:before="120" w:after="60"/>
      <w:textAlignment w:val="baseline"/>
      <w:outlineLvl w:val="2"/>
    </w:pPr>
    <w:rPr>
      <w:b/>
      <w:kern w:val="0"/>
    </w:rPr>
  </w:style>
  <w:style w:type="paragraph" w:styleId="5">
    <w:name w:val="heading 4"/>
    <w:basedOn w:val="1"/>
    <w:next w:val="1"/>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6">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ind w:firstLine="420" w:firstLineChars="200"/>
    </w:pPr>
    <w:rPr>
      <w:rFonts w:ascii="Times New Roman" w:hAnsi="Times New Roman"/>
      <w:szCs w:val="24"/>
    </w:rPr>
  </w:style>
  <w:style w:type="paragraph" w:styleId="8">
    <w:name w:val="caption"/>
    <w:basedOn w:val="1"/>
    <w:next w:val="1"/>
    <w:qFormat/>
    <w:uiPriority w:val="0"/>
    <w:pPr>
      <w:spacing w:before="160" w:after="160" w:line="288" w:lineRule="auto"/>
      <w:ind w:firstLine="510"/>
      <w:jc w:val="center"/>
    </w:pPr>
    <w:rPr>
      <w:rFonts w:ascii="Arial" w:hAnsi="Arial" w:eastAsia="黑体"/>
      <w:sz w:val="24"/>
    </w:rPr>
  </w:style>
  <w:style w:type="paragraph" w:styleId="9">
    <w:name w:val="index 5"/>
    <w:basedOn w:val="1"/>
    <w:next w:val="1"/>
    <w:qFormat/>
    <w:uiPriority w:val="0"/>
    <w:pPr>
      <w:ind w:left="800" w:leftChars="800"/>
    </w:pPr>
  </w:style>
  <w:style w:type="paragraph" w:styleId="10">
    <w:name w:val="toa heading"/>
    <w:basedOn w:val="1"/>
    <w:next w:val="1"/>
    <w:semiHidden/>
    <w:qFormat/>
    <w:uiPriority w:val="0"/>
    <w:pPr>
      <w:spacing w:before="120"/>
    </w:pPr>
    <w:rPr>
      <w:rFonts w:ascii="Arial" w:hAnsi="宋体" w:cs="宋体"/>
    </w:rPr>
  </w:style>
  <w:style w:type="paragraph" w:styleId="11">
    <w:name w:val="annotation text"/>
    <w:basedOn w:val="1"/>
    <w:qFormat/>
    <w:uiPriority w:val="0"/>
    <w:pPr>
      <w:jc w:val="left"/>
    </w:pPr>
  </w:style>
  <w:style w:type="paragraph" w:styleId="12">
    <w:name w:val="Body Text"/>
    <w:basedOn w:val="1"/>
    <w:next w:val="13"/>
    <w:qFormat/>
    <w:uiPriority w:val="0"/>
    <w:pPr>
      <w:widowControl/>
      <w:snapToGrid w:val="0"/>
      <w:spacing w:before="60" w:after="160" w:line="259" w:lineRule="auto"/>
      <w:ind w:right="113"/>
    </w:pPr>
    <w:rPr>
      <w:kern w:val="0"/>
      <w:sz w:val="18"/>
      <w:szCs w:val="20"/>
    </w:rPr>
  </w:style>
  <w:style w:type="paragraph" w:customStyle="1" w:styleId="13">
    <w:name w:val="Body Text 21"/>
    <w:basedOn w:val="1"/>
    <w:qFormat/>
    <w:uiPriority w:val="0"/>
    <w:pPr>
      <w:spacing w:line="360" w:lineRule="auto"/>
      <w:ind w:firstLine="480"/>
    </w:pPr>
    <w:rPr>
      <w:rFonts w:ascii="仿宋_GB2312" w:eastAsia="仿宋_GB2312"/>
    </w:rPr>
  </w:style>
  <w:style w:type="paragraph" w:styleId="14">
    <w:name w:val="Body Text Indent"/>
    <w:basedOn w:val="1"/>
    <w:next w:val="1"/>
    <w:qFormat/>
    <w:uiPriority w:val="0"/>
    <w:pPr>
      <w:spacing w:after="120"/>
      <w:ind w:left="420" w:leftChars="200"/>
    </w:pPr>
    <w:rPr>
      <w:kern w:val="0"/>
      <w:sz w:val="24"/>
      <w:szCs w:val="20"/>
    </w:rPr>
  </w:style>
  <w:style w:type="paragraph" w:styleId="15">
    <w:name w:val="Block Text"/>
    <w:basedOn w:val="1"/>
    <w:next w:val="1"/>
    <w:unhideWhenUsed/>
    <w:qFormat/>
    <w:uiPriority w:val="0"/>
    <w:pPr>
      <w:spacing w:after="120"/>
      <w:ind w:left="1440" w:leftChars="700" w:right="1440" w:rightChars="700"/>
    </w:pPr>
  </w:style>
  <w:style w:type="paragraph" w:styleId="16">
    <w:name w:val="Plain Text"/>
    <w:basedOn w:val="1"/>
    <w:qFormat/>
    <w:uiPriority w:val="0"/>
    <w:rPr>
      <w:rFonts w:ascii="宋体" w:hAnsi="Courier New" w:cs="Courier New"/>
      <w:szCs w:val="21"/>
    </w:rPr>
  </w:style>
  <w:style w:type="paragraph" w:styleId="17">
    <w:name w:val="toc 8"/>
    <w:basedOn w:val="1"/>
    <w:next w:val="1"/>
    <w:qFormat/>
    <w:uiPriority w:val="39"/>
    <w:pPr>
      <w:ind w:left="1470"/>
      <w:jc w:val="left"/>
    </w:pPr>
    <w:rPr>
      <w:rFonts w:ascii="Times New Roman" w:hAnsi="Times New Roman"/>
      <w:kern w:val="0"/>
      <w:sz w:val="18"/>
      <w:szCs w:val="18"/>
    </w:rPr>
  </w:style>
  <w:style w:type="paragraph" w:styleId="18">
    <w:name w:val="Body Text Indent 2"/>
    <w:basedOn w:val="1"/>
    <w:qFormat/>
    <w:uiPriority w:val="0"/>
    <w:pPr>
      <w:spacing w:before="120" w:beforeLines="0"/>
      <w:ind w:right="113" w:firstLine="570"/>
    </w:pPr>
    <w:rPr>
      <w:kern w:val="24"/>
      <w:sz w:val="28"/>
      <w:szCs w:val="20"/>
    </w:rPr>
  </w:style>
  <w:style w:type="paragraph" w:styleId="19">
    <w:name w:val="List Continue 5"/>
    <w:basedOn w:val="1"/>
    <w:unhideWhenUsed/>
    <w:qFormat/>
    <w:uiPriority w:val="99"/>
    <w:pPr>
      <w:spacing w:after="120" w:afterLines="0"/>
      <w:ind w:left="2100" w:leftChars="1000"/>
    </w:pPr>
  </w:style>
  <w:style w:type="paragraph" w:styleId="20">
    <w:name w:val="footer"/>
    <w:basedOn w:val="1"/>
    <w:qFormat/>
    <w:uiPriority w:val="99"/>
    <w:pPr>
      <w:tabs>
        <w:tab w:val="center" w:pos="4153"/>
        <w:tab w:val="right" w:pos="8306"/>
      </w:tabs>
      <w:snapToGrid w:val="0"/>
      <w:jc w:val="left"/>
    </w:pPr>
    <w:rPr>
      <w:kern w:val="0"/>
      <w:sz w:val="18"/>
      <w:szCs w:val="20"/>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qFormat/>
    <w:uiPriority w:val="39"/>
    <w:pPr>
      <w:spacing w:line="440" w:lineRule="exact"/>
      <w:ind w:firstLine="0" w:firstLineChars="0"/>
      <w:jc w:val="left"/>
    </w:pPr>
    <w:rPr>
      <w:b/>
      <w:bCs/>
      <w:caps/>
    </w:rPr>
  </w:style>
  <w:style w:type="paragraph" w:styleId="23">
    <w:name w:val="Subtitle"/>
    <w:basedOn w:val="1"/>
    <w:next w:val="1"/>
    <w:qFormat/>
    <w:uiPriority w:val="0"/>
    <w:pPr>
      <w:ind w:firstLine="0" w:firstLineChars="0"/>
      <w:jc w:val="center"/>
    </w:pPr>
    <w:rPr>
      <w:b/>
      <w:sz w:val="21"/>
    </w:rPr>
  </w:style>
  <w:style w:type="paragraph" w:styleId="24">
    <w:name w:val="List"/>
    <w:basedOn w:val="1"/>
    <w:qFormat/>
    <w:uiPriority w:val="0"/>
    <w:pPr>
      <w:spacing w:line="320" w:lineRule="exact"/>
      <w:jc w:val="center"/>
    </w:pPr>
    <w:rPr>
      <w:rFonts w:hint="default" w:ascii="Times New Roman" w:hAnsi="Times New Roman"/>
      <w:sz w:val="22"/>
      <w:szCs w:val="24"/>
    </w:rPr>
  </w:style>
  <w:style w:type="paragraph" w:styleId="25">
    <w:name w:val="table of figures"/>
    <w:basedOn w:val="1"/>
    <w:next w:val="1"/>
    <w:qFormat/>
    <w:uiPriority w:val="0"/>
    <w:pPr>
      <w:spacing w:line="440" w:lineRule="exact"/>
      <w:ind w:left="840" w:leftChars="200" w:hanging="420" w:hangingChars="200"/>
    </w:pPr>
    <w:rPr>
      <w:rFonts w:ascii="Arial" w:hAnsi="Tahoma" w:cs="Tahoma"/>
      <w:kern w:val="0"/>
      <w:sz w:val="24"/>
      <w:szCs w:val="24"/>
    </w:rPr>
  </w:style>
  <w:style w:type="paragraph" w:styleId="26">
    <w:name w:val="toc 2"/>
    <w:basedOn w:val="1"/>
    <w:next w:val="1"/>
    <w:unhideWhenUsed/>
    <w:qFormat/>
    <w:uiPriority w:val="99"/>
    <w:pPr>
      <w:widowControl/>
      <w:ind w:left="210"/>
      <w:jc w:val="left"/>
    </w:pPr>
    <w:rPr>
      <w:rFonts w:hint="eastAsia" w:ascii="宋体" w:hAnsi="宋体"/>
      <w:smallCaps/>
      <w:sz w:val="20"/>
    </w:rPr>
  </w:style>
  <w:style w:type="paragraph" w:styleId="27">
    <w:name w:val="Body Text 2"/>
    <w:basedOn w:val="1"/>
    <w:qFormat/>
    <w:uiPriority w:val="0"/>
    <w:pPr>
      <w:spacing w:after="120" w:afterLines="0" w:line="480" w:lineRule="auto"/>
    </w:pPr>
  </w:style>
  <w:style w:type="paragraph" w:styleId="28">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2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30">
    <w:name w:val="Body Text First Indent"/>
    <w:basedOn w:val="12"/>
    <w:next w:val="31"/>
    <w:qFormat/>
    <w:uiPriority w:val="0"/>
    <w:pPr>
      <w:ind w:firstLine="420" w:firstLineChars="100"/>
    </w:pPr>
    <w:rPr>
      <w:szCs w:val="24"/>
    </w:rPr>
  </w:style>
  <w:style w:type="paragraph" w:styleId="31">
    <w:name w:val="Body Text First Indent 2"/>
    <w:basedOn w:val="14"/>
    <w:next w:val="30"/>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0"/>
    <w:rPr>
      <w:i/>
    </w:rPr>
  </w:style>
  <w:style w:type="character" w:styleId="38">
    <w:name w:val="Hyperlink"/>
    <w:qFormat/>
    <w:uiPriority w:val="0"/>
    <w:rPr>
      <w:rFonts w:eastAsia="宋体"/>
      <w:color w:val="0000FF"/>
      <w:sz w:val="24"/>
      <w:szCs w:val="24"/>
      <w:u w:val="none"/>
    </w:rPr>
  </w:style>
  <w:style w:type="character" w:styleId="39">
    <w:name w:val="annotation reference"/>
    <w:semiHidden/>
    <w:qFormat/>
    <w:uiPriority w:val="0"/>
    <w:rPr>
      <w:sz w:val="21"/>
    </w:rPr>
  </w:style>
  <w:style w:type="paragraph" w:customStyle="1" w:styleId="40">
    <w:name w:val="！正文ctrl-4"/>
    <w:basedOn w:val="1"/>
    <w:qFormat/>
    <w:uiPriority w:val="0"/>
    <w:pPr>
      <w:spacing w:beforeLines="50"/>
      <w:ind w:firstLine="480"/>
    </w:pPr>
    <w:rPr>
      <w:rFonts w:cs="Times New Roman"/>
      <w:sz w:val="21"/>
    </w:rPr>
  </w:style>
  <w:style w:type="paragraph" w:customStyle="1" w:styleId="41">
    <w:name w:val="_Style 2"/>
    <w:basedOn w:val="1"/>
    <w:next w:val="1"/>
    <w:qFormat/>
    <w:uiPriority w:val="1"/>
    <w:pPr>
      <w:spacing w:line="440" w:lineRule="exact"/>
      <w:ind w:firstLine="420" w:firstLineChars="200"/>
    </w:pPr>
    <w:rPr>
      <w:sz w:val="24"/>
      <w:szCs w:val="20"/>
    </w:rPr>
  </w:style>
  <w:style w:type="paragraph" w:customStyle="1" w:styleId="42">
    <w:name w:val="表头"/>
    <w:basedOn w:val="1"/>
    <w:next w:val="1"/>
    <w:link w:val="62"/>
    <w:qFormat/>
    <w:uiPriority w:val="0"/>
    <w:pPr>
      <w:ind w:firstLine="0" w:firstLineChars="0"/>
      <w:jc w:val="center"/>
    </w:pPr>
    <w:rPr>
      <w:rFonts w:ascii="Times New Roman" w:hAnsi="Times New Roman" w:eastAsia="宋体"/>
      <w:b/>
    </w:rPr>
  </w:style>
  <w:style w:type="paragraph" w:customStyle="1" w:styleId="43">
    <w:name w:val="表格"/>
    <w:basedOn w:val="12"/>
    <w:next w:val="1"/>
    <w:qFormat/>
    <w:uiPriority w:val="0"/>
    <w:pPr>
      <w:spacing w:line="240" w:lineRule="auto"/>
      <w:ind w:firstLine="0" w:firstLineChars="0"/>
      <w:jc w:val="center"/>
    </w:pPr>
    <w:rPr>
      <w:rFonts w:ascii="Times New Roman" w:hAnsi="Times New Roman" w:eastAsia="宋体"/>
      <w:szCs w:val="21"/>
    </w:rPr>
  </w:style>
  <w:style w:type="paragraph" w:customStyle="1" w:styleId="44">
    <w:name w:val="正文1"/>
    <w:basedOn w:val="27"/>
    <w:next w:val="1"/>
    <w:qFormat/>
    <w:uiPriority w:val="0"/>
    <w:pPr>
      <w:spacing w:before="78" w:after="78" w:line="360" w:lineRule="auto"/>
      <w:ind w:firstLine="480"/>
    </w:pPr>
    <w:rPr>
      <w:kern w:val="1"/>
      <w:sz w:val="24"/>
    </w:rPr>
  </w:style>
  <w:style w:type="paragraph" w:customStyle="1" w:styleId="45">
    <w:name w:val="Default"/>
    <w:basedOn w:val="4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paragraph" w:customStyle="1" w:styleId="47">
    <w:name w:val="批注文字1"/>
    <w:qFormat/>
    <w:locked/>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8">
    <w:name w:val="封皮"/>
    <w:basedOn w:val="1"/>
    <w:qFormat/>
    <w:uiPriority w:val="0"/>
    <w:pPr>
      <w:spacing w:line="240" w:lineRule="auto"/>
      <w:ind w:firstLine="0" w:firstLineChars="0"/>
      <w:jc w:val="center"/>
    </w:pPr>
    <w:rPr>
      <w:b/>
      <w:sz w:val="72"/>
    </w:rPr>
  </w:style>
  <w:style w:type="paragraph" w:customStyle="1" w:styleId="49">
    <w:name w:val="Table Paragraph"/>
    <w:basedOn w:val="1"/>
    <w:qFormat/>
    <w:uiPriority w:val="1"/>
    <w:pPr>
      <w:autoSpaceDE w:val="0"/>
      <w:autoSpaceDN w:val="0"/>
      <w:adjustRightInd w:val="0"/>
      <w:jc w:val="left"/>
    </w:pPr>
    <w:rPr>
      <w:kern w:val="0"/>
      <w:sz w:val="24"/>
    </w:rPr>
  </w:style>
  <w:style w:type="paragraph" w:styleId="50">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51">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52">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character" w:customStyle="1" w:styleId="53">
    <w:name w:val="font31"/>
    <w:basedOn w:val="34"/>
    <w:qFormat/>
    <w:uiPriority w:val="0"/>
    <w:rPr>
      <w:rFonts w:hint="eastAsia" w:ascii="宋体" w:hAnsi="宋体" w:eastAsia="宋体" w:cs="宋体"/>
      <w:color w:val="000000"/>
      <w:sz w:val="24"/>
      <w:szCs w:val="24"/>
      <w:u w:val="none"/>
    </w:rPr>
  </w:style>
  <w:style w:type="paragraph" w:customStyle="1" w:styleId="54">
    <w:name w:val="列出段落1"/>
    <w:basedOn w:val="1"/>
    <w:qFormat/>
    <w:uiPriority w:val="0"/>
    <w:pPr>
      <w:ind w:firstLine="420" w:firstLineChars="200"/>
    </w:pPr>
    <w:rPr>
      <w:rFonts w:ascii="Calibri" w:hAnsi="Calibri" w:eastAsia="宋体"/>
    </w:rPr>
  </w:style>
  <w:style w:type="paragraph" w:customStyle="1" w:styleId="55">
    <w:name w:val="(.a表格内容"/>
    <w:basedOn w:val="56"/>
    <w:qFormat/>
    <w:uiPriority w:val="0"/>
    <w:pPr>
      <w:spacing w:line="0" w:lineRule="atLeast"/>
      <w:jc w:val="center"/>
    </w:pPr>
    <w:rPr>
      <w:sz w:val="21"/>
    </w:rPr>
  </w:style>
  <w:style w:type="paragraph" w:customStyle="1" w:styleId="56">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57">
    <w:name w:val="我的表格"/>
    <w:basedOn w:val="58"/>
    <w:qFormat/>
    <w:uiPriority w:val="0"/>
    <w:pPr>
      <w:spacing w:line="240" w:lineRule="auto"/>
      <w:ind w:firstLine="0" w:firstLineChars="0"/>
      <w:jc w:val="center"/>
    </w:pPr>
    <w:rPr>
      <w:rFonts w:ascii="Times New Roman" w:hAnsi="Times New Roman"/>
      <w:sz w:val="21"/>
      <w:szCs w:val="21"/>
    </w:rPr>
  </w:style>
  <w:style w:type="paragraph" w:customStyle="1" w:styleId="58">
    <w:name w:val="正常格式"/>
    <w:basedOn w:val="59"/>
    <w:qFormat/>
    <w:uiPriority w:val="0"/>
    <w:pPr>
      <w:snapToGrid w:val="0"/>
      <w:spacing w:line="480" w:lineRule="exact"/>
      <w:ind w:firstLine="602"/>
    </w:pPr>
    <w:rPr>
      <w:rFonts w:ascii="Times New Roman" w:hAnsi="Times New Roman" w:eastAsia="仿宋_GB2312"/>
      <w:kern w:val="0"/>
      <w:szCs w:val="20"/>
    </w:rPr>
  </w:style>
  <w:style w:type="paragraph" w:customStyle="1" w:styleId="59">
    <w:name w:val="正文2"/>
    <w:basedOn w:val="60"/>
    <w:qFormat/>
    <w:uiPriority w:val="0"/>
    <w:pPr>
      <w:spacing w:line="360" w:lineRule="auto"/>
      <w:ind w:firstLine="480" w:firstLineChars="200"/>
    </w:pPr>
    <w:rPr>
      <w:rFonts w:ascii="宋体" w:hAnsi="宋体"/>
      <w:sz w:val="24"/>
    </w:rPr>
  </w:style>
  <w:style w:type="paragraph" w:customStyle="1" w:styleId="60">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61">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62">
    <w:name w:val="表头 Char"/>
    <w:link w:val="42"/>
    <w:qFormat/>
    <w:uiPriority w:val="0"/>
    <w:rPr>
      <w:rFonts w:ascii="Times New Roman" w:hAnsi="Times New Roman" w:eastAsia="宋体"/>
      <w:b/>
    </w:rPr>
  </w:style>
  <w:style w:type="paragraph" w:customStyle="1" w:styleId="63">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64">
    <w:name w:val="正"/>
    <w:basedOn w:val="1"/>
    <w:qFormat/>
    <w:uiPriority w:val="0"/>
    <w:pPr>
      <w:ind w:firstLine="200"/>
    </w:pPr>
    <w:rPr>
      <w:rFonts w:ascii="Times New Roman" w:hAnsi="Times New Roman" w:eastAsia="宋体" w:cs="Times New Roman"/>
      <w:sz w:val="24"/>
    </w:rPr>
  </w:style>
  <w:style w:type="paragraph" w:customStyle="1" w:styleId="65">
    <w:name w:val="中文报告书样式"/>
    <w:basedOn w:val="1"/>
    <w:qFormat/>
    <w:uiPriority w:val="0"/>
    <w:pPr>
      <w:adjustRightInd w:val="0"/>
      <w:spacing w:line="480" w:lineRule="atLeast"/>
      <w:ind w:firstLine="482"/>
      <w:textAlignment w:val="baseline"/>
    </w:pPr>
    <w:rPr>
      <w:rFonts w:ascii="Calibri" w:hAnsi="Calibri"/>
      <w:kern w:val="24"/>
      <w:sz w:val="24"/>
    </w:rPr>
  </w:style>
  <w:style w:type="character" w:customStyle="1" w:styleId="66">
    <w:name w:val="fontstyle01"/>
    <w:basedOn w:val="34"/>
    <w:qFormat/>
    <w:uiPriority w:val="0"/>
    <w:rPr>
      <w:rFonts w:ascii="黑体" w:hAnsi="宋体" w:eastAsia="黑体" w:cs="黑体"/>
      <w:color w:val="000000"/>
      <w:sz w:val="22"/>
      <w:szCs w:val="22"/>
    </w:rPr>
  </w:style>
  <w:style w:type="character" w:customStyle="1" w:styleId="67">
    <w:name w:val="fontstyle11"/>
    <w:basedOn w:val="34"/>
    <w:qFormat/>
    <w:uiPriority w:val="0"/>
    <w:rPr>
      <w:rFonts w:ascii="TimesNewRomanPSMT" w:hAnsi="TimesNewRomanPSMT" w:eastAsia="TimesNewRomanPSMT" w:cs="TimesNewRomanPSMT"/>
      <w:color w:val="000000"/>
      <w:sz w:val="24"/>
      <w:szCs w:val="24"/>
    </w:rPr>
  </w:style>
  <w:style w:type="character" w:customStyle="1" w:styleId="68">
    <w:name w:val="font21"/>
    <w:basedOn w:val="34"/>
    <w:qFormat/>
    <w:uiPriority w:val="0"/>
    <w:rPr>
      <w:rFonts w:hint="default" w:ascii="Times New Roman" w:hAnsi="Times New Roman" w:cs="Times New Roman"/>
      <w:color w:val="000000"/>
      <w:sz w:val="18"/>
      <w:szCs w:val="18"/>
      <w:u w:val="none"/>
    </w:rPr>
  </w:style>
  <w:style w:type="paragraph" w:customStyle="1" w:styleId="69">
    <w:name w:val="默认段落字体 Para Char Char Char Char Char Char Char Char Char Char"/>
    <w:basedOn w:val="4"/>
    <w:qFormat/>
    <w:uiPriority w:val="0"/>
    <w:pPr>
      <w:tabs>
        <w:tab w:val="left" w:pos="360"/>
        <w:tab w:val="left" w:pos="900"/>
      </w:tabs>
      <w:snapToGrid w:val="0"/>
      <w:spacing w:before="120" w:beforeLines="0" w:after="120" w:afterLines="0" w:line="360" w:lineRule="auto"/>
      <w:ind w:left="542" w:leftChars="-12" w:firstLine="200" w:firstLineChars="200"/>
      <w:jc w:val="left"/>
    </w:pPr>
    <w:rPr>
      <w:rFonts w:eastAsia="黑体"/>
      <w:b w:val="0"/>
      <w:bCs/>
      <w:snapToGrid w:val="0"/>
      <w:sz w:val="24"/>
      <w:szCs w:val="24"/>
    </w:rPr>
  </w:style>
  <w:style w:type="character" w:customStyle="1" w:styleId="70">
    <w:name w:val="font11"/>
    <w:basedOn w:val="34"/>
    <w:qFormat/>
    <w:uiPriority w:val="0"/>
    <w:rPr>
      <w:rFonts w:hint="default" w:ascii="Times New Roman" w:hAnsi="Times New Roman" w:cs="Times New Roman"/>
      <w:color w:val="000000"/>
      <w:sz w:val="18"/>
      <w:szCs w:val="18"/>
      <w:u w:val="none"/>
      <w:vertAlign w:val="superscript"/>
    </w:rPr>
  </w:style>
  <w:style w:type="character" w:customStyle="1" w:styleId="71">
    <w:name w:val="font01"/>
    <w:basedOn w:val="34"/>
    <w:qFormat/>
    <w:uiPriority w:val="0"/>
    <w:rPr>
      <w:rFonts w:hint="default" w:ascii="Times New Roman" w:hAnsi="Times New Roman" w:cs="Times New Roman"/>
      <w:color w:val="000000"/>
      <w:sz w:val="21"/>
      <w:szCs w:val="21"/>
      <w:u w:val="none"/>
    </w:rPr>
  </w:style>
  <w:style w:type="character" w:customStyle="1" w:styleId="72">
    <w:name w:val="NormalCharacter"/>
    <w:link w:val="73"/>
    <w:semiHidden/>
    <w:qFormat/>
    <w:uiPriority w:val="0"/>
    <w:rPr>
      <w:rFonts w:eastAsia="宋体"/>
      <w:kern w:val="2"/>
      <w:sz w:val="24"/>
      <w:szCs w:val="24"/>
      <w:lang w:val="en-US" w:eastAsia="zh-CN" w:bidi="ar-SA"/>
    </w:rPr>
  </w:style>
  <w:style w:type="paragraph" w:customStyle="1" w:styleId="73">
    <w:name w:val="UserStyle_3"/>
    <w:basedOn w:val="1"/>
    <w:link w:val="72"/>
    <w:qFormat/>
    <w:uiPriority w:val="0"/>
    <w:pPr>
      <w:jc w:val="both"/>
      <w:textAlignment w:val="baseline"/>
    </w:pPr>
    <w:rPr>
      <w:rFonts w:eastAsia="宋体"/>
      <w:kern w:val="2"/>
      <w:sz w:val="24"/>
      <w:szCs w:val="24"/>
      <w:lang w:val="en-US" w:eastAsia="zh-CN" w:bidi="ar-SA"/>
    </w:rPr>
  </w:style>
  <w:style w:type="character" w:customStyle="1" w:styleId="74">
    <w:name w:val="fontstyle21"/>
    <w:basedOn w:val="34"/>
    <w:qFormat/>
    <w:uiPriority w:val="0"/>
    <w:rPr>
      <w:rFonts w:ascii="宋体" w:hAnsi="宋体" w:eastAsia="宋体" w:cs="宋体"/>
      <w:color w:val="000000"/>
      <w:sz w:val="24"/>
      <w:szCs w:val="24"/>
    </w:rPr>
  </w:style>
  <w:style w:type="character" w:customStyle="1" w:styleId="75">
    <w:name w:val="正文文本 字符1"/>
    <w:semiHidden/>
    <w:qFormat/>
    <w:uiPriority w:val="0"/>
    <w:rPr>
      <w:rFonts w:ascii="Times New Roman" w:hAnsi="Times New Roman" w:eastAsia="宋体"/>
      <w:sz w:val="24"/>
    </w:rPr>
  </w:style>
  <w:style w:type="paragraph" w:customStyle="1" w:styleId="76">
    <w:name w:val="列出段落"/>
    <w:basedOn w:val="1"/>
    <w:qFormat/>
    <w:uiPriority w:val="34"/>
    <w:pPr>
      <w:ind w:firstLine="420" w:firstLineChars="200"/>
    </w:pPr>
    <w:rPr>
      <w:rFonts w:ascii="Calibri" w:hAnsi="Calibri"/>
      <w:szCs w:val="22"/>
    </w:rPr>
  </w:style>
  <w:style w:type="character" w:customStyle="1" w:styleId="77">
    <w:name w:val="fontstyle31"/>
    <w:basedOn w:val="34"/>
    <w:qFormat/>
    <w:uiPriority w:val="0"/>
    <w:rPr>
      <w:rFonts w:ascii="TimesNewRomanPSMT" w:hAnsi="TimesNewRomanPSMT" w:eastAsia="TimesNewRomanPSMT" w:cs="TimesNewRomanPSMT"/>
      <w:color w:val="000000"/>
      <w:sz w:val="24"/>
      <w:szCs w:val="24"/>
    </w:rPr>
  </w:style>
  <w:style w:type="character" w:customStyle="1" w:styleId="78">
    <w:name w:val="fontstyle41"/>
    <w:basedOn w:val="34"/>
    <w:qFormat/>
    <w:uiPriority w:val="0"/>
    <w:rPr>
      <w:rFonts w:ascii="TimesNewRomanPSMT" w:hAnsi="TimesNewRomanPSMT" w:eastAsia="TimesNewRomanPSMT" w:cs="TimesNewRomanPSMT"/>
      <w:color w:val="000000"/>
      <w:sz w:val="24"/>
      <w:szCs w:val="24"/>
    </w:rPr>
  </w:style>
  <w:style w:type="paragraph" w:customStyle="1" w:styleId="79">
    <w:name w:val="样式10"/>
    <w:basedOn w:val="59"/>
    <w:qFormat/>
    <w:uiPriority w:val="0"/>
    <w:pPr>
      <w:spacing w:line="480" w:lineRule="exact"/>
      <w:ind w:firstLine="600"/>
    </w:pPr>
  </w:style>
  <w:style w:type="paragraph" w:customStyle="1" w:styleId="80">
    <w:name w:val="样式1"/>
    <w:basedOn w:val="1"/>
    <w:qFormat/>
    <w:uiPriority w:val="0"/>
    <w:pPr>
      <w:spacing w:line="480" w:lineRule="atLeast"/>
      <w:jc w:val="center"/>
    </w:pPr>
    <w:rPr>
      <w:sz w:val="24"/>
    </w:rPr>
  </w:style>
  <w:style w:type="character" w:customStyle="1" w:styleId="81">
    <w:name w:val="font41"/>
    <w:basedOn w:val="34"/>
    <w:qFormat/>
    <w:uiPriority w:val="0"/>
    <w:rPr>
      <w:rFonts w:hint="eastAsia" w:ascii="宋体" w:hAnsi="宋体" w:eastAsia="宋体" w:cs="宋体"/>
      <w:color w:val="000000"/>
      <w:sz w:val="20"/>
      <w:szCs w:val="20"/>
      <w:u w:val="none"/>
    </w:rPr>
  </w:style>
  <w:style w:type="character" w:customStyle="1" w:styleId="82">
    <w:name w:val="font51"/>
    <w:basedOn w:val="34"/>
    <w:qFormat/>
    <w:uiPriority w:val="0"/>
    <w:rPr>
      <w:rFonts w:hint="default" w:ascii="Times New Roman" w:hAnsi="Times New Roman" w:cs="Times New Roman"/>
      <w:color w:val="000000"/>
      <w:sz w:val="18"/>
      <w:szCs w:val="18"/>
      <w:u w:val="none"/>
      <w:vertAlign w:val="superscript"/>
    </w:rPr>
  </w:style>
  <w:style w:type="character" w:customStyle="1" w:styleId="83">
    <w:name w:val="font61"/>
    <w:basedOn w:val="34"/>
    <w:qFormat/>
    <w:uiPriority w:val="0"/>
    <w:rPr>
      <w:rFonts w:hint="eastAsia" w:ascii="宋体" w:hAnsi="宋体" w:eastAsia="宋体" w:cs="宋体"/>
      <w:color w:val="00B0F0"/>
      <w:sz w:val="21"/>
      <w:szCs w:val="21"/>
      <w:u w:val="none"/>
    </w:rPr>
  </w:style>
  <w:style w:type="paragraph" w:customStyle="1" w:styleId="84">
    <w:name w:val="表格标题"/>
    <w:basedOn w:val="1"/>
    <w:qFormat/>
    <w:uiPriority w:val="0"/>
    <w:pPr>
      <w:shd w:val="clear" w:color="auto" w:fill="FFFFFF"/>
      <w:spacing w:line="0" w:lineRule="atLeast"/>
      <w:jc w:val="left"/>
    </w:pPr>
    <w:rPr>
      <w:rFonts w:ascii="宋体" w:hAnsi="宋体" w:cs="宋体"/>
      <w:kern w:val="0"/>
      <w:sz w:val="22"/>
      <w:szCs w:val="22"/>
    </w:rPr>
  </w:style>
  <w:style w:type="character" w:customStyle="1" w:styleId="85">
    <w:name w:val="ask-title2"/>
    <w:basedOn w:val="34"/>
    <w:qFormat/>
    <w:uiPriority w:val="0"/>
  </w:style>
  <w:style w:type="paragraph" w:customStyle="1" w:styleId="86">
    <w:name w:val="样式 首行缩进:  2 字符1"/>
    <w:basedOn w:val="1"/>
    <w:qFormat/>
    <w:uiPriority w:val="0"/>
    <w:pPr>
      <w:spacing w:line="360" w:lineRule="exact"/>
      <w:ind w:left="-90" w:leftChars="-43"/>
      <w:jc w:val="center"/>
    </w:pPr>
    <w:rPr>
      <w:rFonts w:cs="宋体"/>
      <w:kern w:val="0"/>
      <w:szCs w:val="21"/>
    </w:rPr>
  </w:style>
  <w:style w:type="paragraph" w:customStyle="1" w:styleId="87">
    <w:name w:val="样式 样式 样式 四号 左侧:  1.53 厘米 + 首行缩进:  2 字符 + 居中 左侧:  2 字符 首行缩进:  2..."/>
    <w:basedOn w:val="88"/>
    <w:qFormat/>
    <w:uiPriority w:val="0"/>
    <w:pPr>
      <w:spacing w:line="360" w:lineRule="auto"/>
      <w:jc w:val="center"/>
    </w:pPr>
  </w:style>
  <w:style w:type="paragraph" w:customStyle="1" w:styleId="88">
    <w:name w:val="样式 样式 四号 左侧:  1.53 厘米 + 首行缩进:  2 字符"/>
    <w:basedOn w:val="89"/>
    <w:qFormat/>
    <w:uiPriority w:val="99"/>
    <w:pPr>
      <w:ind w:left="200" w:leftChars="200"/>
    </w:pPr>
    <w:rPr>
      <w:szCs w:val="20"/>
    </w:rPr>
  </w:style>
  <w:style w:type="paragraph" w:customStyle="1" w:styleId="89">
    <w:name w:val="样式 四号 左侧:  1.53 厘米"/>
    <w:basedOn w:val="1"/>
    <w:qFormat/>
    <w:uiPriority w:val="99"/>
    <w:rPr>
      <w:w w:val="90"/>
      <w:sz w:val="28"/>
      <w:szCs w:val="28"/>
    </w:rPr>
  </w:style>
  <w:style w:type="paragraph" w:customStyle="1" w:styleId="90">
    <w:name w:val="正文正"/>
    <w:basedOn w:val="14"/>
    <w:qFormat/>
    <w:uiPriority w:val="0"/>
    <w:pPr>
      <w:ind w:firstLine="560" w:firstLineChars="200"/>
    </w:pPr>
    <w:rPr>
      <w:sz w:val="28"/>
      <w:szCs w:val="24"/>
    </w:rPr>
  </w:style>
  <w:style w:type="paragraph" w:customStyle="1" w:styleId="91">
    <w:name w:val="【表格】1"/>
    <w:next w:val="30"/>
    <w:qFormat/>
    <w:uiPriority w:val="0"/>
    <w:pPr>
      <w:spacing w:line="0" w:lineRule="atLeast"/>
      <w:jc w:val="center"/>
    </w:pPr>
    <w:rPr>
      <w:rFonts w:ascii="Times New Roman" w:hAnsi="Times New Roman" w:eastAsia="宋体" w:cs="Times New Roman"/>
      <w:sz w:val="21"/>
      <w:szCs w:val="24"/>
      <w:lang w:val="en-US" w:eastAsia="zh-CN" w:bidi="ar-SA"/>
    </w:rPr>
  </w:style>
  <w:style w:type="character" w:customStyle="1" w:styleId="92">
    <w:name w:val="font81"/>
    <w:basedOn w:val="34"/>
    <w:qFormat/>
    <w:uiPriority w:val="0"/>
    <w:rPr>
      <w:rFonts w:hint="eastAsia" w:ascii="宋体" w:hAnsi="宋体" w:eastAsia="宋体" w:cs="宋体"/>
      <w:b/>
      <w:bCs/>
      <w:color w:val="000000"/>
      <w:sz w:val="22"/>
      <w:szCs w:val="22"/>
      <w:u w:val="none"/>
    </w:rPr>
  </w:style>
  <w:style w:type="character" w:customStyle="1" w:styleId="93">
    <w:name w:val="font91"/>
    <w:basedOn w:val="34"/>
    <w:qFormat/>
    <w:uiPriority w:val="0"/>
    <w:rPr>
      <w:rFonts w:hint="eastAsia" w:ascii="宋体" w:hAnsi="宋体" w:eastAsia="宋体" w:cs="宋体"/>
      <w:color w:val="000000"/>
      <w:sz w:val="22"/>
      <w:szCs w:val="22"/>
      <w:u w:val="none"/>
    </w:rPr>
  </w:style>
  <w:style w:type="character" w:customStyle="1" w:styleId="94">
    <w:name w:val="font71"/>
    <w:basedOn w:val="34"/>
    <w:qFormat/>
    <w:uiPriority w:val="0"/>
    <w:rPr>
      <w:rFonts w:hint="default" w:ascii="Times New Roman" w:hAnsi="Times New Roman" w:cs="Times New Roman"/>
      <w:b/>
      <w:bCs/>
      <w:color w:val="000000"/>
      <w:sz w:val="20"/>
      <w:szCs w:val="20"/>
      <w:u w:val="none"/>
      <w:vertAlign w:val="superscript"/>
    </w:rPr>
  </w:style>
  <w:style w:type="paragraph" w:customStyle="1" w:styleId="95">
    <w:name w:val="[1]正文"/>
    <w:basedOn w:val="1"/>
    <w:qFormat/>
    <w:uiPriority w:val="0"/>
    <w:pPr>
      <w:widowControl/>
      <w:snapToGrid w:val="0"/>
      <w:ind w:firstLine="200"/>
      <w:jc w:val="left"/>
    </w:pPr>
    <w:rPr>
      <w:szCs w:val="28"/>
    </w:rPr>
  </w:style>
  <w:style w:type="paragraph" w:customStyle="1" w:styleId="96">
    <w:name w:val="p0"/>
    <w:basedOn w:val="1"/>
    <w:qFormat/>
    <w:uiPriority w:val="0"/>
    <w:pPr>
      <w:widowControl/>
    </w:pPr>
    <w:rPr>
      <w:rFonts w:eastAsia="宋体"/>
      <w:kern w:val="0"/>
      <w:sz w:val="21"/>
      <w:szCs w:val="21"/>
    </w:rPr>
  </w:style>
  <w:style w:type="paragraph" w:customStyle="1" w:styleId="97">
    <w:name w:val="正文格式"/>
    <w:qFormat/>
    <w:uiPriority w:val="0"/>
    <w:pPr>
      <w:spacing w:line="480" w:lineRule="exact"/>
      <w:ind w:firstLine="480" w:firstLineChars="200"/>
      <w:jc w:val="both"/>
    </w:pPr>
    <w:rPr>
      <w:rFonts w:ascii="Times New Roman" w:hAnsi="Times New Roman" w:eastAsia="宋体" w:cs="Times New Roman"/>
      <w:sz w:val="24"/>
      <w:szCs w:val="24"/>
      <w:lang w:val="en-US" w:eastAsia="zh-CN" w:bidi="ar-SA"/>
    </w:rPr>
  </w:style>
  <w:style w:type="paragraph" w:customStyle="1" w:styleId="98">
    <w:name w:val="16表格内容"/>
    <w:qFormat/>
    <w:uiPriority w:val="0"/>
    <w:pPr>
      <w:spacing w:line="0" w:lineRule="atLeast"/>
      <w:jc w:val="center"/>
    </w:pPr>
    <w:rPr>
      <w:rFonts w:ascii="Times New Roman" w:hAnsi="Times New Roman" w:eastAsia="宋体" w:cs="Times New Roman"/>
      <w:sz w:val="21"/>
      <w:szCs w:val="24"/>
      <w:lang w:val="en-US" w:eastAsia="zh-CN" w:bidi="ar-SA"/>
    </w:rPr>
  </w:style>
  <w:style w:type="paragraph" w:customStyle="1" w:styleId="99">
    <w:name w:val="表格字体"/>
    <w:basedOn w:val="1"/>
    <w:qFormat/>
    <w:uiPriority w:val="0"/>
    <w:pPr>
      <w:spacing w:line="240" w:lineRule="auto"/>
      <w:ind w:firstLine="0" w:firstLineChars="0"/>
      <w:jc w:val="center"/>
    </w:pPr>
    <w:rPr>
      <w:kern w:val="0"/>
      <w:sz w:val="20"/>
      <w:szCs w:val="21"/>
    </w:rPr>
  </w:style>
  <w:style w:type="paragraph" w:customStyle="1" w:styleId="100">
    <w:name w:val="标题3-X"/>
    <w:basedOn w:val="4"/>
    <w:next w:val="30"/>
    <w:qFormat/>
    <w:uiPriority w:val="0"/>
    <w:pPr>
      <w:numPr>
        <w:ilvl w:val="0"/>
        <w:numId w:val="1"/>
      </w:numPr>
    </w:pPr>
    <w:rPr>
      <w:rFonts w:cs="Times New Roman"/>
      <w:kern w:val="0"/>
      <w:lang w:val="zh-CN"/>
    </w:rPr>
  </w:style>
  <w:style w:type="paragraph" w:customStyle="1" w:styleId="101">
    <w:name w:val="标题4-X"/>
    <w:basedOn w:val="5"/>
    <w:next w:val="30"/>
    <w:qFormat/>
    <w:uiPriority w:val="0"/>
    <w:pPr>
      <w:numPr>
        <w:ilvl w:val="0"/>
        <w:numId w:val="1"/>
      </w:numPr>
    </w:pPr>
    <w:rPr>
      <w:rFonts w:cs="Times New Roman"/>
      <w:kern w:val="2"/>
      <w:lang w:val="zh-CN"/>
    </w:rPr>
  </w:style>
  <w:style w:type="paragraph" w:customStyle="1" w:styleId="102">
    <w:name w:val="正文233"/>
    <w:basedOn w:val="103"/>
    <w:qFormat/>
    <w:uiPriority w:val="0"/>
  </w:style>
  <w:style w:type="paragraph" w:customStyle="1" w:styleId="103">
    <w:name w:val="样式 样式 正文 + 首行缩进:  2 字符 + 首行缩进:  2 字符"/>
    <w:basedOn w:val="104"/>
    <w:semiHidden/>
    <w:qFormat/>
    <w:uiPriority w:val="0"/>
  </w:style>
  <w:style w:type="paragraph" w:customStyle="1" w:styleId="104">
    <w:name w:val="样式 正文 + 首行缩进:  2 字符"/>
    <w:basedOn w:val="105"/>
    <w:semiHidden/>
    <w:qFormat/>
    <w:uiPriority w:val="0"/>
    <w:pPr>
      <w:spacing w:line="480" w:lineRule="exact"/>
      <w:jc w:val="both"/>
    </w:pPr>
    <w:rPr>
      <w:rFonts w:cs="宋体"/>
      <w:szCs w:val="20"/>
    </w:rPr>
  </w:style>
  <w:style w:type="paragraph" w:customStyle="1" w:styleId="105">
    <w:name w:val="正文3"/>
    <w:qFormat/>
    <w:uiPriority w:val="0"/>
    <w:pPr>
      <w:widowControl w:val="0"/>
      <w:adjustRightInd w:val="0"/>
      <w:spacing w:line="312" w:lineRule="atLeast"/>
      <w:jc w:val="both"/>
      <w:textAlignment w:val="baseline"/>
    </w:pPr>
    <w:rPr>
      <w:rFonts w:ascii="Times New Roman" w:hAnsi="Times New Roman" w:eastAsia="宋体" w:cs="Tahoma"/>
      <w:sz w:val="24"/>
      <w:lang w:val="en-US" w:eastAsia="zh-CN" w:bidi="ar-SA"/>
    </w:rPr>
  </w:style>
  <w:style w:type="paragraph" w:customStyle="1" w:styleId="106">
    <w:name w:val="报告表正文1"/>
    <w:basedOn w:val="107"/>
    <w:qFormat/>
    <w:uiPriority w:val="0"/>
    <w:pPr>
      <w:spacing w:line="480" w:lineRule="exact"/>
      <w:ind w:firstLine="200" w:firstLineChars="200"/>
    </w:pPr>
  </w:style>
  <w:style w:type="paragraph" w:customStyle="1" w:styleId="107">
    <w:name w:val="报告书正文"/>
    <w:basedOn w:val="1"/>
    <w:qFormat/>
    <w:uiPriority w:val="0"/>
    <w:pPr>
      <w:spacing w:line="360" w:lineRule="auto"/>
    </w:pPr>
    <w:rPr>
      <w:sz w:val="24"/>
      <w:szCs w:val="24"/>
    </w:rPr>
  </w:style>
  <w:style w:type="paragraph" w:customStyle="1" w:styleId="108">
    <w:name w:val="Table Text"/>
    <w:basedOn w:val="1"/>
    <w:semiHidden/>
    <w:qFormat/>
    <w:uiPriority w:val="0"/>
    <w:rPr>
      <w:rFonts w:ascii="宋体" w:hAnsi="宋体" w:eastAsia="宋体" w:cs="宋体"/>
      <w:sz w:val="21"/>
      <w:szCs w:val="21"/>
      <w:lang w:val="en-US" w:eastAsia="en-US" w:bidi="ar-SA"/>
    </w:rPr>
  </w:style>
  <w:style w:type="table" w:customStyle="1" w:styleId="109">
    <w:name w:val="Table Normal"/>
    <w:semiHidden/>
    <w:unhideWhenUsed/>
    <w:qFormat/>
    <w:uiPriority w:val="0"/>
    <w:tblPr>
      <w:tblCellMar>
        <w:top w:w="0" w:type="dxa"/>
        <w:left w:w="0" w:type="dxa"/>
        <w:bottom w:w="0" w:type="dxa"/>
        <w:right w:w="0" w:type="dxa"/>
      </w:tblCellMar>
    </w:tblPr>
  </w:style>
  <w:style w:type="paragraph" w:customStyle="1" w:styleId="110">
    <w:name w:val="标题5-X"/>
    <w:basedOn w:val="6"/>
    <w:next w:val="111"/>
    <w:qFormat/>
    <w:uiPriority w:val="0"/>
    <w:pPr>
      <w:numPr>
        <w:ilvl w:val="4"/>
        <w:numId w:val="1"/>
      </w:numPr>
    </w:pPr>
    <w:rPr>
      <w:rFonts w:cs="Times New Roman"/>
      <w:kern w:val="0"/>
      <w:sz w:val="21"/>
      <w:szCs w:val="28"/>
      <w:lang w:val="zh-CN" w:bidi="ar-SA"/>
    </w:rPr>
  </w:style>
  <w:style w:type="paragraph" w:customStyle="1" w:styleId="111">
    <w:name w:val="表格内-X"/>
    <w:basedOn w:val="1"/>
    <w:qFormat/>
    <w:uiPriority w:val="0"/>
    <w:pPr>
      <w:widowControl/>
      <w:adjustRightInd w:val="0"/>
      <w:snapToGrid w:val="0"/>
      <w:contextualSpacing/>
      <w:jc w:val="center"/>
    </w:pPr>
    <w:rPr>
      <w:rFonts w:ascii="Times New Roman" w:hAnsi="Times New Roman" w:eastAsia="宋体"/>
    </w:rPr>
  </w:style>
  <w:style w:type="paragraph" w:customStyle="1" w:styleId="112">
    <w:name w:val="5-正文"/>
    <w:basedOn w:val="1"/>
    <w:qFormat/>
    <w:uiPriority w:val="0"/>
    <w:pPr>
      <w:snapToGrid w:val="0"/>
      <w:spacing w:line="360" w:lineRule="auto"/>
      <w:ind w:firstLine="480" w:firstLineChars="200"/>
    </w:pPr>
    <w:rPr>
      <w:rFonts w:ascii="Calibri" w:hAnsi="Calibri" w:eastAsia="宋体" w:cs="Calibri"/>
      <w:kern w:val="0"/>
      <w:sz w:val="24"/>
      <w:szCs w:val="24"/>
    </w:rPr>
  </w:style>
  <w:style w:type="character" w:customStyle="1" w:styleId="113">
    <w:name w:val="font101"/>
    <w:basedOn w:val="34"/>
    <w:qFormat/>
    <w:uiPriority w:val="0"/>
    <w:rPr>
      <w:rFonts w:hint="eastAsia" w:ascii="宋体" w:hAnsi="宋体" w:eastAsia="宋体" w:cs="宋体"/>
      <w:color w:val="000000"/>
      <w:sz w:val="21"/>
      <w:szCs w:val="21"/>
      <w:u w:val="none"/>
    </w:rPr>
  </w:style>
  <w:style w:type="character" w:customStyle="1" w:styleId="114">
    <w:name w:val="font121"/>
    <w:basedOn w:val="34"/>
    <w:qFormat/>
    <w:uiPriority w:val="0"/>
    <w:rPr>
      <w:rFonts w:hint="eastAsia" w:ascii="宋体" w:hAnsi="宋体" w:eastAsia="宋体" w:cs="宋体"/>
      <w:color w:val="000000"/>
      <w:sz w:val="21"/>
      <w:szCs w:val="21"/>
      <w:u w:val="none"/>
    </w:rPr>
  </w:style>
  <w:style w:type="paragraph" w:customStyle="1" w:styleId="115">
    <w:name w:val="表 格"/>
    <w:basedOn w:val="1"/>
    <w:next w:val="1"/>
    <w:qFormat/>
    <w:uiPriority w:val="0"/>
    <w:pPr>
      <w:spacing w:line="240" w:lineRule="auto"/>
      <w:ind w:firstLine="0" w:firstLineChars="0"/>
      <w:jc w:val="center"/>
    </w:pPr>
    <w:rPr>
      <w:sz w:val="21"/>
    </w:rPr>
  </w:style>
  <w:style w:type="paragraph" w:customStyle="1" w:styleId="116">
    <w:name w:val="样式 小四 行距: 固定值 24 磅 首行缩进:  2 字符"/>
    <w:basedOn w:val="1"/>
    <w:qFormat/>
    <w:uiPriority w:val="0"/>
    <w:pPr>
      <w:spacing w:line="440" w:lineRule="exact"/>
      <w:ind w:firstLine="200"/>
    </w:pPr>
    <w:rPr>
      <w:szCs w:val="24"/>
    </w:rPr>
  </w:style>
  <w:style w:type="paragraph" w:customStyle="1" w:styleId="117">
    <w:name w:val="reader-word-layer reader-word-s3-2 reader-word-s3-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8">
    <w:name w:val="样式 四号 首行缩进:  2 字符"/>
    <w:basedOn w:val="1"/>
    <w:semiHidden/>
    <w:qFormat/>
    <w:uiPriority w:val="0"/>
    <w:pPr>
      <w:spacing w:line="480" w:lineRule="atLeast"/>
    </w:pPr>
  </w:style>
  <w:style w:type="paragraph" w:customStyle="1" w:styleId="119">
    <w:name w:val="【表中文字】"/>
    <w:basedOn w:val="1"/>
    <w:qFormat/>
    <w:uiPriority w:val="0"/>
    <w:pPr>
      <w:jc w:val="center"/>
    </w:pPr>
    <w:rPr>
      <w:kern w:val="0"/>
      <w:sz w:val="20"/>
      <w:szCs w:val="20"/>
    </w:rPr>
  </w:style>
  <w:style w:type="paragraph" w:customStyle="1" w:styleId="120">
    <w:name w:val="报告表正文"/>
    <w:basedOn w:val="121"/>
    <w:qFormat/>
    <w:uiPriority w:val="0"/>
    <w:pPr>
      <w:adjustRightInd w:val="0"/>
      <w:spacing w:line="312" w:lineRule="auto"/>
      <w:ind w:left="113" w:right="113" w:firstLine="482"/>
      <w:jc w:val="left"/>
      <w:textAlignment w:val="baseline"/>
    </w:pPr>
    <w:rPr>
      <w:kern w:val="0"/>
      <w:sz w:val="24"/>
    </w:rPr>
  </w:style>
  <w:style w:type="paragraph" w:customStyle="1" w:styleId="121">
    <w:name w:val="CM4"/>
    <w:basedOn w:val="1"/>
    <w:next w:val="1"/>
    <w:qFormat/>
    <w:uiPriority w:val="0"/>
    <w:pPr>
      <w:keepNext/>
      <w:spacing w:line="520" w:lineRule="exact"/>
      <w:jc w:val="center"/>
    </w:pPr>
    <w:rPr>
      <w:b/>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4" Type="http://schemas.microsoft.com/office/2011/relationships/people" Target="people.xml"/><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footer" Target="footer1.xml"/><Relationship Id="rId49" Type="http://schemas.openxmlformats.org/officeDocument/2006/relationships/image" Target="media/image26.png"/><Relationship Id="rId48" Type="http://schemas.openxmlformats.org/officeDocument/2006/relationships/image" Target="media/image25.jpeg"/><Relationship Id="rId47" Type="http://schemas.openxmlformats.org/officeDocument/2006/relationships/image" Target="media/image24.jpeg"/><Relationship Id="rId46" Type="http://schemas.openxmlformats.org/officeDocument/2006/relationships/image" Target="media/image23.png"/><Relationship Id="rId45" Type="http://schemas.openxmlformats.org/officeDocument/2006/relationships/image" Target="media/image22.png"/><Relationship Id="rId44" Type="http://schemas.openxmlformats.org/officeDocument/2006/relationships/image" Target="media/image21.png"/><Relationship Id="rId43" Type="http://schemas.openxmlformats.org/officeDocument/2006/relationships/image" Target="media/image20.wmf"/><Relationship Id="rId42" Type="http://schemas.openxmlformats.org/officeDocument/2006/relationships/oleObject" Target="embeddings/oleObject15.bin"/><Relationship Id="rId41" Type="http://schemas.openxmlformats.org/officeDocument/2006/relationships/image" Target="media/image19.png"/><Relationship Id="rId40" Type="http://schemas.openxmlformats.org/officeDocument/2006/relationships/image" Target="media/image18.png"/><Relationship Id="rId4" Type="http://schemas.openxmlformats.org/officeDocument/2006/relationships/endnotes" Target="endnotes.xml"/><Relationship Id="rId39" Type="http://schemas.openxmlformats.org/officeDocument/2006/relationships/image" Target="media/image17.png"/><Relationship Id="rId38" Type="http://schemas.openxmlformats.org/officeDocument/2006/relationships/image" Target="media/image16.wmf"/><Relationship Id="rId37" Type="http://schemas.openxmlformats.org/officeDocument/2006/relationships/oleObject" Target="embeddings/oleObject14.bin"/><Relationship Id="rId36" Type="http://schemas.openxmlformats.org/officeDocument/2006/relationships/image" Target="media/image15.wmf"/><Relationship Id="rId35" Type="http://schemas.openxmlformats.org/officeDocument/2006/relationships/oleObject" Target="embeddings/oleObject13.bin"/><Relationship Id="rId34" Type="http://schemas.openxmlformats.org/officeDocument/2006/relationships/image" Target="media/image14.wmf"/><Relationship Id="rId33" Type="http://schemas.openxmlformats.org/officeDocument/2006/relationships/oleObject" Target="embeddings/oleObject12.bin"/><Relationship Id="rId32" Type="http://schemas.openxmlformats.org/officeDocument/2006/relationships/image" Target="media/image13.wmf"/><Relationship Id="rId31" Type="http://schemas.openxmlformats.org/officeDocument/2006/relationships/oleObject" Target="embeddings/oleObject11.bin"/><Relationship Id="rId30" Type="http://schemas.openxmlformats.org/officeDocument/2006/relationships/image" Target="media/image12.wmf"/><Relationship Id="rId3" Type="http://schemas.openxmlformats.org/officeDocument/2006/relationships/footnotes" Target="footnotes.xml"/><Relationship Id="rId29" Type="http://schemas.openxmlformats.org/officeDocument/2006/relationships/oleObject" Target="embeddings/oleObject10.bin"/><Relationship Id="rId28" Type="http://schemas.openxmlformats.org/officeDocument/2006/relationships/image" Target="media/image11.wmf"/><Relationship Id="rId27" Type="http://schemas.openxmlformats.org/officeDocument/2006/relationships/oleObject" Target="embeddings/oleObject9.bin"/><Relationship Id="rId26" Type="http://schemas.openxmlformats.org/officeDocument/2006/relationships/image" Target="media/image10.wmf"/><Relationship Id="rId25" Type="http://schemas.openxmlformats.org/officeDocument/2006/relationships/oleObject" Target="embeddings/oleObject8.bin"/><Relationship Id="rId24" Type="http://schemas.openxmlformats.org/officeDocument/2006/relationships/image" Target="media/image9.wmf"/><Relationship Id="rId23" Type="http://schemas.openxmlformats.org/officeDocument/2006/relationships/oleObject" Target="embeddings/oleObject7.bin"/><Relationship Id="rId22" Type="http://schemas.openxmlformats.org/officeDocument/2006/relationships/image" Target="media/image8.wmf"/><Relationship Id="rId21" Type="http://schemas.openxmlformats.org/officeDocument/2006/relationships/oleObject" Target="embeddings/oleObject6.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6.wmf"/><Relationship Id="rId17" Type="http://schemas.openxmlformats.org/officeDocument/2006/relationships/oleObject" Target="embeddings/oleObject4.bin"/><Relationship Id="rId16" Type="http://schemas.openxmlformats.org/officeDocument/2006/relationships/image" Target="media/image5.png"/><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00aa6114-e2f7-4d50-9ff3-9d4b8dd93eb1</errorID>
      <errorWord>"</errorWord>
      <group>L1_Format</group>
      <groupName>格式问题</groupName>
      <ability>L2_HalfPunc</ability>
      <abilityName>全半角检查</abilityName>
      <candidateList>
        <item>”</item>
      </candidateList>
      <explain>文本全半角错误。</explain>
      <paraID>3372400C</paraID>
      <start>15</start>
      <end>16</end>
      <status>unmodified</status>
      <modifiedWord/>
      <trackRevisions>false</trackRevisions>
    </reviewItem>
    <reviewItem>
      <errorID>2f0a2ef6-2a3b-4763-9b2d-b79d406f8ed2</errorID>
      <errorWord>-</errorWord>
      <group>L1_Format</group>
      <groupName>格式问题</groupName>
      <ability>L2_HalfPunc</ability>
      <abilityName>全半角检查</abilityName>
      <candidateList>
        <item>－</item>
      </candidateList>
      <explain>文本全半角错误。</explain>
      <paraID> B2A72E3</paraID>
      <start>10</start>
      <end>11</end>
      <status>unmodified</status>
      <modifiedWord/>
      <trackRevisions>false</trackRevisions>
    </reviewItem>
    <reviewItem>
      <errorID>0caf7bcf-f7c9-4f7b-a4d9-78f059dd2478</errorID>
      <errorWord>(2026)2号</errorWord>
      <group>L1_Knowledge</group>
      <groupName>知识性问题</groupName>
      <ability>L2_Knowledge</ability>
      <abilityName>其他知识</abilityName>
      <candidateList>
        <item>〔2026〕2号</item>
      </candidateList>
      <explain>发文字号格式错误。</explain>
      <paraID>73F2BDFD</paraID>
      <start>7</start>
      <end>15</end>
      <status>unmodified</status>
      <modifiedWord/>
      <trackRevisions>false</trackRevisions>
    </reviewItem>
    <reviewItem>
      <errorID>da6ec365-db29-4a43-ba06-1984efc84901</errorID>
      <errorWord>（</errorWord>
      <group>L1_Punc</group>
      <groupName>标点问题</groupName>
      <ability>L2_Punc</ability>
      <abilityName>标点符号检查</abilityName>
      <candidateList>
        <item/>
      </candidateList>
      <explain>同一形式括号套用。</explain>
      <paraID>58E34652</paraID>
      <start>100</start>
      <end>101</end>
      <status>unmodified</status>
      <modifiedWord/>
      <trackRevisions>false</trackRevisions>
    </reviewItem>
    <reviewItem>
      <errorID>55c34849-f780-411a-9221-c91d0ec10f7b</errorID>
      <errorWord>(2026)2号</errorWord>
      <group>L1_Knowledge</group>
      <groupName>知识性问题</groupName>
      <ability>L2_Knowledge</ability>
      <abilityName>其他知识</abilityName>
      <candidateList>
        <item>〔2026〕2号</item>
      </candidateList>
      <explain>发文字号格式错误。</explain>
      <paraID>58E34652</paraID>
      <start>108</start>
      <end>116</end>
      <status>unmodified</status>
      <modifiedWord/>
      <trackRevisions>false</trackRevisions>
    </reviewItem>
    <reviewItem>
      <errorID>109f153e-b3bd-4ae7-a996-3485fe2e44f7</errorID>
      <errorWord>）</errorWord>
      <group>L1_Punc</group>
      <groupName>标点问题</groupName>
      <ability>L2_Punc</ability>
      <abilityName>标点符号检查</abilityName>
      <candidateList/>
      <explain>同一形式括号套用。</explain>
      <paraID>58E34652</paraID>
      <start>116</start>
      <end>117</end>
      <status>unmodified</status>
      <modifiedWord/>
      <trackRevisions>false</trackRevisions>
    </reviewItem>
    <reviewItem>
      <errorID>3657e353-aa85-4e65-86eb-03fa418a062c</errorID>
      <errorWord>（</errorWord>
      <group>L1_Punc</group>
      <groupName>标点问题</groupName>
      <ability>L2_Punc</ability>
      <abilityName>标点符号检查</abilityName>
      <candidateList/>
      <explain>同一形式括号套用。</explain>
      <paraID>281D6DD7</paraID>
      <start>42</start>
      <end>43</end>
      <status>unmodified</status>
      <modifiedWord/>
      <trackRevisions>false</trackRevisions>
    </reviewItem>
    <reviewItem>
      <errorID>2ec5167f-9732-4f88-b883-4842c01c88e9</errorID>
      <errorWord>）</errorWord>
      <group>L1_Punc</group>
      <groupName>标点问题</groupName>
      <ability>L2_Punc</ability>
      <abilityName>标点符号检查</abilityName>
      <candidateList/>
      <explain>同一形式括号套用。</explain>
      <paraID>281D6DD7</paraID>
      <start>47</start>
      <end>48</end>
      <status>unmodified</status>
      <modifiedWord/>
      <trackRevisions>false</trackRevisions>
    </reviewItem>
    <reviewItem>
      <errorID>a8ee2ba8-26b6-4e8d-9402-18a20cd412de</errorID>
      <errorWord>[2023]326号</errorWord>
      <group>L1_Knowledge</group>
      <groupName>知识性问题</groupName>
      <ability>L2_Knowledge</ability>
      <abilityName>其他知识</abilityName>
      <candidateList>
        <item>〔2023〕326号</item>
      </candidateList>
      <explain>发文字号格式错误。</explain>
      <paraID>26F54196</paraID>
      <start>45</start>
      <end>55</end>
      <status>unmodified</status>
      <modifiedWord/>
      <trackRevisions>false</trackRevisions>
    </reviewItem>
    <reviewItem>
      <errorID>68f71933-3c06-40f7-a71b-f4a66b2f7f4b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26F54196</paraID>
      <start>95</start>
      <end>96</end>
      <status>unmodified</status>
      <modifiedWord/>
      <trackRevisions>false</trackRevisions>
    </reviewItem>
    <reviewItem>
      <errorID>a4819f0d-0734-4f56-97fe-34c35d9cccfd</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 C38A93D</paraID>
      <start>2</start>
      <end>6</end>
      <status>unmodified</status>
      <modifiedWord/>
      <trackRevisions>false</trackRevisions>
    </reviewItem>
    <reviewItem>
      <errorID>c250bbf1-7813-4e01-903f-e96ff79c5704</errorID>
      <errorWord>[2016]50号</errorWord>
      <group>L1_Knowledge</group>
      <groupName>知识性问题</groupName>
      <ability>L2_Knowledge</ability>
      <abilityName>其他知识</abilityName>
      <candidateList>
        <item>〔2016〕50号</item>
      </candidateList>
      <explain>发文字号格式错误。</explain>
      <paraID>428AC557</paraID>
      <start>14</start>
      <end>23</end>
      <status>unmodified</status>
      <modifiedWord/>
      <trackRevisions>false</trackRevisions>
    </reviewItem>
    <reviewItem>
      <errorID>88fd1df9-b487-44a9-a2b1-2d32b890115b</errorID>
      <errorWord>[2020]71号</errorWord>
      <group>L1_Knowledge</group>
      <groupName>知识性问题</groupName>
      <ability>L2_Knowledge</ability>
      <abilityName>其他知识</abilityName>
      <candidateList>
        <item>〔2020〕71号</item>
      </candidateList>
      <explain>发文字号格式错误。</explain>
      <paraID>1B57A5F9</paraID>
      <start>38</start>
      <end>47</end>
      <status>unmodified</status>
      <modifiedWord/>
      <trackRevisions>false</trackRevisions>
    </reviewItem>
    <reviewItem>
      <errorID>aab9f30a-ae07-41a8-a77e-caad2ee95a21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1B57A5F9</paraID>
      <start>49</start>
      <end>50</end>
      <status>unmodified</status>
      <modifiedWord/>
      <trackRevisions>false</trackRevisions>
    </reviewItem>
    <reviewItem>
      <errorID>bb2064e9-8c40-4f9d-af80-92b9a292c48a</errorID>
      <errorWord>&lt;</errorWord>
      <group>L1_Format</group>
      <groupName>格式问题</groupName>
      <ability>L2_HalfPunc</ability>
      <abilityName>全半角检查</abilityName>
      <candidateList>
        <item>〈</item>
      </candidateList>
      <explain>文本全半角错误。</explain>
      <paraID>1B57A5F9</paraID>
      <start>61</start>
      <end>62</end>
      <status>unmodified</status>
      <modifiedWord/>
      <trackRevisions>false</trackRevisions>
    </reviewItem>
    <reviewItem>
      <errorID>7f99a86a-5bd7-4884-9b06-86ecdd70a56d</errorID>
      <errorWord>&gt;</errorWord>
      <group>L1_Format</group>
      <groupName>格式问题</groupName>
      <ability>L2_HalfPunc</ability>
      <abilityName>全半角检查</abilityName>
      <candidateList>
        <item>〉</item>
      </candidateList>
      <explain>文本全半角错误。</explain>
      <paraID>1B57A5F9</paraID>
      <start>71</start>
      <end>72</end>
      <status>unmodified</status>
      <modifiedWord/>
      <trackRevisions>false</trackRevisions>
    </reviewItem>
    <reviewItem>
      <errorID>358e71ef-d4b8-4f2a-8e99-55e487665979</errorID>
      <errorWord>[2018]23号</errorWord>
      <group>L1_Knowledge</group>
      <groupName>知识性问题</groupName>
      <ability>L2_Knowledge</ability>
      <abilityName>其他知识</abilityName>
      <candidateList>
        <item>〔2018〕23号</item>
      </candidateList>
      <explain>发文字号格式错误。</explain>
      <paraID>1B57A5F9</paraID>
      <start>79</start>
      <end>88</end>
      <status>unmodified</status>
      <modifiedWord/>
      <trackRevisions>false</trackRevisions>
    </reviewItem>
    <reviewItem>
      <errorID>65bc9840-54a7-4bd1-9669-b7161163143b</errorID>
      <errorWord>[2021]48号</errorWord>
      <group>L1_Knowledge</group>
      <groupName>知识性问题</groupName>
      <ability>L2_Knowledge</ability>
      <abilityName>其他知识</abilityName>
      <candidateList>
        <item>〔2021〕48号</item>
      </candidateList>
      <explain>发文字号格式错误。</explain>
      <paraID>1B57A5F9</paraID>
      <start>124</start>
      <end>133</end>
      <status>unmodified</status>
      <modifiedWord/>
      <trackRevisions>false</trackRevisions>
    </reviewItem>
    <reviewItem>
      <errorID>24f68161-b497-4bac-82b5-fe5615e2997f</errorID>
      <errorWord>相对于</errorWord>
      <group>L1_Word</group>
      <groupName>字词问题</groupName>
      <ability>L2_Typo</ability>
      <abilityName>字词错误</abilityName>
      <candidateList>
        <item>相对</item>
      </candidateList>
      <explain>❶〈动〉互相朝着对方，面对面：～而坐｜两山～。❷〈动〉指性质上互相对立，如大与小相对，美与丑相对。❸〈形〉属性词。依靠一定条件而存在，随着一定条件而变化的（跟“绝对”相对）：～高度｜在绝对的总的宇宙发展过程中，各个具体过程的发展都是～的。❹〈形〉属性词。比较的：～稳定｜～优势。</explain>
      <paraID>6333A57A</paraID>
      <start>31</start>
      <end>34</end>
      <status>unmodified</status>
      <modifiedWord/>
      <trackRevisions>false</trackRevisions>
    </reviewItem>
    <reviewItem>
      <errorID>e3295334-0ee0-4f55-9e1b-3cc6261df28e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2BA3A2E8</paraID>
      <start>19</start>
      <end>22</end>
      <status>unmodified</status>
      <modifiedWord/>
      <trackRevisions>false</trackRevisions>
    </reviewItem>
    <reviewItem>
      <errorID>550e71b8-83a4-4495-aeb6-230468f47dea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4EFDA4F0</paraID>
      <start>0</start>
      <end>2</end>
      <status>unmodified</status>
      <modifiedWord/>
      <trackRevisions>false</trackRevisions>
    </reviewItem>
    <reviewItem>
      <errorID>4a89e92f-e47a-47a7-ac85-c9f2f5094d06</errorID>
      <errorWord>原住居民</errorWord>
      <group>L1_Sensitive</group>
      <groupName>敏感问题</groupName>
      <ability>L2_Violent</ability>
      <abilityName>暴恐词条</abilityName>
      <candidateList/>
      <explain>【暴恐词条】句中包含暴恐类敏感词条，请注意甄别。</explain>
      <paraID>31E45107</paraID>
      <start>3</start>
      <end>7</end>
      <status>unmodified</status>
      <modifiedWord/>
      <trackRevisions>false</trackRevisions>
    </reviewItem>
    <reviewItem>
      <errorID>44124d31-3ea7-47fa-9b5a-3fddd2145c47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55E46643</paraID>
      <start>0</start>
      <end>2</end>
      <status>unmodified</status>
      <modifiedWord/>
      <trackRevisions>false</trackRevisions>
    </reviewItem>
    <reviewItem>
      <errorID>ca640f68-b2ac-4549-9bbc-6e8f8753beb8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55E46643</paraID>
      <start>53</start>
      <end>56</end>
      <status>unmodified</status>
      <modifiedWord/>
      <trackRevisions>false</trackRevisions>
    </reviewItem>
    <reviewItem>
      <errorID>e00dd839-30c1-429e-8e0d-82df06fe46bd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385B3452</paraID>
      <start>0</start>
      <end>2</end>
      <status>unmodified</status>
      <modifiedWord/>
      <trackRevisions>false</trackRevisions>
    </reviewItem>
    <reviewItem>
      <errorID>30f7054f-4906-47c0-9913-d61bbdae7800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24A3C852</paraID>
      <start>0</start>
      <end>2</end>
      <status>unmodified</status>
      <modifiedWord/>
      <trackRevisions>false</trackRevisions>
    </reviewItem>
    <reviewItem>
      <errorID>e4f81a3a-08a6-4c12-9258-9cf2373de050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6A6960AB</paraID>
      <start>0</start>
      <end>2</end>
      <status>unmodified</status>
      <modifiedWord/>
      <trackRevisions>false</trackRevisions>
    </reviewItem>
    <reviewItem>
      <errorID>bb80ee7a-f116-4c66-aa76-aa60b2951485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77B1BCFA</paraID>
      <start>0</start>
      <end>2</end>
      <status>unmodified</status>
      <modifiedWord/>
      <trackRevisions>false</trackRevisions>
    </reviewItem>
    <reviewItem>
      <errorID>3360f82a-f867-45c0-8617-1ccafb53ca92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4391C829</paraID>
      <start>0</start>
      <end>2</end>
      <status>unmodified</status>
      <modifiedWord/>
      <trackRevisions>false</trackRevisions>
    </reviewItem>
    <reviewItem>
      <errorID>dbb63ca4-cad5-4133-8ffc-2e39113a8307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6CF80547</paraID>
      <start>0</start>
      <end>2</end>
      <status>unmodified</status>
      <modifiedWord/>
      <trackRevisions>false</trackRevisions>
    </reviewItem>
    <reviewItem>
      <errorID>1227e7a5-02ed-4b4f-af41-db6270341da2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6D5AE48A</paraID>
      <start>0</start>
      <end>2</end>
      <status>unmodified</status>
      <modifiedWord/>
      <trackRevisions>false</trackRevisions>
    </reviewItem>
    <reviewItem>
      <errorID>9c2ae122-fcc3-4174-806e-ef8c349b0399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670600B0</paraID>
      <start>0</start>
      <end>2</end>
      <status>unmodified</status>
      <modifiedWord/>
      <trackRevisions>false</trackRevisions>
    </reviewItem>
    <reviewItem>
      <errorID>2135c6e8-6def-45c2-b4e0-04b0aad82825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432CF959</paraID>
      <start>0</start>
      <end>2</end>
      <status>unmodified</status>
      <modifiedWord/>
      <trackRevisions>false</trackRevisions>
    </reviewItem>
    <reviewItem>
      <errorID>7ef631d2-644c-4d62-a4a4-e021d26e51e8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61648052</paraID>
      <start>0</start>
      <end>2</end>
      <status>unmodified</status>
      <modifiedWord/>
      <trackRevisions>false</trackRevisions>
    </reviewItem>
    <reviewItem>
      <errorID>877469b2-d867-4b88-b449-56738cc7658d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18A82E1B</paraID>
      <start>0</start>
      <end>2</end>
      <status>unmodified</status>
      <modifiedWord/>
      <trackRevisions>false</trackRevisions>
    </reviewItem>
    <reviewItem>
      <errorID>07895294-0850-4435-9c66-e84f1f93abed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3390E869</paraID>
      <start>0</start>
      <end>2</end>
      <status>unmodified</status>
      <modifiedWord/>
      <trackRevisions>false</trackRevisions>
    </reviewItem>
    <reviewItem>
      <errorID>4aea9e3d-8ea6-424a-a135-98cc045089eb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76AF1343</paraID>
      <start>0</start>
      <end>2</end>
      <status>unmodified</status>
      <modifiedWord/>
      <trackRevisions>false</trackRevisions>
    </reviewItem>
    <reviewItem>
      <errorID>693cd5ea-978e-447e-9aa3-e509833a1e30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6565F7F2</paraID>
      <start>0</start>
      <end>2</end>
      <status>unmodified</status>
      <modifiedWord/>
      <trackRevisions>false</trackRevisions>
    </reviewItem>
    <reviewItem>
      <errorID>6ea3783f-4089-49a3-a367-e1adb63ac8c1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3E9BE594</paraID>
      <start>0</start>
      <end>3</end>
      <status>unmodified</status>
      <modifiedWord/>
      <trackRevisions>false</trackRevisions>
    </reviewItem>
    <reviewItem>
      <errorID>4bb8d3f3-6e2a-42af-b908-664524976809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FFFAB68</paraID>
      <start>0</start>
      <end>3</end>
      <status>unmodified</status>
      <modifiedWord/>
      <trackRevisions>false</trackRevisions>
    </reviewItem>
    <reviewItem>
      <errorID>fa0f8ba1-b576-441a-815b-225dd1c76932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7CA2FC1D</paraID>
      <start>0</start>
      <end>3</end>
      <status>unmodified</status>
      <modifiedWord/>
      <trackRevisions>false</trackRevisions>
    </reviewItem>
    <reviewItem>
      <errorID>e0927faf-8bc8-4404-9616-e27ae4cc4650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7A9B5501</paraID>
      <start>0</start>
      <end>3</end>
      <status>unmodified</status>
      <modifiedWord/>
      <trackRevisions>false</trackRevisions>
    </reviewItem>
    <reviewItem>
      <errorID>5abc7474-fdac-4c2e-8870-3cfec890e1da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75FE0C5D</paraID>
      <start>0</start>
      <end>3</end>
      <status>unmodified</status>
      <modifiedWord/>
      <trackRevisions>false</trackRevisions>
    </reviewItem>
    <reviewItem>
      <errorID>927b25e7-6251-4fd8-9dc6-77f5086caaea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610CC410</paraID>
      <start>0</start>
      <end>3</end>
      <status>unmodified</status>
      <modifiedWord/>
      <trackRevisions>false</trackRevisions>
    </reviewItem>
    <reviewItem>
      <errorID>81d61a04-f47a-43ef-88ba-f0f6de686cf6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65AC59D6</paraID>
      <start>0</start>
      <end>2</end>
      <status>unmodified</status>
      <modifiedWord/>
      <trackRevisions>false</trackRevisions>
    </reviewItem>
    <reviewItem>
      <errorID>7d8e2735-eca9-4e87-a6ca-3bf8ec2ae754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59F314F4</paraID>
      <start>0</start>
      <end>2</end>
      <status>unmodified</status>
      <modifiedWord/>
      <trackRevisions>false</trackRevisions>
    </reviewItem>
    <reviewItem>
      <errorID>c06eb65b-a244-4bcc-9aa3-ba56b064412e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3C770E2A</paraID>
      <start>0</start>
      <end>2</end>
      <status>unmodified</status>
      <modifiedWord/>
      <trackRevisions>false</trackRevisions>
    </reviewItem>
    <reviewItem>
      <errorID>fdf8dcd3-9b10-4c69-a3aa-818a53141fab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684917A4</paraID>
      <start>0</start>
      <end>2</end>
      <status>unmodified</status>
      <modifiedWord/>
      <trackRevisions>false</trackRevisions>
    </reviewItem>
    <reviewItem>
      <errorID>0933dae9-f075-4bc3-809c-358d8f37c9bf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5FF74787</paraID>
      <start>0</start>
      <end>2</end>
      <status>unmodified</status>
      <modifiedWord/>
      <trackRevisions>false</trackRevisions>
    </reviewItem>
    <reviewItem>
      <errorID>5fde191b-434c-49dd-a266-b6ab6c21b7e4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6F422BCF</paraID>
      <start>0</start>
      <end>2</end>
      <status>unmodified</status>
      <modifiedWord/>
      <trackRevisions>false</trackRevisions>
    </reviewItem>
    <reviewItem>
      <errorID>9d4cc418-689f-4193-b2ad-2e022168ce11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4324553B</paraID>
      <start>0</start>
      <end>2</end>
      <status>unmodified</status>
      <modifiedWord/>
      <trackRevisions>false</trackRevisions>
    </reviewItem>
    <reviewItem>
      <errorID>988cd0a6-10ab-48a0-9725-2e5a3f2b51e3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761F8427</paraID>
      <start>0</start>
      <end>2</end>
      <status>unmodified</status>
      <modifiedWord/>
      <trackRevisions>false</trackRevisions>
    </reviewItem>
    <reviewItem>
      <errorID>057b06d3-2d1d-4ff3-baee-1ae4c39efac5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18EA7E1F</paraID>
      <start>0</start>
      <end>2</end>
      <status>unmodified</status>
      <modifiedWord/>
      <trackRevisions>false</trackRevisions>
    </reviewItem>
    <reviewItem>
      <errorID>37d647c6-4067-4b39-8dc0-34bb16c97b4b</errorID>
      <errorWord>“十大”</errorWord>
      <group>L1_Word</group>
      <groupName>字词问题</groupName>
      <ability>L2_Typo</ability>
      <abilityName>字词错误</abilityName>
      <candidateList/>
      <explain>无建议</explain>
      <paraID>18EA7E1F</paraID>
      <start>94</start>
      <end>98</end>
      <status>unmodified</status>
      <modifiedWord/>
      <trackRevisions>false</trackRevisions>
    </reviewItem>
    <reviewItem>
      <errorID>1683a445-c25d-4183-a46e-831a2ea50781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44A1C81B</paraID>
      <start>0</start>
      <end>2</end>
      <status>unmodified</status>
      <modifiedWord/>
      <trackRevisions>false</trackRevisions>
    </reviewItem>
    <reviewItem>
      <errorID>4cffe7f1-ca39-4219-9725-83795beb4826</errorID>
      <errorWord>城乡结合部</errorWord>
      <group>L1_Word</group>
      <groupName>字词问题</groupName>
      <ability>L2_Typo</ability>
      <abilityName>字词错误</abilityName>
      <candidateList>
        <item>城乡接合部</item>
      </candidateList>
      <explain/>
      <paraID>44A1C81B</paraID>
      <start>50</start>
      <end>55</end>
      <status>unmodified</status>
      <modifiedWord/>
      <trackRevisions>false</trackRevisions>
    </reviewItem>
    <reviewItem>
      <errorID>aec7a6b0-b1d6-4276-bbca-883887647707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216050F1</paraID>
      <start>0</start>
      <end>2</end>
      <status>unmodified</status>
      <modifiedWord/>
      <trackRevisions>false</trackRevisions>
    </reviewItem>
    <reviewItem>
      <errorID>e012a2e5-39d6-4218-88cb-92ab0df28db7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4042B5B9</paraID>
      <start>0</start>
      <end>2</end>
      <status>unmodified</status>
      <modifiedWord/>
      <trackRevisions>false</trackRevisions>
    </reviewItem>
    <reviewItem>
      <errorID>25c9e495-a756-4e61-82c4-90559fd5eacb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51919885</paraID>
      <start>0</start>
      <end>2</end>
      <status>unmodified</status>
      <modifiedWord/>
      <trackRevisions>false</trackRevisions>
    </reviewItem>
    <reviewItem>
      <errorID>a8067cea-59fc-4775-bf81-2698238464d3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426285AF</paraID>
      <start>0</start>
      <end>2</end>
      <status>unmodified</status>
      <modifiedWord/>
      <trackRevisions>false</trackRevisions>
    </reviewItem>
    <reviewItem>
      <errorID>4dab4794-2559-4b56-9f46-cac8a0297332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25C0A759</paraID>
      <start>0</start>
      <end>2</end>
      <status>unmodified</status>
      <modifiedWord/>
      <trackRevisions>false</trackRevisions>
    </reviewItem>
    <reviewItem>
      <errorID>d3a40bd7-43fc-4bc3-9098-6212c1f0c6c4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427E2A51</paraID>
      <start>0</start>
      <end>2</end>
      <status>unmodified</status>
      <modifiedWord/>
      <trackRevisions>false</trackRevisions>
    </reviewItem>
    <reviewItem>
      <errorID>54c6a0d7-88fc-4bfc-96fb-a32cbabb666c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4E1666F7</paraID>
      <start>0</start>
      <end>2</end>
      <status>unmodified</status>
      <modifiedWord/>
      <trackRevisions>false</trackRevisions>
    </reviewItem>
    <reviewItem>
      <errorID>be376677-39f5-4188-9850-fa7ad9e178c3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21ACD9B2</paraID>
      <start>0</start>
      <end>2</end>
      <status>unmodified</status>
      <modifiedWord/>
      <trackRevisions>false</trackRevisions>
    </reviewItem>
    <reviewItem>
      <errorID>25ed4aa0-e3a5-4b55-933a-c2e0113e9259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580EE106</paraID>
      <start>0</start>
      <end>2</end>
      <status>unmodified</status>
      <modifiedWord/>
      <trackRevisions>false</trackRevisions>
    </reviewItem>
    <reviewItem>
      <errorID>07324f81-2295-4d65-b84d-70cb991b410f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4A7D1ABD</paraID>
      <start>0</start>
      <end>2</end>
      <status>unmodified</status>
      <modifiedWord/>
      <trackRevisions>false</trackRevisions>
    </reviewItem>
    <reviewItem>
      <errorID>c78e7599-cf8b-42f9-94e2-8645c1ab66bd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350AFCAD</paraID>
      <start>0</start>
      <end>2</end>
      <status>unmodified</status>
      <modifiedWord/>
      <trackRevisions>false</trackRevisions>
    </reviewItem>
    <reviewItem>
      <errorID>18fa8f5d-1d19-45aa-a403-3cc26f023474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4EEF77B3</paraID>
      <start>0</start>
      <end>2</end>
      <status>unmodified</status>
      <modifiedWord/>
      <trackRevisions>false</trackRevisions>
    </reviewItem>
    <reviewItem>
      <errorID>b8508500-5ad3-4ef4-8fcf-b7cbed68c1b4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4B2EF9EF</paraID>
      <start>0</start>
      <end>2</end>
      <status>unmodified</status>
      <modifiedWord/>
      <trackRevisions>false</trackRevisions>
    </reviewItem>
    <reviewItem>
      <errorID>9459b9a4-55bf-4fa9-a7a3-119612b2eeaf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5E437AF2</paraID>
      <start>0</start>
      <end>2</end>
      <status>unmodified</status>
      <modifiedWord/>
      <trackRevisions>false</trackRevisions>
    </reviewItem>
    <reviewItem>
      <errorID>c947aa3a-8dd1-4ccd-8958-2459dd91a8f1</errorID>
      <errorWord>危险废物全链条监管</errorWord>
      <group>L1_Political</group>
      <groupName>政治性问题</groupName>
      <ability>L2_Keyword</ability>
      <abilityName>固定表述</abilityName>
      <candidateList>
        <item>危险废物全过程监管</item>
      </candidateList>
      <explain>词汇“危险废物全过程监管”在特定场景下为固定表述形式，请确认此处的“危险废物全链条监管”是否存在不当。</explain>
      <paraID>5E437AF2</paraID>
      <start>84</start>
      <end>93</end>
      <status>unmodified</status>
      <modifiedWord/>
      <trackRevisions>false</trackRevisions>
    </reviewItem>
    <reviewItem>
      <errorID>f25fd4d3-0867-4177-b121-290f7a88c04f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37347B72</paraID>
      <start>0</start>
      <end>2</end>
      <status>unmodified</status>
      <modifiedWord/>
      <trackRevisions>false</trackRevisions>
    </reviewItem>
    <reviewItem>
      <errorID>92c36a5f-e0e3-423a-95a0-787fbe707016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424236A8</paraID>
      <start>0</start>
      <end>2</end>
      <status>unmodified</status>
      <modifiedWord/>
      <trackRevisions>false</trackRevisions>
    </reviewItem>
    <reviewItem>
      <errorID>aaec00a4-1cb7-4aa0-a444-32c3a3b21506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5E69D346</paraID>
      <start>0</start>
      <end>2</end>
      <status>unmodified</status>
      <modifiedWord/>
      <trackRevisions>false</trackRevisions>
    </reviewItem>
    <reviewItem>
      <errorID>f60ce13d-5fe9-419a-bb50-0a526d9f9069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38003C97</paraID>
      <start>0</start>
      <end>2</end>
      <status>unmodified</status>
      <modifiedWord/>
      <trackRevisions>false</trackRevisions>
    </reviewItem>
    <reviewItem>
      <errorID>862f8c88-846e-4d4c-8ea3-f208d96446d0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4A39CAB1</paraID>
      <start>0</start>
      <end>2</end>
      <status>unmodified</status>
      <modifiedWord/>
      <trackRevisions>false</trackRevisions>
    </reviewItem>
    <reviewItem>
      <errorID>085f50df-95cd-476a-9ff4-4213398e4d42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1BFF117E</paraID>
      <start>0</start>
      <end>2</end>
      <status>unmodified</status>
      <modifiedWord/>
      <trackRevisions>false</trackRevisions>
    </reviewItem>
    <reviewItem>
      <errorID>92418368-87d7-4e66-8375-e27527bd3de3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20B0E2F5</paraID>
      <start>0</start>
      <end>2</end>
      <status>unmodified</status>
      <modifiedWord/>
      <trackRevisions>false</trackRevisions>
    </reviewItem>
    <reviewItem>
      <errorID>fbb77004-f2c1-4049-bfd4-aff522d5aa33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3301552D</paraID>
      <start>0</start>
      <end>2</end>
      <status>unmodified</status>
      <modifiedWord/>
      <trackRevisions>false</trackRevisions>
    </reviewItem>
    <reviewItem>
      <errorID>9424afbc-f35e-4605-94dd-9470851366c8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34CEAF4C</paraID>
      <start>0</start>
      <end>2</end>
      <status>unmodified</status>
      <modifiedWord/>
      <trackRevisions>false</trackRevisions>
    </reviewItem>
    <reviewItem>
      <errorID>c8dbf82a-c4db-472d-b5c5-a43bb19f07ad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3093F8BD</paraID>
      <start>0</start>
      <end>3</end>
      <status>unmodified</status>
      <modifiedWord/>
      <trackRevisions>false</trackRevisions>
    </reviewItem>
    <reviewItem>
      <errorID>6fd2d0d5-7167-4bbc-9271-a9d610007bd4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52CA4999</paraID>
      <start>0</start>
      <end>2</end>
      <status>unmodified</status>
      <modifiedWord/>
      <trackRevisions>false</trackRevisions>
    </reviewItem>
    <reviewItem>
      <errorID>86ff148d-2ad0-49b0-92d9-b82539a1ec86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5C8E9B15</paraID>
      <start>0</start>
      <end>2</end>
      <status>unmodified</status>
      <modifiedWord/>
      <trackRevisions>false</trackRevisions>
    </reviewItem>
    <reviewItem>
      <errorID>2aa272ca-2c36-454d-9080-b5b94f92ef05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285AF2F1</paraID>
      <start>0</start>
      <end>2</end>
      <status>unmodified</status>
      <modifiedWord/>
      <trackRevisions>false</trackRevisions>
    </reviewItem>
    <reviewItem>
      <errorID>59504d67-a469-4838-b796-71d359fd0500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5C3ACE0D</paraID>
      <start>0</start>
      <end>2</end>
      <status>unmodified</status>
      <modifiedWord/>
      <trackRevisions>false</trackRevisions>
    </reviewItem>
    <reviewItem>
      <errorID>46af7380-6251-49dd-85a3-eb09c484d93b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1129F35B</paraID>
      <start>0</start>
      <end>2</end>
      <status>unmodified</status>
      <modifiedWord/>
      <trackRevisions>false</trackRevisions>
    </reviewItem>
    <reviewItem>
      <errorID>339697bd-1615-42db-bc0f-13124683becc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EF291CA</paraID>
      <start>0</start>
      <end>2</end>
      <status>unmodified</status>
      <modifiedWord/>
      <trackRevisions>false</trackRevisions>
    </reviewItem>
    <reviewItem>
      <errorID>aea08d4a-9f81-4543-9e5b-f30aac180590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1DA8CE77</paraID>
      <start>0</start>
      <end>2</end>
      <status>unmodified</status>
      <modifiedWord/>
      <trackRevisions>false</trackRevisions>
    </reviewItem>
    <reviewItem>
      <errorID>97564d38-901e-4c94-b7d0-056c97273ec0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2B83D90A</paraID>
      <start>0</start>
      <end>2</end>
      <status>unmodified</status>
      <modifiedWord/>
      <trackRevisions>false</trackRevisions>
    </reviewItem>
    <reviewItem>
      <errorID>712c6762-47e2-46bc-9ed9-9cbf7baa177f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1570A80A</paraID>
      <start>0</start>
      <end>2</end>
      <status>unmodified</status>
      <modifiedWord/>
      <trackRevisions>false</trackRevisions>
    </reviewItem>
    <reviewItem>
      <errorID>cdd2ba0f-70ab-42cd-8dee-fd3b0b1b2263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EB539E1</paraID>
      <start>0</start>
      <end>2</end>
      <status>unmodified</status>
      <modifiedWord/>
      <trackRevisions>false</trackRevisions>
    </reviewItem>
    <reviewItem>
      <errorID>df31605f-ee8f-43d4-9021-ab643a70aae3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1A67F0F5</paraID>
      <start>0</start>
      <end>2</end>
      <status>unmodified</status>
      <modifiedWord/>
      <trackRevisions>false</trackRevisions>
    </reviewItem>
    <reviewItem>
      <errorID>fbe05d85-13c6-4326-a77f-aa618154c143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EEAE0C0</paraID>
      <start>0</start>
      <end>2</end>
      <status>unmodified</status>
      <modifiedWord/>
      <trackRevisions>false</trackRevisions>
    </reviewItem>
    <reviewItem>
      <errorID>a55f556c-738d-4692-86b4-1f5fb1293e8e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15E5B69E</paraID>
      <start>0</start>
      <end>2</end>
      <status>unmodified</status>
      <modifiedWord/>
      <trackRevisions>false</trackRevisions>
    </reviewItem>
    <reviewItem>
      <errorID>dcb48b0f-d755-42e2-8983-130f9b9553ea</errorID>
      <errorWord>》</errorWord>
      <group>L1_Word</group>
      <groupName>字词问题</groupName>
      <ability>L2_Typo</ability>
      <abilityName>字词错误</abilityName>
      <candidateList>
        <item>》等</item>
      </candidateList>
      <explain/>
      <paraID>15E5B69E</paraID>
      <start>41</start>
      <end>42</end>
      <status>unmodified</status>
      <modifiedWord/>
      <trackRevisions>false</trackRevisions>
    </reviewItem>
    <reviewItem>
      <errorID>8185afd7-878f-487e-8611-6536547ea744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2882CB2E</paraID>
      <start>0</start>
      <end>2</end>
      <status>unmodified</status>
      <modifiedWord/>
      <trackRevisions>false</trackRevisions>
    </reviewItem>
    <reviewItem>
      <errorID>5e3a6ce0-6fc1-461e-ab7d-5b73441b2248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17D9406D</paraID>
      <start>0</start>
      <end>2</end>
      <status>unmodified</status>
      <modifiedWord/>
      <trackRevisions>false</trackRevisions>
    </reviewItem>
    <reviewItem>
      <errorID>c68dd25d-74e4-41e4-b0a4-ea4069f4ac83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7A7CA98D</paraID>
      <start>0</start>
      <end>2</end>
      <status>unmodified</status>
      <modifiedWord/>
      <trackRevisions>false</trackRevisions>
    </reviewItem>
    <reviewItem>
      <errorID>49f5c530-658d-4850-b242-dadc0fb19a9b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6E32B8AC</paraID>
      <start>0</start>
      <end>2</end>
      <status>unmodified</status>
      <modifiedWord/>
      <trackRevisions>false</trackRevisions>
    </reviewItem>
    <reviewItem>
      <errorID>25292d6c-06e3-4224-a434-d2510628f085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2AD1DD37</paraID>
      <start>0</start>
      <end>2</end>
      <status>unmodified</status>
      <modifiedWord/>
      <trackRevisions>false</trackRevisions>
    </reviewItem>
    <reviewItem>
      <errorID>0fa93a86-7f5d-47e9-852f-055d8158e7ce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1785B103</paraID>
      <start>0</start>
      <end>2</end>
      <status>unmodified</status>
      <modifiedWord/>
      <trackRevisions>false</trackRevisions>
    </reviewItem>
    <reviewItem>
      <errorID>a2d6442c-d10b-43db-a9a0-b9801d72f4a7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3796694F</paraID>
      <start>0</start>
      <end>2</end>
      <status>unmodified</status>
      <modifiedWord/>
      <trackRevisions>false</trackRevisions>
    </reviewItem>
    <reviewItem>
      <errorID>255e70cc-eefa-4e9d-8af2-c43656b74924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1AD71DBE</paraID>
      <start>0</start>
      <end>2</end>
      <status>unmodified</status>
      <modifiedWord/>
      <trackRevisions>false</trackRevisions>
    </reviewItem>
    <reviewItem>
      <errorID>4bfb3c46-e833-436a-bddd-d4734b6ea554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485BB541</paraID>
      <start>0</start>
      <end>3</end>
      <status>unmodified</status>
      <modifiedWord/>
      <trackRevisions>false</trackRevisions>
    </reviewItem>
    <reviewItem>
      <errorID>bafb67f9-163d-4ef3-ad16-ed3b50a4b944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6868CA1D</paraID>
      <start>0</start>
      <end>3</end>
      <status>unmodified</status>
      <modifiedWord/>
      <trackRevisions>false</trackRevisions>
    </reviewItem>
    <reviewItem>
      <errorID>647cc76f-221f-4b26-b862-deb86bcc6a0a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3063F44</paraID>
      <start>0</start>
      <end>3</end>
      <status>unmodified</status>
      <modifiedWord/>
      <trackRevisions>false</trackRevisions>
    </reviewItem>
    <reviewItem>
      <errorID>f405cab9-2962-42bb-a83c-10f7988fae6c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6B72769A</paraID>
      <start>0</start>
      <end>3</end>
      <status>unmodified</status>
      <modifiedWord/>
      <trackRevisions>false</trackRevisions>
    </reviewItem>
    <reviewItem>
      <errorID>52ceb3da-f73b-45b1-a816-e34c98f6ec0a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154BB50F</paraID>
      <start>0</start>
      <end>3</end>
      <status>unmodified</status>
      <modifiedWord/>
      <trackRevisions>false</trackRevisions>
    </reviewItem>
    <reviewItem>
      <errorID>9e632468-1a1c-4afa-843f-db3e22f2d323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21B4140</paraID>
      <start>0</start>
      <end>3</end>
      <status>unmodified</status>
      <modifiedWord/>
      <trackRevisions>false</trackRevisions>
    </reviewItem>
    <reviewItem>
      <errorID>f6e78d48-a507-4f11-84ae-015bd2ecafa3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176EFD87</paraID>
      <start>0</start>
      <end>3</end>
      <status>unmodified</status>
      <modifiedWord/>
      <trackRevisions>false</trackRevisions>
    </reviewItem>
    <reviewItem>
      <errorID>3865bb4e-2741-4fe9-a936-f9002cd614b1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70F08267</paraID>
      <start>0</start>
      <end>3</end>
      <status>unmodified</status>
      <modifiedWord/>
      <trackRevisions>false</trackRevisions>
    </reviewItem>
    <reviewItem>
      <errorID>4e2a7d50-9a9c-4bff-8031-6d7c873327ea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24C809A9</paraID>
      <start>0</start>
      <end>3</end>
      <status>unmodified</status>
      <modifiedWord/>
      <trackRevisions>false</trackRevisions>
    </reviewItem>
    <reviewItem>
      <errorID>6304c1c6-9f5a-4ad0-9c19-e4baf78e1c43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4A3D521D</paraID>
      <start>0</start>
      <end>2</end>
      <status>unmodified</status>
      <modifiedWord/>
      <trackRevisions>false</trackRevisions>
    </reviewItem>
    <reviewItem>
      <errorID>c1550501-f608-41f1-bec8-4c6f0425605c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614653D4</paraID>
      <start>0</start>
      <end>2</end>
      <status>unmodified</status>
      <modifiedWord/>
      <trackRevisions>false</trackRevisions>
    </reviewItem>
    <reviewItem>
      <errorID>c244ade4-4132-4588-8c43-497a18df3bd2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245562D1</paraID>
      <start>0</start>
      <end>2</end>
      <status>unmodified</status>
      <modifiedWord/>
      <trackRevisions>false</trackRevisions>
    </reviewItem>
    <reviewItem>
      <errorID>a42b2150-86a2-4fe9-bc1e-e29e06790349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158A5240</paraID>
      <start>0</start>
      <end>2</end>
      <status>unmodified</status>
      <modifiedWord/>
      <trackRevisions>false</trackRevisions>
    </reviewItem>
    <reviewItem>
      <errorID>d32e5640-2dd5-4504-955b-a98d6f8aed97</errorID>
      <errorWord>目</errorWord>
      <group>L1_Word</group>
      <groupName>字词问题</groupName>
      <ability>L2_Typo</ability>
      <abilityName>字词错误</abilityName>
      <candidateList>
        <item>目将</item>
      </candidateList>
      <explain/>
      <paraID>2C2DFE99</paraID>
      <start>2</start>
      <end>3</end>
      <status>unmodified</status>
      <modifiedWord/>
      <trackRevisions>false</trackRevisions>
    </reviewItem>
    <reviewItem>
      <errorID>0744b3e7-35e5-4069-bd1d-5773f45657d3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7CEBEC13</paraID>
      <start>0</start>
      <end>2</end>
      <status>unmodified</status>
      <modifiedWord/>
      <trackRevisions>false</trackRevisions>
    </reviewItem>
    <reviewItem>
      <errorID>2fd5ddb9-9d2b-4f43-aa77-db1d4b375827</errorID>
      <errorWord>沉砂池</errorWord>
      <group>L1_Word</group>
      <groupName>字词问题</groupName>
      <ability>L2_Typo</ability>
      <abilityName>字词错误</abilityName>
      <candidateList>
        <item>沉沙池</item>
      </candidateList>
      <explain>存在发音相同字词的误用。</explain>
      <paraID>3577B3F7</paraID>
      <start>102</start>
      <end>105</end>
      <status>unmodified</status>
      <modifiedWord/>
      <trackRevisions>false</trackRevisions>
    </reviewItem>
    <reviewItem>
      <errorID>5aa55ea4-f4a2-46a0-9984-cfa1bf8640a4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A78F8FE</paraID>
      <start>0</start>
      <end>2</end>
      <status>unmodified</status>
      <modifiedWord/>
      <trackRevisions>false</trackRevisions>
    </reviewItem>
    <reviewItem>
      <errorID>6dbb1eec-3c1e-42f1-a99e-2af62a3c669e</errorID>
      <errorWord>其它道路</errorWord>
      <group>L1_Word</group>
      <groupName>字词问题</groupName>
      <ability>L2_Alias</ability>
      <abilityName>也作/曾用词</abilityName>
      <candidateList>
        <item>其他道路</item>
      </candidateList>
      <explain>词汇[其它道路]为不规范表述或旧称，其规范书面表述为[其他道路]。</explain>
      <paraID> AF8004D</paraID>
      <start>33</start>
      <end>37</end>
      <status>unmodified</status>
      <modifiedWord/>
      <trackRevisions>false</trackRevisions>
    </reviewItem>
    <reviewItem>
      <errorID>b0e913f2-69f8-4449-93ce-afea4951e881</errorID>
      <errorWord>与处理</errorWord>
      <group>L1_Word</group>
      <groupName>字词问题</groupName>
      <ability>L2_Typo</ability>
      <abilityName>字词错误</abilityName>
      <candidateList>
        <item>预处理</item>
      </candidateList>
      <explain/>
      <paraID>70E41099</paraID>
      <start>7</start>
      <end>10</end>
      <status>unmodified</status>
      <modifiedWord/>
      <trackRevisions>false</trackRevisions>
    </reviewItem>
    <reviewItem>
      <errorID>78e6e94f-fac1-4fd0-9e46-4c808f5392e7</errorID>
      <errorWord>陈</errorWord>
      <group>L1_Word</group>
      <groupName>字词问题</groupName>
      <ability>L2_Typo</ability>
      <abilityName>字词错误</abilityName>
      <candidateList>
        <item>车</item>
      </candidateList>
      <explain>存在发音相近字词的误用。</explain>
      <paraID>70E41099</paraID>
      <start>18</start>
      <end>19</end>
      <status>unmodified</status>
      <modifiedWord/>
      <trackRevisions>false</trackRevisions>
    </reviewItem>
    <reviewItem>
      <errorID>3d911f5f-c8a7-4fee-a5da-467d7755dc74</errorID>
      <errorWord>全</errorWord>
      <group>L1_Word</group>
      <groupName>字词问题</groupName>
      <ability>L2_Typo</ability>
      <abilityName>字词错误</abilityName>
      <candidateList>
        <item>全部</item>
      </candidateList>
      <explain/>
      <paraID>70E41099</paraID>
      <start>23</start>
      <end>24</end>
      <status>unmodified</status>
      <modifiedWord/>
      <trackRevisions>false</trackRevisions>
    </reviewItem>
    <reviewItem>
      <errorID>3dc1cf43-9e56-4387-8f72-d9e7513067ab</errorID>
      <errorWord>其它道路</errorWord>
      <group>L1_Word</group>
      <groupName>字词问题</groupName>
      <ability>L2_Alias</ability>
      <abilityName>也作/曾用词</abilityName>
      <candidateList>
        <item>其他道路</item>
      </candidateList>
      <explain>词汇[其它道路]为不规范表述或旧称，其规范书面表述为[其他道路]。</explain>
      <paraID>6CCB0DBB</paraID>
      <start>32</start>
      <end>36</end>
      <status>unmodified</status>
      <modifiedWord/>
      <trackRevisions>false</trackRevisions>
    </reviewItem>
    <reviewItem>
      <errorID>5ad0ab2f-943e-4742-908c-900050e640d3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89B1D03</paraID>
      <start>0</start>
      <end>2</end>
      <status>unmodified</status>
      <modifiedWord/>
      <trackRevisions>false</trackRevisions>
    </reviewItem>
    <reviewItem>
      <errorID>186a1945-22de-4be7-8fca-ba4382629e21</errorID>
      <errorWord>[2023]326号</errorWord>
      <group>L1_Knowledge</group>
      <groupName>知识性问题</groupName>
      <ability>L2_Knowledge</ability>
      <abilityName>其他知识</abilityName>
      <candidateList>
        <item>〔2023〕326号</item>
      </candidateList>
      <explain>发文字号格式错误。</explain>
      <paraID>41DDAD4A</paraID>
      <start>45</start>
      <end>55</end>
      <status>unmodified</status>
      <modifiedWord/>
      <trackRevisions>false</trackRevisions>
    </reviewItem>
    <reviewItem>
      <errorID>80d86ed7-bc24-462c-a991-430071ec22d7</errorID>
      <errorWord>中华人民共和国环境保护法</errorWord>
      <group>L1_Knowledge</group>
      <groupName>知识性问题</groupName>
      <ability>L2_Knowledge</ability>
      <abilityName>其他知识</abilityName>
      <candidateList/>
      <explain>当前法律法规未收录或尚未生效，注意核查是否正确。</explain>
      <paraID>6879F2D2</paraID>
      <start>3</start>
      <end>15</end>
      <status>unmodified</status>
      <modifiedWord/>
      <trackRevisions>false</trackRevisions>
    </reviewItem>
    <reviewItem>
      <errorID>c3105212-115d-4184-b2ad-3123980c8c43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6879F2D2</paraID>
      <start>15</start>
      <end>18</end>
      <status>unmodified</status>
      <modifiedWord/>
      <trackRevisions>false</trackRevisions>
    </reviewItem>
    <reviewItem>
      <errorID>f93d7e91-feff-414d-8086-7b25b14b039e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6879F2D2</paraID>
      <start>32</start>
      <end>35</end>
      <status>unmodified</status>
      <modifiedWord/>
      <trackRevisions>false</trackRevisions>
    </reviewItem>
    <reviewItem>
      <errorID>584bc7d5-5d55-4a6b-ad00-05bb4b78d276</errorID>
      <errorWord>-</errorWord>
      <group>L1_Format</group>
      <groupName>格式问题</groupName>
      <ability>L2_HalfPunc</ability>
      <abilityName>全半角检查</abilityName>
      <candidateList>
        <item>－</item>
      </candidateList>
      <explain>文本全半角错误。</explain>
      <paraID>6879F2D2</paraID>
      <start>152</start>
      <end>153</end>
      <status>unmodified</status>
      <modifiedWord/>
      <trackRevisions>false</trackRevisions>
    </reviewItem>
    <reviewItem>
      <errorID>7b705954-bdd7-4129-89cc-38aa6b189e04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462C2475</paraID>
      <start>0</start>
      <end>2</end>
      <status>unmodified</status>
      <modifiedWord/>
      <trackRevisions>false</trackRevisions>
    </reviewItem>
    <reviewItem>
      <errorID>903caef9-5a38-4866-8a3d-d065ec0a8549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432E5545</paraID>
      <start>0</start>
      <end>2</end>
      <status>unmodified</status>
      <modifiedWord/>
      <trackRevisions>false</trackRevisions>
    </reviewItem>
    <reviewItem>
      <errorID>7d430f50-8379-4da1-9647-e62391d953a9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5D83AAA7</paraID>
      <start>0</start>
      <end>2</end>
      <status>unmodified</status>
      <modifiedWord/>
      <trackRevisions>false</trackRevisions>
    </reviewItem>
    <reviewItem>
      <errorID>fdb4d54b-8a8f-46d3-8d6a-0efab228f11d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42CE1FCC</paraID>
      <start>0</start>
      <end>2</end>
      <status>unmodified</status>
      <modifiedWord/>
      <trackRevisions>false</trackRevisions>
    </reviewItem>
    <reviewItem>
      <errorID>509d9130-0db3-4709-a587-0c8ec5a067bf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3DC129BD</paraID>
      <start>7</start>
      <end>8</end>
      <status>unmodified</status>
      <modifiedWord/>
      <trackRevisions>false</trackRevisions>
    </reviewItem>
    <reviewItem>
      <errorID>8fcaa8ca-f688-4704-8919-d838303712ea</errorID>
      <errorWord>维护结构</errorWord>
      <group>L1_Word</group>
      <groupName>字词问题</groupName>
      <ability>L2_Typo</ability>
      <abilityName>字词错误</abilityName>
      <candidateList>
        <item>围护结构</item>
      </candidateList>
      <explain/>
      <paraID>72789D72</paraID>
      <start>9</start>
      <end>13</end>
      <status>unmodified</status>
      <modifiedWord/>
      <trackRevisions>false</trackRevisions>
    </reviewItem>
    <reviewItem>
      <errorID>391e973c-b67d-447e-8270-88bc91d20b84</errorID>
      <errorWord>维护结构</errorWord>
      <group>L1_Word</group>
      <groupName>字词问题</groupName>
      <ability>L2_Typo</ability>
      <abilityName>字词错误</abilityName>
      <candidateList>
        <item>围护结构</item>
      </candidateList>
      <explain/>
      <paraID>3F355164</paraID>
      <start>12</start>
      <end>16</end>
      <status>unmodified</status>
      <modifiedWord/>
      <trackRevisions>false</trackRevisions>
    </reviewItem>
    <reviewItem>
      <errorID>69aa724f-e609-4a5d-9dc1-683dd85776c2</errorID>
      <errorWord>维护结构</errorWord>
      <group>L1_Word</group>
      <groupName>字词问题</groupName>
      <ability>L2_Typo</ability>
      <abilityName>字词错误</abilityName>
      <candidateList>
        <item>围护结构</item>
      </candidateList>
      <explain/>
      <paraID> 239BED7</paraID>
      <start>9</start>
      <end>13</end>
      <status>unmodified</status>
      <modifiedWord/>
      <trackRevisions>false</trackRevisions>
    </reviewItem>
    <reviewItem>
      <errorID>e349b874-ebf3-4dce-b6d2-277317916d7b</errorID>
      <errorWord>维护结构</errorWord>
      <group>L1_Word</group>
      <groupName>字词问题</groupName>
      <ability>L2_Typo</ability>
      <abilityName>字词错误</abilityName>
      <candidateList>
        <item>围护结构</item>
      </candidateList>
      <explain/>
      <paraID>304628A8</paraID>
      <start>13</start>
      <end>17</end>
      <status>unmodified</status>
      <modifiedWord/>
      <trackRevisions>false</trackRevisions>
    </reviewItem>
    <reviewItem>
      <errorID>d4b1106f-976e-4984-b184-cf45e119743f</errorID>
      <errorWord>通过通过</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304628A8</paraID>
      <start>39</start>
      <end>43</end>
      <status>unmodified</status>
      <modifiedWord/>
      <trackRevisions>false</trackRevisions>
    </reviewItem>
    <reviewItem>
      <errorID>7981a25c-fff8-4cd4-8dc8-79f643cfdfa0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39583D33</paraID>
      <start>100</start>
      <end>101</end>
      <status>unmodified</status>
      <modifiedWord/>
      <trackRevisions>false</trackRevisions>
    </reviewItem>
    <reviewItem>
      <errorID>f9c780da-7878-4c33-8e98-50535f29fae3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1538AE45</paraID>
      <start>0</start>
      <end>2</end>
      <status>unmodified</status>
      <modifiedWord/>
      <trackRevisions>false</trackRevisions>
    </reviewItem>
    <reviewItem>
      <errorID>a3eef51e-48d3-4d2d-9a0e-6893d4ba1057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AF65A81</paraID>
      <start>0</start>
      <end>2</end>
      <status>unmodified</status>
      <modifiedWord/>
      <trackRevisions>false</trackRevisions>
    </reviewItem>
    <reviewItem>
      <errorID>4811554e-18a9-4e15-bc04-e40467960066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1864F5A7</paraID>
      <start>0</start>
      <end>2</end>
      <status>unmodified</status>
      <modifiedWord/>
      <trackRevisions>false</trackRevisions>
    </reviewItem>
    <reviewItem>
      <errorID>9312735d-7fa8-427f-a3f3-8735626c5eff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B5282E9</paraID>
      <start>0</start>
      <end>2</end>
      <status>unmodified</status>
      <modifiedWord/>
      <trackRevisions>false</trackRevisions>
    </reviewItem>
    <reviewItem>
      <errorID>742f690d-04c8-4d7d-886d-80373de85f54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4E4494C2</paraID>
      <start>0</start>
      <end>2</end>
      <status>unmodified</status>
      <modifiedWord/>
      <trackRevisions>false</trackRevisions>
    </reviewItem>
    <reviewItem>
      <errorID>8c3969bf-2104-46e2-8974-12b3fbe4fe6e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2AB691F</paraID>
      <start>0</start>
      <end>2</end>
      <status>unmodified</status>
      <modifiedWord/>
      <trackRevisions>false</trackRevisions>
    </reviewItem>
    <reviewItem>
      <errorID>45e40723-ca78-4574-9f01-8c7ff66eab37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28B6ED7F</paraID>
      <start>0</start>
      <end>2</end>
      <status>unmodified</status>
      <modifiedWord/>
      <trackRevisions>false</trackRevisions>
    </reviewItem>
    <reviewItem>
      <errorID>8ae43023-1731-4bed-b8c6-f1aa699de957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AB52C59</paraID>
      <start>8</start>
      <end>9</end>
      <status>unmodified</status>
      <modifiedWord/>
      <trackRevisions>false</trackRevisions>
    </reviewItem>
    <reviewItem>
      <errorID>c421d116-e84b-4c30-9aa9-82fc6a0a0120</errorID>
      <errorWord>水利分级机</errorWord>
      <group>L1_Knowledge</group>
      <groupName>知识性问题</groupName>
      <ability>L2_Term</ability>
      <abilityName>专业术语</abilityName>
      <candidateList>
        <item>水力分级机</item>
      </candidateList>
      <explain/>
      <paraID> 208E40B</paraID>
      <start>0</start>
      <end>5</end>
      <status>unmodified</status>
      <modifiedWord/>
      <trackRevisions>false</trackRevisions>
    </reviewItem>
    <reviewItem>
      <errorID>a6982d0b-e006-4f4a-a443-a4f3b10a1f31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4F2527CC</paraID>
      <start>0</start>
      <end>3</end>
      <status>unmodified</status>
      <modifiedWord/>
      <trackRevisions>false</trackRevisions>
    </reviewItem>
    <reviewItem>
      <errorID>2fb14a3f-ef88-4e5d-bc23-bae41daf0e8a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7B5B2618</paraID>
      <start>0</start>
      <end>2</end>
      <status>unmodified</status>
      <modifiedWord/>
      <trackRevisions>false</trackRevisions>
    </reviewItem>
    <reviewItem>
      <errorID>251d2822-b89e-4b47-be02-4efdfd258b35</errorID>
      <errorWord>程</errorWord>
      <group>L1_Word</group>
      <groupName>字词问题</groupName>
      <ability>L2_Typo</ability>
      <abilityName>字词错误</abilityName>
      <candidateList>
        <item>程中</item>
      </candidateList>
      <explain/>
      <paraID>4B66FCEA</paraID>
      <start>24</start>
      <end>25</end>
      <status>unmodified</status>
      <modifiedWord/>
      <trackRevisions>false</trackRevisions>
    </reviewItem>
    <reviewItem>
      <errorID>cfb09829-b9ad-4de6-a113-8e889a5a54ee</errorID>
      <errorWord>程</errorWord>
      <group>L1_Word</group>
      <groupName>字词问题</groupName>
      <ability>L2_Typo</ability>
      <abilityName>字词错误</abilityName>
      <candidateList>
        <item>程中</item>
      </candidateList>
      <explain/>
      <paraID> FBB38FB</paraID>
      <start>26</start>
      <end>27</end>
      <status>unmodified</status>
      <modifiedWord/>
      <trackRevisions>false</trackRevisions>
    </reviewItem>
    <reviewItem>
      <errorID>7ca2daa9-01bb-4685-9f6e-ed5b422c457a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17CD143</paraID>
      <start>0</start>
      <end>2</end>
      <status>unmodified</status>
      <modifiedWord/>
      <trackRevisions>false</trackRevisions>
    </reviewItem>
    <reviewItem>
      <errorID>22d3b482-2d0a-4812-8c6d-fe4e576188e5</errorID>
      <errorWord>作</errorWord>
      <group>L1_Word</group>
      <groupName>字词问题</groupName>
      <ability>L2_Typo</ability>
      <abilityName>字词错误</abilityName>
      <candidateList>
        <item>做</item>
      </candidateList>
      <explain>存在发音相同字词的误用。</explain>
      <paraID>20F2AF93</paraID>
      <start>10</start>
      <end>11</end>
      <status>unmodified</status>
      <modifiedWord/>
      <trackRevisions>false</trackRevisions>
    </reviewItem>
    <reviewItem>
      <errorID>bbd51bb2-ed54-403b-bb4c-a71906282511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5FDCCC22</paraID>
      <start>0</start>
      <end>2</end>
      <status>unmodified</status>
      <modifiedWord/>
      <trackRevisions>false</trackRevisions>
    </reviewItem>
    <reviewItem>
      <errorID>1887b88b-6e60-4629-a7c8-767238f65e74</errorID>
      <errorWord>[2020]3号</errorWord>
      <group>L1_Knowledge</group>
      <groupName>知识性问题</groupName>
      <ability>L2_Knowledge</ability>
      <abilityName>其他知识</abilityName>
      <candidateList>
        <item>〔2020〕3号</item>
      </candidateList>
      <explain>发文字号格式错误。</explain>
      <paraID>648ECD7A</paraID>
      <start>75</start>
      <end>83</end>
      <status>unmodified</status>
      <modifiedWord/>
      <trackRevisions>false</trackRevisions>
    </reviewItem>
    <reviewItem>
      <errorID>404c8da5-f960-48ad-8c6d-a7f0a16b419b</errorID>
      <errorWord>2025年01月21日</errorWord>
      <group>L1_Knowledge</group>
      <groupName>知识性问题</groupName>
      <ability>L2_Time</ability>
      <abilityName>日期时间</abilityName>
      <candidateList>
        <item>2025年1月21日</item>
      </candidateList>
      <explain>根据日常书写习惯，月份一般会省略前导零。</explain>
      <paraID> DD97ECE</paraID>
      <start>13</start>
      <end>24</end>
      <status>unmodified</status>
      <modifiedWord/>
      <trackRevisions>false</trackRevisions>
    </reviewItem>
    <reviewItem>
      <errorID>b621f33f-d799-4403-863e-cf1b884ed5e9</errorID>
      <errorWord>2025年01月21日</errorWord>
      <group>L1_Knowledge</group>
      <groupName>知识性问题</groupName>
      <ability>L2_Time</ability>
      <abilityName>日期时间</abilityName>
      <candidateList>
        <item>2025年1月21日</item>
      </candidateList>
      <explain>根据日常书写习惯，月份一般会省略前导零。</explain>
      <paraID> DD97ECE</paraID>
      <start>70</start>
      <end>81</end>
      <status>unmodified</status>
      <modifiedWord/>
      <trackRevisions>false</trackRevisions>
    </reviewItem>
    <reviewItem>
      <errorID>a249ce3b-7e14-4d70-9e19-3403297f0293</errorID>
      <errorWord>2030年01月20日</errorWord>
      <group>L1_Knowledge</group>
      <groupName>知识性问题</groupName>
      <ability>L2_Time</ability>
      <abilityName>日期时间</abilityName>
      <candidateList>
        <item>2030年1月20日</item>
      </candidateList>
      <explain>根据日常书写习惯，月份一般会省略前导零。</explain>
      <paraID> DD97ECE</paraID>
      <start>82</start>
      <end>93</end>
      <status>unmodified</status>
      <modifiedWord/>
      <trackRevisions>false</trackRevisions>
    </reviewItem>
    <reviewItem>
      <errorID>f94215e7-00db-43a4-b87a-01ab5f81ad5c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538C2119</paraID>
      <start>0</start>
      <end>2</end>
      <status>unmodified</status>
      <modifiedWord/>
      <trackRevisions>false</trackRevisions>
    </reviewItem>
    <reviewItem>
      <errorID>cf8993d4-48f6-4432-bbc8-05410dc3e90a</errorID>
      <errorWord>[2023]0053号</errorWord>
      <group>L1_Knowledge</group>
      <groupName>知识性问题</groupName>
      <ability>L2_Knowledge</ability>
      <abilityName>其他知识</abilityName>
      <candidateList>
        <item>〔2023〕53号</item>
      </candidateList>
      <explain>发文字号格式错误。</explain>
      <paraID>74C803EB</paraID>
      <start>33</start>
      <end>44</end>
      <status>unmodified</status>
      <modifiedWord/>
      <trackRevisions>false</trackRevisions>
    </reviewItem>
    <reviewItem>
      <errorID>0ba9c918-d8c3-417c-aec9-2790bc50b15c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4860A07F</paraID>
      <start>38</start>
      <end>39</end>
      <status>unmodified</status>
      <modifiedWord/>
      <trackRevisions>false</trackRevisions>
    </reviewItem>
    <reviewItem>
      <errorID>2839c43a-2227-4e7e-8ab5-4d6d741a2bd3</errorID>
      <errorWord>"</errorWord>
      <group>L1_Format</group>
      <groupName>格式问题</groupName>
      <ability>L2_HalfPunc</ability>
      <abilityName>全半角检查</abilityName>
      <candidateList>
        <item>”</item>
      </candidateList>
      <explain>文本全半角错误。</explain>
      <paraID>4860A07F</paraID>
      <start>45</start>
      <end>46</end>
      <status>unmodified</status>
      <modifiedWord/>
      <trackRevisions>false</trackRevisions>
    </reviewItem>
    <reviewItem>
      <errorID>325daa58-fb7e-4b8b-bde3-dffabfdf500b</errorID>
      <errorWord>鄂式破碎机</errorWord>
      <group>L1_Word</group>
      <groupName>字词问题</groupName>
      <ability>L2_Typo</ability>
      <abilityName>字词错误</abilityName>
      <candidateList>
        <item>颚式破碎机</item>
      </candidateList>
      <explain/>
      <paraID>65AE2F36</paraID>
      <start>0</start>
      <end>5</end>
      <status>unmodified</status>
      <modifiedWord/>
      <trackRevisions>false</trackRevisions>
    </reviewItem>
    <reviewItem>
      <errorID>c78a8fb3-c9c2-4e6e-b8ba-fa8f7b8cd63e</errorID>
      <errorWord>[2023]0053号</errorWord>
      <group>L1_Knowledge</group>
      <groupName>知识性问题</groupName>
      <ability>L2_Knowledge</ability>
      <abilityName>其他知识</abilityName>
      <candidateList>
        <item>〔2023〕53号</item>
      </candidateList>
      <explain>发文字号格式错误。</explain>
      <paraID>65AE2F36</paraID>
      <start>93</start>
      <end>104</end>
      <status>unmodified</status>
      <modifiedWord/>
      <trackRevisions>false</trackRevisions>
    </reviewItem>
    <reviewItem>
      <errorID>687ec041-aee0-4e7f-b420-f05f2ab1ebc7</errorID>
      <errorWord>[2023]0053号</errorWord>
      <group>L1_Knowledge</group>
      <groupName>知识性问题</groupName>
      <ability>L2_Knowledge</ability>
      <abilityName>其他知识</abilityName>
      <candidateList>
        <item>〔2023〕53号</item>
      </candidateList>
      <explain>发文字号格式错误。</explain>
      <paraID>65AE2F36</paraID>
      <start>342</start>
      <end>353</end>
      <status>unmodified</status>
      <modifiedWord/>
      <trackRevisions>false</trackRevisions>
    </reviewItem>
    <reviewItem>
      <errorID>3a06a643-7439-49c2-b735-49c6d341ea7a</errorID>
      <errorWord>[2023]0053号</errorWord>
      <group>L1_Knowledge</group>
      <groupName>知识性问题</groupName>
      <ability>L2_Knowledge</ability>
      <abilityName>其他知识</abilityName>
      <candidateList>
        <item>〔2023〕53号</item>
      </candidateList>
      <explain>发文字号格式错误。</explain>
      <paraID>6D805CB3</paraID>
      <start>33</start>
      <end>44</end>
      <status>unmodified</status>
      <modifiedWord/>
      <trackRevisions>false</trackRevisions>
    </reviewItem>
    <reviewItem>
      <errorID>11e6df61-d782-404f-b4d8-dc3528e705f6</errorID>
      <errorWord>（</errorWord>
      <group>L1_Punc</group>
      <groupName>标点问题</groupName>
      <ability>L2_Punc</ability>
      <abilityName>标点符号检查</abilityName>
      <candidateList/>
      <explain>同一形式括号套用。</explain>
      <paraID>60908802</paraID>
      <start>10</start>
      <end>11</end>
      <status>unmodified</status>
      <modifiedWord/>
      <trackRevisions>false</trackRevisions>
    </reviewItem>
    <reviewItem>
      <errorID>e45a1654-26f0-41c7-9ae0-3e9a56f5cd6b</errorID>
      <errorWord>）</errorWord>
      <group>L1_Punc</group>
      <groupName>标点问题</groupName>
      <ability>L2_Punc</ability>
      <abilityName>标点符号检查</abilityName>
      <candidateList/>
      <explain>同一形式括号套用。</explain>
      <paraID>60908802</paraID>
      <start>12</start>
      <end>13</end>
      <status>unmodified</status>
      <modifiedWord/>
      <trackRevisions>false</trackRevisions>
    </reviewItem>
    <reviewItem>
      <errorID>6118b7e3-cd02-454b-821f-718a94bbdf07</errorID>
      <errorWord>（</errorWord>
      <group>L1_Punc</group>
      <groupName>标点问题</groupName>
      <ability>L2_Punc</ability>
      <abilityName>标点符号检查</abilityName>
      <candidateList/>
      <explain>同一形式括号套用。</explain>
      <paraID>238E3A7C</paraID>
      <start>10</start>
      <end>11</end>
      <status>unmodified</status>
      <modifiedWord/>
      <trackRevisions>false</trackRevisions>
    </reviewItem>
    <reviewItem>
      <errorID>97874a7a-1fb9-438e-be47-0d6ade3d2abf</errorID>
      <errorWord>）</errorWord>
      <group>L1_Punc</group>
      <groupName>标点问题</groupName>
      <ability>L2_Punc</ability>
      <abilityName>标点符号检查</abilityName>
      <candidateList/>
      <explain>同一形式括号套用。</explain>
      <paraID>238E3A7C</paraID>
      <start>12</start>
      <end>13</end>
      <status>unmodified</status>
      <modifiedWord/>
      <trackRevisions>false</trackRevisions>
    </reviewItem>
    <reviewItem>
      <errorID>e54d3bcb-d2b9-486a-a417-716d4c59334d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F201602</paraID>
      <start>0</start>
      <end>2</end>
      <status>unmodified</status>
      <modifiedWord/>
      <trackRevisions>false</trackRevisions>
    </reviewItem>
    <reviewItem>
      <errorID>bd2260f8-4a2d-4121-ac1f-010c0efee060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2CECE5A5</paraID>
      <start>0</start>
      <end>2</end>
      <status>unmodified</status>
      <modifiedWord/>
      <trackRevisions>false</trackRevisions>
    </reviewItem>
    <reviewItem>
      <errorID>710e5e60-b206-41a3-870c-5ca85b7442cc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369E5434</paraID>
      <start>0</start>
      <end>2</end>
      <status>unmodified</status>
      <modifiedWord/>
      <trackRevisions>false</trackRevisions>
    </reviewItem>
    <reviewItem>
      <errorID>d9c73a40-bebf-499e-95dd-8c5674365eb7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63338F81</paraID>
      <start>0</start>
      <end>2</end>
      <status>unmodified</status>
      <modifiedWord/>
      <trackRevisions>false</trackRevisions>
    </reviewItem>
    <reviewItem>
      <errorID>cdb7c644-6188-43dc-b300-859e1a96255f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15691BCE</paraID>
      <start>34</start>
      <end>35</end>
      <status>unmodified</status>
      <modifiedWord/>
      <trackRevisions>false</trackRevisions>
    </reviewItem>
    <reviewItem>
      <errorID>0a14ce0e-0c5c-4ef8-aa8f-89b4e0a8e248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39AB1DCF</paraID>
      <start>38</start>
      <end>39</end>
      <status>unmodified</status>
      <modifiedWord/>
      <trackRevisions>false</trackRevisions>
    </reviewItem>
    <reviewItem>
      <errorID>699784db-4f76-4a21-b7f8-b7c61572db01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39AB1DCF</paraID>
      <start>89</start>
      <end>90</end>
      <status>unmodified</status>
      <modifiedWord/>
      <trackRevisions>false</trackRevisions>
    </reviewItem>
    <reviewItem>
      <errorID>43cc1ac4-a8ce-4176-baa6-3a1fdd3eb6ec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44AB659E</paraID>
      <start>0</start>
      <end>2</end>
      <status>unmodified</status>
      <modifiedWord/>
      <trackRevisions>false</trackRevisions>
    </reviewItem>
    <reviewItem>
      <errorID>21bf0951-c5b6-4348-a49f-d0af1d7610b9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2F7C96CF</paraID>
      <start>57</start>
      <end>58</end>
      <status>unmodified</status>
      <modifiedWord/>
      <trackRevisions>false</trackRevisions>
    </reviewItem>
    <reviewItem>
      <errorID>836397af-10e3-4f59-8ef9-8a33de8b0e2a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7662BE9</paraID>
      <start>0</start>
      <end>2</end>
      <status>unmodified</status>
      <modifiedWord/>
      <trackRevisions>false</trackRevisions>
    </reviewItem>
    <reviewItem>
      <errorID>772fca7c-0317-4ee3-ba56-01e17a95fe93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674CD689</paraID>
      <start>0</start>
      <end>2</end>
      <status>unmodified</status>
      <modifiedWord/>
      <trackRevisions>false</trackRevisions>
    </reviewItem>
    <reviewItem>
      <errorID>2fd79a1b-0618-47cf-88cf-0303d9b2c548</errorID>
      <errorWord>》（试行）</errorWord>
      <group>L1_Word</group>
      <groupName>字词问题</groupName>
      <ability>L2_Typo</ability>
      <abilityName>字词错误</abilityName>
      <candidateList>
        <item>（试行）》</item>
      </candidateList>
      <explain/>
      <paraID>3A68366F</paraID>
      <start>50</start>
      <end>55</end>
      <status>unmodified</status>
      <modifiedWord/>
      <trackRevisions>false</trackRevisions>
    </reviewItem>
    <reviewItem>
      <errorID>0c80e3b7-861e-4e03-8244-fade872b42ad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6A8D76FC</paraID>
      <start>0</start>
      <end>2</end>
      <status>unmodified</status>
      <modifiedWord/>
      <trackRevisions>false</trackRevisions>
    </reviewItem>
    <reviewItem>
      <errorID>c5f8431c-a05a-4b35-8d51-b5576032cd11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295A041</paraID>
      <start>0</start>
      <end>2</end>
      <status>unmodified</status>
      <modifiedWord/>
      <trackRevisions>false</trackRevisions>
    </reviewItem>
    <reviewItem>
      <errorID>7785494c-3de0-4b73-8af2-2ea88b515974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48670B4</paraID>
      <start>0</start>
      <end>2</end>
      <status>unmodified</status>
      <modifiedWord/>
      <trackRevisions>false</trackRevisions>
    </reviewItem>
    <reviewItem>
      <errorID>2c40c542-8683-46c2-8830-d71f199b5064</errorID>
      <errorWord>风景名称区</errorWord>
      <group>L1_Knowledge</group>
      <groupName>知识性问题</groupName>
      <ability>L2_Term</ability>
      <abilityName>专业术语</abilityName>
      <candidateList>
        <item>风景名胜区</item>
      </candidateList>
      <explain/>
      <paraID>785D9F25</paraID>
      <start>20</start>
      <end>25</end>
      <status>unmodified</status>
      <modifiedWord/>
      <trackRevisions>false</trackRevisions>
    </reviewItem>
    <reviewItem>
      <errorID>fa022deb-9f9d-44e5-b8b5-6543784f2c4e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49FEE548</paraID>
      <start>0</start>
      <end>2</end>
      <status>unmodified</status>
      <modifiedWord/>
      <trackRevisions>false</trackRevisions>
    </reviewItem>
    <reviewItem>
      <errorID>45dfef08-e189-429f-9f16-0a5930144de8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707AF1A</paraID>
      <start>0</start>
      <end>2</end>
      <status>unmodified</status>
      <modifiedWord/>
      <trackRevisions>false</trackRevisions>
    </reviewItem>
    <reviewItem>
      <errorID>24661190-7a31-4ed9-8903-a84ff3bfec4d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491A652D</paraID>
      <start>0</start>
      <end>2</end>
      <status>unmodified</status>
      <modifiedWord/>
      <trackRevisions>false</trackRevisions>
    </reviewItem>
    <reviewItem>
      <errorID>bd6224ce-cbaa-4dd2-b161-cfb83ab109ab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3B0A067D</paraID>
      <start>0</start>
      <end>2</end>
      <status>unmodified</status>
      <modifiedWord/>
      <trackRevisions>false</trackRevisions>
    </reviewItem>
    <reviewItem>
      <errorID>d3c541bf-720b-4a58-a395-a095634c2e35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41E14689</paraID>
      <start>78</start>
      <end>79</end>
      <status>unmodified</status>
      <modifiedWord/>
      <trackRevisions>false</trackRevisions>
    </reviewItem>
    <reviewItem>
      <errorID>ee5a597a-aca0-46c7-b0e2-1f8bf86ca53d</errorID>
      <errorWord>[2018]123号</errorWord>
      <group>L1_Knowledge</group>
      <groupName>知识性问题</groupName>
      <ability>L2_Knowledge</ability>
      <abilityName>其他知识</abilityName>
      <candidateList>
        <item>〔2018〕123号</item>
      </candidateList>
      <explain>发文字号格式错误。</explain>
      <paraID>41E14689</paraID>
      <start>91</start>
      <end>101</end>
      <status>unmodified</status>
      <modifiedWord/>
      <trackRevisions>false</trackRevisions>
    </reviewItem>
    <reviewItem>
      <errorID>10161c8f-4bcf-479d-a8e9-d00bb18249ce</errorID>
      <errorWord>&lt;</errorWord>
      <group>L1_Format</group>
      <groupName>格式问题</groupName>
      <ability>L2_HalfPunc</ability>
      <abilityName>全半角检查</abilityName>
      <candidateList>
        <item>〈</item>
      </candidateList>
      <explain>文本全半角错误。</explain>
      <paraID>48B8B3BD</paraID>
      <start>7</start>
      <end>8</end>
      <status>unmodified</status>
      <modifiedWord/>
      <trackRevisions>false</trackRevisions>
    </reviewItem>
    <reviewItem>
      <errorID>ca18b531-2cc9-443f-8e4a-ced016b4fc9f</errorID>
      <errorWord>&gt;的通知》</errorWord>
      <group>L1_Punc</group>
      <groupName>标点问题</groupName>
      <ability>L2_Punc</ability>
      <abilityName>标点符号检查</abilityName>
      <candidateList>
        <item>〉的通知》</item>
      </candidateList>
      <explain/>
      <paraID>48B8B3BD</paraID>
      <start>32</start>
      <end>37</end>
      <status>unmodified</status>
      <modifiedWord/>
      <trackRevisions>false</trackRevisions>
    </reviewItem>
    <reviewItem>
      <errorID>f90fae93-38ed-4ca2-8218-502880f1f9cb</errorID>
      <errorWord>[2014]197号</errorWord>
      <group>L1_Knowledge</group>
      <groupName>知识性问题</groupName>
      <ability>L2_Knowledge</ability>
      <abilityName>其他知识</abilityName>
      <candidateList>
        <item>〔2014〕197号</item>
      </candidateList>
      <explain>发文字号格式错误。</explain>
      <paraID>48B8B3BD</paraID>
      <start>40</start>
      <end>50</end>
      <status>unmodified</status>
      <modifiedWord/>
      <trackRevisions>false</trackRevisions>
    </reviewItem>
    <reviewItem>
      <errorID>56325109-73b5-44e2-81b4-7db6c6847e31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952F18F</paraID>
      <start>0</start>
      <end>2</end>
      <status>unmodified</status>
      <modifiedWord/>
      <trackRevisions>false</trackRevisions>
    </reviewItem>
    <reviewItem>
      <errorID>eca8d92a-45f6-4212-b2d0-77970a66f50c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1B8F55DD</paraID>
      <start>0</start>
      <end>2</end>
      <status>unmodified</status>
      <modifiedWord/>
      <trackRevisions>false</trackRevisions>
    </reviewItem>
    <reviewItem>
      <errorID>4bc5cedd-b63a-4d19-8f9d-4f21032d3f05</errorID>
      <errorWord>：</errorWord>
      <group>L1_Format</group>
      <groupName>格式问题</groupName>
      <ability>L2_HalfPunc</ability>
      <abilityName>全半角检查</abilityName>
      <candidateList>
        <item>:</item>
      </candidateList>
      <explain>文本全半角错误。</explain>
      <paraID>29B03913</paraID>
      <start>28</start>
      <end>29</end>
      <status>unmodified</status>
      <modifiedWord/>
      <trackRevisions>false</trackRevisions>
    </reviewItem>
    <reviewItem>
      <errorID>24b651e8-f132-4e07-8c12-652c0abe35f8</errorID>
      <errorWord>长笛</errorWord>
      <group>L1_Word</group>
      <groupName>字词问题</groupName>
      <ability>L2_Typo</ability>
      <abilityName>字词错误</abilityName>
      <candidateList>
        <item>场地</item>
      </candidateList>
      <explain/>
      <paraID>7C2379C8</paraID>
      <start>11</start>
      <end>13</end>
      <status>unmodified</status>
      <modifiedWord/>
      <trackRevisions>false</trackRevisions>
    </reviewItem>
    <reviewItem>
      <errorID>d39d1b29-bfbf-4dd5-984c-44b36dbb40be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167B2EBF</paraID>
      <start>0</start>
      <end>2</end>
      <status>unmodified</status>
      <modifiedWord/>
      <trackRevisions>false</trackRevisions>
    </reviewItem>
    <reviewItem>
      <errorID>76a92280-ca03-4e0b-aafc-9708b5a51ed9</errorID>
      <errorWord>[2020]第1号</errorWord>
      <group>L1_Knowledge</group>
      <groupName>知识性问题</groupName>
      <ability>L2_Knowledge</ability>
      <abilityName>其他知识</abilityName>
      <candidateList>
        <item>〔2020〕1号</item>
      </candidateList>
      <explain>发文字号格式错误。</explain>
      <paraID>167B2EBF</paraID>
      <start>28</start>
      <end>37</end>
      <status>unmodified</status>
      <modifiedWord/>
      <trackRevisions>false</trackRevisions>
    </reviewItem>
    <reviewItem>
      <errorID>4e7d140d-7d29-4d52-8d4a-a0f07abb879b</errorID>
      <errorWord>《</errorWord>
      <group>L1_Punc</group>
      <groupName>标点问题</groupName>
      <ability>L2_Punc</ability>
      <abilityName>标点符号检查</abilityName>
      <candidateList/>
      <explain>同一形式括号套用。</explain>
      <paraID>167B2EBF</paraID>
      <start>103</start>
      <end>104</end>
      <status>unmodified</status>
      <modifiedWord/>
      <trackRevisions>false</trackRevisions>
    </reviewItem>
    <reviewItem>
      <errorID>62b857ab-772f-4502-af1e-0e00c581b2b9</errorID>
      <errorWord>》</errorWord>
      <group>L1_Punc</group>
      <groupName>标点问题</groupName>
      <ability>L2_Punc</ability>
      <abilityName>标点符号检查</abilityName>
      <candidateList/>
      <explain>同一形式括号套用。</explain>
      <paraID>167B2EBF</paraID>
      <start>127</start>
      <end>128</end>
      <status>unmodified</status>
      <modifiedWord/>
      <trackRevisions>false</trackRevisions>
    </reviewItem>
    <reviewItem>
      <errorID>02ce9f3e-a25c-4f56-b69e-8088ea2d2ff2</errorID>
      <errorWord>[2021]37号</errorWord>
      <group>L1_Knowledge</group>
      <groupName>知识性问题</groupName>
      <ability>L2_Knowledge</ability>
      <abilityName>其他知识</abilityName>
      <candidateList>
        <item>〔2021〕37号</item>
      </candidateList>
      <explain>发文字号格式错误。</explain>
      <paraID>167B2EBF</paraID>
      <start>173</start>
      <end>182</end>
      <status>unmodified</status>
      <modifiedWord/>
      <trackRevisions>false</trackRevisions>
    </reviewItem>
    <reviewItem>
      <errorID>01cefd3a-0bcc-4d33-8b69-36386e2235ac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76F4C62C</paraID>
      <start>0</start>
      <end>2</end>
      <status>unmodified</status>
      <modifiedWord/>
      <trackRevisions>false</trackRevisions>
    </reviewItem>
    <reviewItem>
      <errorID>a89f2dd0-cf0e-485d-a7a6-c5650a0207ef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86D90E8</paraID>
      <start>0</start>
      <end>2</end>
      <status>unmodified</status>
      <modifiedWord/>
      <trackRevisions>false</trackRevisions>
    </reviewItem>
    <reviewItem>
      <errorID>fefb0df7-8272-43b9-a63b-2ba67a3bef93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77509F1E</paraID>
      <start>0</start>
      <end>2</end>
      <status>unmodified</status>
      <modifiedWord/>
      <trackRevisions>false</trackRevisions>
    </reviewItem>
    <reviewItem>
      <errorID>27f024b3-cb14-429f-ae27-d95fee6dd93e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4D757D3F</paraID>
      <start>0</start>
      <end>2</end>
      <status>unmodified</status>
      <modifiedWord/>
      <trackRevisions>false</trackRevisions>
    </reviewItem>
    <reviewItem>
      <errorID>e20c4f0b-9429-4753-9413-f08b690f696d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EEDF04F</paraID>
      <start>0</start>
      <end>2</end>
      <status>unmodified</status>
      <modifiedWord/>
      <trackRevisions>false</trackRevisions>
    </reviewItem>
    <reviewItem>
      <errorID>893c36ec-941b-4361-9b9f-1fb0b9f6da1c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472C73DC</paraID>
      <start>0</start>
      <end>2</end>
      <status>unmodified</status>
      <modifiedWord/>
      <trackRevisions>false</trackRevisions>
    </reviewItem>
    <reviewItem>
      <errorID>d53d0f62-c530-4f7f-90c9-4538d83c2dfc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73EDD3FB</paraID>
      <start>0</start>
      <end>2</end>
      <status>unmodified</status>
      <modifiedWord/>
      <trackRevisions>false</trackRevisions>
    </reviewItem>
    <reviewItem>
      <errorID>9e905542-a01b-4985-a1d5-243022c42bfd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1CBF8862</paraID>
      <start>0</start>
      <end>2</end>
      <status>unmodified</status>
      <modifiedWord/>
      <trackRevisions>false</trackRevisions>
    </reviewItem>
    <reviewItem>
      <errorID>c5c1726b-0860-4108-8286-b10130089d67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1A289BF0</paraID>
      <start>0</start>
      <end>3</end>
      <status>unmodified</status>
      <modifiedWord/>
      <trackRevisions>false</trackRevisions>
    </reviewItem>
    <reviewItem>
      <errorID>2285988f-b5d2-4b65-be41-4f16c4e59c65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400AA36B</paraID>
      <start>0</start>
      <end>3</end>
      <status>unmodified</status>
      <modifiedWord/>
      <trackRevisions>false</trackRevisions>
    </reviewItem>
    <reviewItem>
      <errorID>4052d39f-8cbe-43ec-abef-582e0cd1d0f2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47023309</paraID>
      <start>0</start>
      <end>3</end>
      <status>unmodified</status>
      <modifiedWord/>
      <trackRevisions>false</trackRevisions>
    </reviewItem>
    <reviewItem>
      <errorID>13379053-bcef-4bf3-a60f-8d510815a3b4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7F727F22</paraID>
      <start>0</start>
      <end>3</end>
      <status>unmodified</status>
      <modifiedWord/>
      <trackRevisions>false</trackRevisions>
    </reviewItem>
    <reviewItem>
      <errorID>2d83fe5a-5361-457d-852c-cf6904aacb50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7B596BFD</paraID>
      <start>0</start>
      <end>3</end>
      <status>unmodified</status>
      <modifiedWord/>
      <trackRevisions>false</trackRevisions>
    </reviewItem>
    <reviewItem>
      <errorID>8d0ffe1d-6c70-4c9d-bf2e-0c75190856de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4EA8816F</paraID>
      <start>0</start>
      <end>3</end>
      <status>unmodified</status>
      <modifiedWord/>
      <trackRevisions>false</trackRevisions>
    </reviewItem>
    <reviewItem>
      <errorID>87d3915e-bb93-4728-9e7a-7ef84043c83f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5F4196F1</paraID>
      <start>0</start>
      <end>3</end>
      <status>unmodified</status>
      <modifiedWord/>
      <trackRevisions>false</trackRevisions>
    </reviewItem>
    <reviewItem>
      <errorID>904a2f14-2f83-4793-a7cf-5b4b5a7cc425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1B4064A8</paraID>
      <start>0</start>
      <end>3</end>
      <status>unmodified</status>
      <modifiedWord/>
      <trackRevisions>false</trackRevisions>
    </reviewItem>
    <reviewItem>
      <errorID>e90a9014-7bf7-4bec-958e-406a85283de9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601A95A9</paraID>
      <start>0</start>
      <end>3</end>
      <status>unmodified</status>
      <modifiedWord/>
      <trackRevisions>false</trackRevisions>
    </reviewItem>
    <reviewItem>
      <errorID>14c6d028-b854-400b-8d8f-7116eb1b6407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305CDCF8</paraID>
      <start>0</start>
      <end>3</end>
      <status>unmodified</status>
      <modifiedWord/>
      <trackRevisions>false</trackRevisions>
    </reviewItem>
    <reviewItem>
      <errorID>feb0c216-81e5-49a3-9332-1689fd16afe1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F9B3887</paraID>
      <start>0</start>
      <end>3</end>
      <status>unmodified</status>
      <modifiedWord/>
      <trackRevisions>false</trackRevisions>
    </reviewItem>
    <reviewItem>
      <errorID>50360a6e-7f69-4c3b-9562-24394be0691c</errorID>
      <errorWord>其它</errorWord>
      <group>L1_Word</group>
      <groupName>字词问题</groupName>
      <ability>L2_Alias</ability>
      <abilityName>也作/曾用词</abilityName>
      <candidateList>
        <item>其他</item>
      </candidateList>
      <explain>词汇[其它]为不规范表述或旧称，其规范书面表述为[其他]。</explain>
      <paraID>10DB3885</paraID>
      <start>141</start>
      <end>143</end>
      <status>unmodified</status>
      <modifiedWord/>
      <trackRevisions>false</trackRevisions>
    </reviewItem>
    <reviewItem>
      <errorID>92140c53-266f-4263-8112-04f08f484d59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7D4E207A</paraID>
      <start>11</start>
      <end>12</end>
      <status>unmodified</status>
      <modifiedWord/>
      <trackRevisions>false</trackRevisions>
    </reviewItem>
    <reviewItem>
      <errorID>792b7641-3bd6-47fb-babc-d59c91d22859</errorID>
      <errorWord>（</errorWord>
      <group>L1_Punc</group>
      <groupName>标点问题</groupName>
      <ability>L2_Punc</ability>
      <abilityName>标点符号检查</abilityName>
      <candidateList/>
      <explain>同一形式括号套用。</explain>
      <paraID>7D4E207A</paraID>
      <start>93</start>
      <end>94</end>
      <status>unmodified</status>
      <modifiedWord/>
      <trackRevisions>false</trackRevisions>
    </reviewItem>
    <reviewItem>
      <errorID>7e5a8c38-eb3a-4452-9004-7497c32224e2</errorID>
      <errorWord>）</errorWord>
      <group>L1_Punc</group>
      <groupName>标点问题</groupName>
      <ability>L2_Punc</ability>
      <abilityName>标点符号检查</abilityName>
      <candidateList/>
      <explain>同一形式括号套用。</explain>
      <paraID>7D4E207A</paraID>
      <start>97</start>
      <end>98</end>
      <status>unmodified</status>
      <modifiedWord/>
      <trackRevisions>false</trackRevisions>
    </reviewItem>
    <reviewItem>
      <errorID>cd56645a-d0f1-4268-ba3a-caab7faad221</errorID>
      <errorWord>（</errorWord>
      <group>L1_Punc</group>
      <groupName>标点问题</groupName>
      <ability>L2_Punc</ability>
      <abilityName>标点符号检查</abilityName>
      <candidateList/>
      <explain>同一形式括号套用。</explain>
      <paraID>628D7BCF</paraID>
      <start>78</start>
      <end>79</end>
      <status>unmodified</status>
      <modifiedWord/>
      <trackRevisions>false</trackRevisions>
    </reviewItem>
    <reviewItem>
      <errorID>95aacd8a-b2ab-469a-92cd-d09826ad56f1</errorID>
      <errorWord>）</errorWord>
      <group>L1_Punc</group>
      <groupName>标点问题</groupName>
      <ability>L2_Punc</ability>
      <abilityName>标点符号检查</abilityName>
      <candidateList/>
      <explain>同一形式括号套用。</explain>
      <paraID>628D7BCF</paraID>
      <start>80</start>
      <end>81</end>
      <status>unmodified</status>
      <modifiedWord/>
      <trackRevisions>false</trackRevisions>
    </reviewItem>
    <reviewItem>
      <errorID>c7e5e3fc-5546-42c2-b364-26e5816399f6</errorID>
      <errorWord>（</errorWord>
      <group>L1_Punc</group>
      <groupName>标点问题</groupName>
      <ability>L2_Punc</ability>
      <abilityName>标点符号检查</abilityName>
      <candidateList/>
      <explain>同一形式括号套用。</explain>
      <paraID>628D7BCF</paraID>
      <start>86</start>
      <end>87</end>
      <status>unmodified</status>
      <modifiedWord/>
      <trackRevisions>false</trackRevisions>
    </reviewItem>
    <reviewItem>
      <errorID>bde8b8d3-18cc-4df0-a976-b92f2a1f5ada</errorID>
      <errorWord>）</errorWord>
      <group>L1_Punc</group>
      <groupName>标点问题</groupName>
      <ability>L2_Punc</ability>
      <abilityName>标点符号检查</abilityName>
      <candidateList/>
      <explain>同一形式括号套用。</explain>
      <paraID>628D7BCF</paraID>
      <start>88</start>
      <end>89</end>
      <status>unmodified</status>
      <modifiedWord/>
      <trackRevisions>false</trackRevisions>
    </reviewItem>
    <reviewItem>
      <errorID>a210ffcd-bcd6-4af2-acd5-a5b7b42492a2</errorID>
      <errorWord>度</errorWord>
      <group>L1_Word</group>
      <groupName>字词问题</groupName>
      <ability>L2_Typo</ability>
      <abilityName>字词错误</abilityName>
      <candidateList>
        <item>度地</item>
      </candidateList>
      <explain/>
      <paraID>628D7BCF</paraID>
      <start>126</start>
      <end>127</end>
      <status>unmodified</status>
      <modifiedWord/>
      <trackRevisions>false</trackRevisions>
    </reviewItem>
    <reviewItem>
      <errorID>013146bd-6c1c-4b2b-b8be-de4a5fd421f2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377DE503</paraID>
      <start>56</start>
      <end>57</end>
      <status>unmodified</status>
      <modifiedWord/>
      <trackRevisions>false</trackRevisions>
    </reviewItem>
    <reviewItem>
      <errorID>9a9eec30-3ae4-45c1-ade2-fc9ca5b986bb</errorID>
      <errorWord>下角料</errorWord>
      <group>L1_Word</group>
      <groupName>字词问题</groupName>
      <ability>L2_Typo</ability>
      <abilityName>字词错误</abilityName>
      <candidateList>
        <item>下脚料</item>
      </candidateList>
      <explain/>
      <paraID>35C52D0D</paraID>
      <start>11</start>
      <end>14</end>
      <status>unmodified</status>
      <modifiedWord/>
      <trackRevisions>false</trackRevisions>
    </reviewItem>
    <reviewItem>
      <errorID>ac6c307a-2f62-4860-9d0f-a6dffdd2ad19</errorID>
      <errorWord>对于其它</errorWord>
      <group>L1_Word</group>
      <groupName>字词问题</groupName>
      <ability>L2_Alias</ability>
      <abilityName>也作/曾用词</abilityName>
      <candidateList>
        <item>对于其他</item>
      </candidateList>
      <explain>词汇[对于其它]为不规范表述或旧称，其规范书面表述为[对于其他]。</explain>
      <paraID>35C52D0D</paraID>
      <start>23</start>
      <end>27</end>
      <status>unmodified</status>
      <modifiedWord/>
      <trackRevisions>false</trackRevisions>
    </reviewItem>
    <reviewItem>
      <errorID>6cb5d924-a3ec-4317-b506-41dc9a81a7be</errorID>
      <errorWord>程</errorWord>
      <group>L1_Word</group>
      <groupName>字词问题</groupName>
      <ability>L2_Typo</ability>
      <abilityName>字词错误</abilityName>
      <candidateList>
        <item>程中</item>
      </candidateList>
      <explain/>
      <paraID>44F2E7F5</paraID>
      <start>3</start>
      <end>4</end>
      <status>unmodified</status>
      <modifiedWord/>
      <trackRevisions>false</trackRevisions>
    </reviewItem>
    <reviewItem>
      <errorID>a7224f1e-a73c-4e62-96c9-995fefb687fd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44F2E7F5</paraID>
      <start>55</start>
      <end>56</end>
      <status>unmodified</status>
      <modifiedWord/>
      <trackRevisions>false</trackRevisions>
    </reviewItem>
    <reviewItem>
      <errorID>8612b8eb-153d-473a-a313-44d0fdf8a01a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599668B5</paraID>
      <start>0</start>
      <end>2</end>
      <status>unmodified</status>
      <modifiedWord/>
      <trackRevisions>false</trackRevisions>
    </reviewItem>
    <reviewItem>
      <errorID>d91591a8-e739-4ccb-b3d0-87272d63b32d</errorID>
      <errorWord>土渣</errorWord>
      <group>L1_Word</group>
      <groupName>字词问题</groupName>
      <ability>L2_Typo</ability>
      <abilityName>字词错误</abilityName>
      <candidateList>
        <item>渣土</item>
      </candidateList>
      <explain/>
      <paraID>52838269</paraID>
      <start>63</start>
      <end>65</end>
      <status>unmodified</status>
      <modifiedWord/>
      <trackRevisions>false</trackRevisions>
    </reviewItem>
    <reviewItem>
      <errorID>ffcdede6-b316-495c-8296-584e75ff1537</errorID>
      <errorWord>-</errorWord>
      <group>L1_Format</group>
      <groupName>格式问题</groupName>
      <ability>L2_HalfPunc</ability>
      <abilityName>全半角检查</abilityName>
      <candidateList>
        <item>－</item>
      </candidateList>
      <explain>文本全半角错误。</explain>
      <paraID>66D26134</paraID>
      <start>86</start>
      <end>87</end>
      <status>unmodified</status>
      <modifiedWord/>
      <trackRevisions>false</trackRevisions>
    </reviewItem>
    <reviewItem>
      <errorID>54cbc15b-debf-45c7-a5b3-945046f88f23</errorID>
      <errorWord>土渣</errorWord>
      <group>L1_Word</group>
      <groupName>字词问题</groupName>
      <ability>L2_Typo</ability>
      <abilityName>字词错误</abilityName>
      <candidateList>
        <item>渣土</item>
      </candidateList>
      <explain/>
      <paraID>6C8D1341</paraID>
      <start>75</start>
      <end>77</end>
      <status>unmodified</status>
      <modifiedWord/>
      <trackRevisions>false</trackRevisions>
    </reviewItem>
    <reviewItem>
      <errorID>1af1679b-a187-41af-90c5-3c0571154451</errorID>
      <errorWord>场</errorWord>
      <group>L1_Word</group>
      <groupName>字词问题</groupName>
      <ability>L2_Typo</ability>
      <abilityName>字词错误</abilityName>
      <candidateList>
        <item>扬</item>
      </candidateList>
      <explain/>
      <paraID>48921705</paraID>
      <start>17</start>
      <end>18</end>
      <status>unmodified</status>
      <modifiedWord/>
      <trackRevisions>false</trackRevisions>
    </reviewItem>
    <reviewItem>
      <errorID>66e0cfb8-2b23-4e09-a257-81270b11ffde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4077FD65</paraID>
      <start>0</start>
      <end>2</end>
      <status>unmodified</status>
      <modifiedWord/>
      <trackRevisions>false</trackRevisions>
    </reviewItem>
    <reviewItem>
      <errorID>72cddb11-3154-4141-9ab2-7402e31cbb85</errorID>
      <errorWord>a/</errorWord>
      <group>L1_Format</group>
      <groupName>格式问题</groupName>
      <ability>L2_Ordinal</ability>
      <abilityName>序号格式</abilityName>
      <candidateList>
        <item>a.</item>
      </candidateList>
      <explain>当前序号格式不规范，建议修改为规范格式[a.]。</explain>
      <paraID>25BAD6A7</paraID>
      <start>0</start>
      <end>2</end>
      <status>unmodified</status>
      <modifiedWord/>
      <trackRevisions>false</trackRevisions>
    </reviewItem>
    <reviewItem>
      <errorID>569277fe-a1ed-4b5e-bf95-254c6af7a4b2</errorID>
      <errorWord>（</errorWord>
      <group>L1_Format</group>
      <groupName>格式问题</groupName>
      <ability>L2_HalfPunc</ability>
      <abilityName>全半角检查</abilityName>
      <candidateList>
        <item>(</item>
      </candidateList>
      <explain>文本全半角错误。</explain>
      <paraID>25BAD6A7</paraID>
      <start>3</start>
      <end>4</end>
      <status>unmodified</status>
      <modifiedWord/>
      <trackRevisions>false</trackRevisions>
    </reviewItem>
    <reviewItem>
      <errorID>155469ae-c2e5-4ed9-808d-da9a118a3699</errorID>
      <errorWord>）</errorWord>
      <group>L1_Format</group>
      <groupName>格式问题</groupName>
      <ability>L2_HalfPunc</ability>
      <abilityName>全半角检查</abilityName>
      <candidateList>
        <item>)</item>
      </candidateList>
      <explain>文本全半角错误。</explain>
      <paraID>25BAD6A7</paraID>
      <start>8</start>
      <end>9</end>
      <status>unmodified</status>
      <modifiedWord/>
      <trackRevisions>false</trackRevisions>
    </reviewItem>
    <reviewItem>
      <errorID>f45b24fe-0ac1-4511-9a1e-22257ac287b5</errorID>
      <errorWord>（</errorWord>
      <group>L1_Format</group>
      <groupName>格式问题</groupName>
      <ability>L2_HalfPunc</ability>
      <abilityName>全半角检查</abilityName>
      <candidateList>
        <item>(</item>
      </candidateList>
      <explain>文本全半角错误。</explain>
      <paraID>5325E95B</paraID>
      <start>1</start>
      <end>2</end>
      <status>unmodified</status>
      <modifiedWord/>
      <trackRevisions>false</trackRevisions>
    </reviewItem>
    <reviewItem>
      <errorID>75321b1c-a378-475a-8074-8b3bd3baf9f2</errorID>
      <errorWord>）</errorWord>
      <group>L1_Format</group>
      <groupName>格式问题</groupName>
      <ability>L2_HalfPunc</ability>
      <abilityName>全半角检查</abilityName>
      <candidateList>
        <item>)</item>
      </candidateList>
      <explain>文本全半角错误。</explain>
      <paraID>5325E95B</paraID>
      <start>4</start>
      <end>5</end>
      <status>unmodified</status>
      <modifiedWord/>
      <trackRevisions>false</trackRevisions>
    </reviewItem>
    <reviewItem>
      <errorID>336d03e9-4567-443d-8773-cff1c7c26144</errorID>
      <errorWord>（</errorWord>
      <group>L1_Format</group>
      <groupName>格式问题</groupName>
      <ability>L2_HalfPunc</ability>
      <abilityName>全半角检查</abilityName>
      <candidateList>
        <item>(</item>
      </candidateList>
      <explain>文本全半角错误。</explain>
      <paraID>2F3D7120</paraID>
      <start>1</start>
      <end>2</end>
      <status>unmodified</status>
      <modifiedWord/>
      <trackRevisions>false</trackRevisions>
    </reviewItem>
    <reviewItem>
      <errorID>7bdd9e54-2828-4555-91b2-6887d89ba874</errorID>
      <errorWord>）</errorWord>
      <group>L1_Format</group>
      <groupName>格式问题</groupName>
      <ability>L2_HalfPunc</ability>
      <abilityName>全半角检查</abilityName>
      <candidateList>
        <item>)</item>
      </candidateList>
      <explain>文本全半角错误。</explain>
      <paraID>2F3D7120</paraID>
      <start>5</start>
      <end>6</end>
      <status>unmodified</status>
      <modifiedWord/>
      <trackRevisions>false</trackRevisions>
    </reviewItem>
    <reviewItem>
      <errorID>f297bf7e-e37a-4e83-b47f-ba3cde73ac6f</errorID>
      <errorWord>程</errorWord>
      <group>L1_Word</group>
      <groupName>字词问题</groupName>
      <ability>L2_Typo</ability>
      <abilityName>字词错误</abilityName>
      <candidateList>
        <item>程中</item>
      </candidateList>
      <explain/>
      <paraID>7ED4BACA</paraID>
      <start>12</start>
      <end>13</end>
      <status>unmodified</status>
      <modifiedWord/>
      <trackRevisions>false</trackRevisions>
    </reviewItem>
    <reviewItem>
      <errorID>6db61796-4130-45b9-90dd-632061c9c1ed</errorID>
      <errorWord>程</errorWord>
      <group>L1_Word</group>
      <groupName>字词问题</groupName>
      <ability>L2_Typo</ability>
      <abilityName>字词错误</abilityName>
      <candidateList>
        <item>程中</item>
      </candidateList>
      <explain/>
      <paraID>5145429D</paraID>
      <start>8</start>
      <end>9</end>
      <status>unmodified</status>
      <modifiedWord/>
      <trackRevisions>false</trackRevisions>
    </reviewItem>
    <reviewItem>
      <errorID>15b10e62-5fbb-49f9-b1c5-54fbbdfcbfdf</errorID>
      <errorWord>（</errorWord>
      <group>L1_Format</group>
      <groupName>格式问题</groupName>
      <ability>L2_HalfPunc</ability>
      <abilityName>全半角检查</abilityName>
      <candidateList>
        <item>(</item>
      </candidateList>
      <explain>文本全半角错误。</explain>
      <paraID>7989D02C</paraID>
      <start>5</start>
      <end>6</end>
      <status>unmodified</status>
      <modifiedWord/>
      <trackRevisions>false</trackRevisions>
    </reviewItem>
    <reviewItem>
      <errorID>52af9966-9113-4de9-9742-f3756b1f5b15</errorID>
      <errorWord>）</errorWord>
      <group>L1_Format</group>
      <groupName>格式问题</groupName>
      <ability>L2_HalfPunc</ability>
      <abilityName>全半角检查</abilityName>
      <candidateList>
        <item>)</item>
      </candidateList>
      <explain>文本全半角错误。</explain>
      <paraID>7989D02C</paraID>
      <start>10</start>
      <end>11</end>
      <status>unmodified</status>
      <modifiedWord/>
      <trackRevisions>false</trackRevisions>
    </reviewItem>
    <reviewItem>
      <errorID>4de38fdb-9102-458e-8df8-30867f329d19</errorID>
      <errorWord>（</errorWord>
      <group>L1_Format</group>
      <groupName>格式问题</groupName>
      <ability>L2_HalfPunc</ability>
      <abilityName>全半角检查</abilityName>
      <candidateList>
        <item>(</item>
      </candidateList>
      <explain>文本全半角错误。</explain>
      <paraID>7989D02C</paraID>
      <start>12</start>
      <end>13</end>
      <status>unmodified</status>
      <modifiedWord/>
      <trackRevisions>false</trackRevisions>
    </reviewItem>
    <reviewItem>
      <errorID>0a581c03-8ba5-44dd-b8d9-95ad202956f6</errorID>
      <errorWord>）</errorWord>
      <group>L1_Format</group>
      <groupName>格式问题</groupName>
      <ability>L2_HalfPunc</ability>
      <abilityName>全半角检查</abilityName>
      <candidateList>
        <item>)</item>
      </candidateList>
      <explain>文本全半角错误。</explain>
      <paraID>7989D02C</paraID>
      <start>17</start>
      <end>18</end>
      <status>unmodified</status>
      <modifiedWord/>
      <trackRevisions>false</trackRevisions>
    </reviewItem>
    <reviewItem>
      <errorID>c04c624c-dcc9-418c-8853-c2b665046547</errorID>
      <errorWord>（</errorWord>
      <group>L1_Format</group>
      <groupName>格式问题</groupName>
      <ability>L2_HalfPunc</ability>
      <abilityName>全半角检查</abilityName>
      <candidateList>
        <item>(</item>
      </candidateList>
      <explain>文本全半角错误。</explain>
      <paraID>60A3454B</paraID>
      <start>1</start>
      <end>2</end>
      <status>unmodified</status>
      <modifiedWord/>
      <trackRevisions>false</trackRevisions>
    </reviewItem>
    <reviewItem>
      <errorID>5c9049af-1337-407a-9161-1340b07b8c00</errorID>
      <errorWord>）</errorWord>
      <group>L1_Format</group>
      <groupName>格式问题</groupName>
      <ability>L2_HalfPunc</ability>
      <abilityName>全半角检查</abilityName>
      <candidateList>
        <item>)</item>
      </candidateList>
      <explain>文本全半角错误。</explain>
      <paraID>60A3454B</paraID>
      <start>5</start>
      <end>6</end>
      <status>unmodified</status>
      <modifiedWord/>
      <trackRevisions>false</trackRevisions>
    </reviewItem>
    <reviewItem>
      <errorID>80b7a7ec-aeb3-46fc-a6f4-c937c5cd892a</errorID>
      <errorWord>（</errorWord>
      <group>L1_Format</group>
      <groupName>格式问题</groupName>
      <ability>L2_HalfPunc</ability>
      <abilityName>全半角检查</abilityName>
      <candidateList>
        <item>(</item>
      </candidateList>
      <explain>文本全半角错误。</explain>
      <paraID>4ADA6A2A</paraID>
      <start>2</start>
      <end>3</end>
      <status>unmodified</status>
      <modifiedWord/>
      <trackRevisions>false</trackRevisions>
    </reviewItem>
    <reviewItem>
      <errorID>7f4188d4-a398-4521-902e-663bee877c99</errorID>
      <errorWord>）</errorWord>
      <group>L1_Format</group>
      <groupName>格式问题</groupName>
      <ability>L2_HalfPunc</ability>
      <abilityName>全半角检查</abilityName>
      <candidateList>
        <item>)</item>
      </candidateList>
      <explain>文本全半角错误。</explain>
      <paraID>4ADA6A2A</paraID>
      <start>4</start>
      <end>5</end>
      <status>unmodified</status>
      <modifiedWord/>
      <trackRevisions>false</trackRevisions>
    </reviewItem>
    <reviewItem>
      <errorID>32351dcf-37b3-4287-aa4a-b9e9b48de216</errorID>
      <errorWord>（</errorWord>
      <group>L1_Format</group>
      <groupName>格式问题</groupName>
      <ability>L2_HalfPunc</ability>
      <abilityName>全半角检查</abilityName>
      <candidateList>
        <item>(</item>
      </candidateList>
      <explain>文本全半角错误。</explain>
      <paraID>40602D57</paraID>
      <start>2</start>
      <end>3</end>
      <status>unmodified</status>
      <modifiedWord/>
      <trackRevisions>false</trackRevisions>
    </reviewItem>
    <reviewItem>
      <errorID>40032ac9-b412-470b-a5d3-8b099f7c06d8</errorID>
      <errorWord>）</errorWord>
      <group>L1_Format</group>
      <groupName>格式问题</groupName>
      <ability>L2_HalfPunc</ability>
      <abilityName>全半角检查</abilityName>
      <candidateList>
        <item>)</item>
      </candidateList>
      <explain>文本全半角错误。</explain>
      <paraID>40602D57</paraID>
      <start>4</start>
      <end>5</end>
      <status>unmodified</status>
      <modifiedWord/>
      <trackRevisions>false</trackRevisions>
    </reviewItem>
    <reviewItem>
      <errorID>e50e2c5f-31e5-4862-b4b3-80ad3603eac6</errorID>
      <errorWord>（</errorWord>
      <group>L1_Format</group>
      <groupName>格式问题</groupName>
      <ability>L2_HalfPunc</ability>
      <abilityName>全半角检查</abilityName>
      <candidateList>
        <item>(</item>
      </candidateList>
      <explain>文本全半角错误。</explain>
      <paraID>1275AD8C</paraID>
      <start>2</start>
      <end>3</end>
      <status>unmodified</status>
      <modifiedWord/>
      <trackRevisions>false</trackRevisions>
    </reviewItem>
    <reviewItem>
      <errorID>2c90798e-2eca-41b0-bd2c-ab65774639f6</errorID>
      <errorWord>）</errorWord>
      <group>L1_Format</group>
      <groupName>格式问题</groupName>
      <ability>L2_HalfPunc</ability>
      <abilityName>全半角检查</abilityName>
      <candidateList>
        <item>)</item>
      </candidateList>
      <explain>文本全半角错误。</explain>
      <paraID>1275AD8C</paraID>
      <start>6</start>
      <end>7</end>
      <status>unmodified</status>
      <modifiedWord/>
      <trackRevisions>false</trackRevisions>
    </reviewItem>
    <reviewItem>
      <errorID>1e71f0de-64e7-4223-a0c5-8c4d5e3ff2e7</errorID>
      <errorWord>程</errorWord>
      <group>L1_Word</group>
      <groupName>字词问题</groupName>
      <ability>L2_Typo</ability>
      <abilityName>字词错误</abilityName>
      <candidateList>
        <item>程中</item>
      </candidateList>
      <explain/>
      <paraID>4DB44C0E</paraID>
      <start>12</start>
      <end>13</end>
      <status>unmodified</status>
      <modifiedWord/>
      <trackRevisions>false</trackRevisions>
    </reviewItem>
    <reviewItem>
      <errorID>290f8a8d-05f7-4ef6-bf43-dfed27630c7d</errorID>
      <errorWord>程</errorWord>
      <group>L1_Word</group>
      <groupName>字词问题</groupName>
      <ability>L2_Typo</ability>
      <abilityName>字词错误</abilityName>
      <candidateList>
        <item>程中</item>
      </candidateList>
      <explain/>
      <paraID>3460CC7D</paraID>
      <start>8</start>
      <end>9</end>
      <status>unmodified</status>
      <modifiedWord/>
      <trackRevisions>false</trackRevisions>
    </reviewItem>
    <reviewItem>
      <errorID>05d7085d-afb6-49ab-bad4-15ce1dad92bd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2DC8A0D1</paraID>
      <start>198</start>
      <end>199</end>
      <status>unmodified</status>
      <modifiedWord/>
      <trackRevisions>false</trackRevisions>
    </reviewItem>
    <reviewItem>
      <errorID>e41d5a1f-1028-4065-a913-831c06e47b63</errorID>
      <errorWord>根据根据</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223F9A32</paraID>
      <start>35</start>
      <end>39</end>
      <status>unmodified</status>
      <modifiedWord/>
      <trackRevisions>false</trackRevisions>
    </reviewItem>
    <reviewItem>
      <errorID>6ae30faf-abe1-476c-826e-eacf75d728b1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22</start>
      <end>23</end>
      <status>unmodified</status>
      <modifiedWord/>
      <trackRevisions>false</trackRevisions>
    </reviewItem>
    <reviewItem>
      <errorID>dcde3509-eb39-43e0-b138-3b5e49183cd0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38</start>
      <end>39</end>
      <status>unmodified</status>
      <modifiedWord/>
      <trackRevisions>false</trackRevisions>
    </reviewItem>
    <reviewItem>
      <errorID>2a665c00-2eba-4c80-a767-724f7db7c158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54</start>
      <end>55</end>
      <status>unmodified</status>
      <modifiedWord/>
      <trackRevisions>false</trackRevisions>
    </reviewItem>
    <reviewItem>
      <errorID>516753af-899a-4a2b-ae59-75daf2f09782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69</start>
      <end>70</end>
      <status>unmodified</status>
      <modifiedWord/>
      <trackRevisions>false</trackRevisions>
    </reviewItem>
    <reviewItem>
      <errorID>2d5e63ac-2654-4707-9e74-3dca85f5fd28</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C7FACFC</paraID>
      <start>43</start>
      <end>50</end>
      <status>unmodified</status>
      <modifiedWord/>
      <trackRevisions>false</trackRevisions>
    </reviewItem>
    <reviewItem>
      <errorID>0927e3c8-521a-4fba-8024-9687bb10d569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2914CD9C</paraID>
      <start>0</start>
      <end>2</end>
      <status>unmodified</status>
      <modifiedWord/>
      <trackRevisions>false</trackRevisions>
    </reviewItem>
    <reviewItem>
      <errorID>bebb3a87-ce74-4c5a-85b9-ed72f7e19b34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797DA415</paraID>
      <start>0</start>
      <end>2</end>
      <status>unmodified</status>
      <modifiedWord/>
      <trackRevisions>false</trackRevisions>
    </reviewItem>
    <reviewItem>
      <errorID>6a5dd08c-6aee-417d-bc44-6975d5f555eb</errorID>
      <errorWord>维护结构</errorWord>
      <group>L1_Word</group>
      <groupName>字词问题</groupName>
      <ability>L2_Typo</ability>
      <abilityName>字词错误</abilityName>
      <candidateList>
        <item>围护结构</item>
      </candidateList>
      <explain>存在发音相同字词的误用。</explain>
      <paraID> A02F937</paraID>
      <start>98</start>
      <end>102</end>
      <status>unmodified</status>
      <modifiedWord/>
      <trackRevisions>false</trackRevisions>
    </reviewItem>
    <reviewItem>
      <errorID>5602e8c5-bd59-40b3-8954-597f14398312</errorID>
      <errorWord>II</errorWord>
      <group>L1_Knowledge</group>
      <groupName>知识性问题</groupName>
      <ability>L2_Knowledge</ability>
      <abilityName>其他知识</abilityName>
      <candidateList>
        <item>Ⅱ</item>
      </candidateList>
      <explain/>
      <paraID>3093823C</paraID>
      <start>31</start>
      <end>33</end>
      <status>unmodified</status>
      <modifiedWord/>
      <trackRevisions>false</trackRevisions>
    </reviewItem>
    <reviewItem>
      <errorID>96b2e9f7-2565-4127-80b2-644a32716d94</errorID>
      <errorWord>、</errorWord>
      <group>L1_Punc</group>
      <groupName>标点问题</groupName>
      <ability>L2_Punc</ability>
      <abilityName>标点符号检查</abilityName>
      <candidateList>
        <item>.</item>
      </candidateList>
      <explain/>
      <paraID>493A7C81</paraID>
      <start>32</start>
      <end>33</end>
      <status>unmodified</status>
      <modifiedWord/>
      <trackRevisions>false</trackRevisions>
    </reviewItem>
    <reviewItem>
      <errorID>723d15c8-076b-44d5-b3e7-a3b432480256</errorID>
      <errorWord>II</errorWord>
      <group>L1_Knowledge</group>
      <groupName>知识性问题</groupName>
      <ability>L2_Knowledge</ability>
      <abilityName>其他知识</abilityName>
      <candidateList>
        <item>Ⅱ</item>
      </candidateList>
      <explain/>
      <paraID>70A5465A</paraID>
      <start>31</start>
      <end>33</end>
      <status>unmodified</status>
      <modifiedWord/>
      <trackRevisions>false</trackRevisions>
    </reviewItem>
    <reviewItem>
      <errorID>dd105e63-ff14-4b3a-bfcb-aea089fc5624</errorID>
      <errorWord>III</errorWord>
      <group>L1_Knowledge</group>
      <groupName>知识性问题</groupName>
      <ability>L2_Knowledge</ability>
      <abilityName>其他知识</abilityName>
      <candidateList>
        <item>Ⅲ</item>
      </candidateList>
      <explain/>
      <paraID>2DA58082</paraID>
      <start>31</start>
      <end>34</end>
      <status>unmodified</status>
      <modifiedWord/>
      <trackRevisions>false</trackRevisions>
    </reviewItem>
    <reviewItem>
      <errorID>08167393-33f4-451b-8930-c557b82b9cd7</errorID>
      <errorWord>IV</errorWord>
      <group>L1_Knowledge</group>
      <groupName>知识性问题</groupName>
      <ability>L2_Knowledge</ability>
      <abilityName>其他知识</abilityName>
      <candidateList>
        <item>Ⅳ</item>
      </candidateList>
      <explain/>
      <paraID>13E8F869</paraID>
      <start>31</start>
      <end>33</end>
      <status>unmodified</status>
      <modifiedWord/>
      <trackRevisions>false</trackRevisions>
    </reviewItem>
    <reviewItem>
      <errorID>f09b81e7-65be-498b-b88c-eddcd92bde51</errorID>
      <errorWord>到</errorWord>
      <group>L1_Word</group>
      <groupName>字词问题</groupName>
      <ability>L2_Typo</ability>
      <abilityName>字词错误</abilityName>
      <candidateList>
        <item>对</item>
      </candidateList>
      <explain>存在字形相近字词的误用。</explain>
      <paraID>6497309D</paraID>
      <start>119</start>
      <end>120</end>
      <status>unmodified</status>
      <modifiedWord/>
      <trackRevisions>false</trackRevisions>
    </reviewItem>
    <reviewItem>
      <errorID>dd6d253d-d1f9-4ea2-be7e-a94645e9dd35</errorID>
      <errorWord>（</errorWord>
      <group>L1_Format</group>
      <groupName>格式问题</groupName>
      <ability>L2_HalfPunc</ability>
      <abilityName>全半角检查</abilityName>
      <candidateList>
        <item>(</item>
      </candidateList>
      <explain>文本全半角错误。</explain>
      <paraID>78379407</paraID>
      <start>2</start>
      <end>3</end>
      <status>unmodified</status>
      <modifiedWord/>
      <trackRevisions>false</trackRevisions>
    </reviewItem>
    <reviewItem>
      <errorID>a8a59b81-f8cf-4c12-9a8a-2372c5c395c6</errorID>
      <errorWord>）</errorWord>
      <group>L1_Format</group>
      <groupName>格式问题</groupName>
      <ability>L2_HalfPunc</ability>
      <abilityName>全半角检查</abilityName>
      <candidateList>
        <item>)</item>
      </candidateList>
      <explain>文本全半角错误。</explain>
      <paraID>78379407</paraID>
      <start>4</start>
      <end>5</end>
      <status>unmodified</status>
      <modifiedWord/>
      <trackRevisions>false</trackRevisions>
    </reviewItem>
    <reviewItem>
      <errorID>ec27cef0-29dc-46ed-a5a7-1831d5cd38ba</errorID>
      <errorWord>（</errorWord>
      <group>L1_Format</group>
      <groupName>格式问题</groupName>
      <ability>L2_HalfPunc</ability>
      <abilityName>全半角检查</abilityName>
      <candidateList>
        <item>(</item>
      </candidateList>
      <explain>文本全半角错误。</explain>
      <paraID>6A2328E9</paraID>
      <start>2</start>
      <end>3</end>
      <status>unmodified</status>
      <modifiedWord/>
      <trackRevisions>false</trackRevisions>
    </reviewItem>
    <reviewItem>
      <errorID>83a44cec-ebe3-4b3d-8721-887e65438298</errorID>
      <errorWord>）</errorWord>
      <group>L1_Format</group>
      <groupName>格式问题</groupName>
      <ability>L2_HalfPunc</ability>
      <abilityName>全半角检查</abilityName>
      <candidateList>
        <item>)</item>
      </candidateList>
      <explain>文本全半角错误。</explain>
      <paraID>6A2328E9</paraID>
      <start>4</start>
      <end>5</end>
      <status>unmodified</status>
      <modifiedWord/>
      <trackRevisions>false</trackRevisions>
    </reviewItem>
    <reviewItem>
      <errorID>95a8b203-b876-483e-8f1a-ab723f4eeb5f</errorID>
      <errorWord>（</errorWord>
      <group>L1_Format</group>
      <groupName>格式问题</groupName>
      <ability>L2_HalfPunc</ability>
      <abilityName>全半角检查</abilityName>
      <candidateList>
        <item>(</item>
      </candidateList>
      <explain>文本全半角错误。</explain>
      <paraID> 8C07626</paraID>
      <start>2</start>
      <end>3</end>
      <status>unmodified</status>
      <modifiedWord/>
      <trackRevisions>false</trackRevisions>
    </reviewItem>
    <reviewItem>
      <errorID>c07bbc8a-ae7b-4e41-b931-7bac94e50d77</errorID>
      <errorWord>）</errorWord>
      <group>L1_Format</group>
      <groupName>格式问题</groupName>
      <ability>L2_HalfPunc</ability>
      <abilityName>全半角检查</abilityName>
      <candidateList>
        <item>)</item>
      </candidateList>
      <explain>文本全半角错误。</explain>
      <paraID> 8C07626</paraID>
      <start>4</start>
      <end>5</end>
      <status>unmodified</status>
      <modifiedWord/>
      <trackRevisions>false</trackRevisions>
    </reviewItem>
    <reviewItem>
      <errorID>af727cca-2e72-4d99-9764-a89986f2b977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5372D3F5</paraID>
      <start>0</start>
      <end>2</end>
      <status>unmodified</status>
      <modifiedWord/>
      <trackRevisions>false</trackRevisions>
    </reviewItem>
    <reviewItem>
      <errorID>a35c5303-84d3-435f-8626-0c8fb306c9ec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3A1B9BF4</paraID>
      <start>0</start>
      <end>2</end>
      <status>unmodified</status>
      <modifiedWord/>
      <trackRevisions>false</trackRevisions>
    </reviewItem>
    <reviewItem>
      <errorID>333e0b72-5832-4f0e-9d6f-8a314da97a90</errorID>
      <errorWord>作</errorWord>
      <group>L1_Word</group>
      <groupName>字词问题</groupName>
      <ability>L2_Typo</ability>
      <abilityName>字词错误</abilityName>
      <candidateList>
        <item>做</item>
      </candidateList>
      <explain>存在发音相同字词的误用。</explain>
      <paraID>4E67CD02</paraID>
      <start>10</start>
      <end>11</end>
      <status>unmodified</status>
      <modifiedWord/>
      <trackRevisions>false</trackRevisions>
    </reviewItem>
    <reviewItem>
      <errorID>d5a279e5-0af3-42f5-ba96-6b1b78929113</errorID>
      <errorWord>面</errorWord>
      <group>L1_Word</group>
      <groupName>字词问题</groupName>
      <ability>L2_Typo</ability>
      <abilityName>字词错误</abilityName>
      <candidateList>
        <item>面积</item>
      </candidateList>
      <explain>〈名〉平面或物体表面的大小：土地～｜建筑～。</explain>
      <paraID>54CA87DE</paraID>
      <start>63</start>
      <end>64</end>
      <status>unmodified</status>
      <modifiedWord/>
      <trackRevisions>false</trackRevisions>
    </reviewItem>
    <reviewItem>
      <errorID>e1ef7c38-f128-48b3-973f-d70f27c48783</errorID>
      <errorWord>，</errorWord>
      <group>L1_Format</group>
      <groupName>格式问题</groupName>
      <ability>L2_HalfPunc</ability>
      <abilityName>全半角检查</abilityName>
      <candidateList>
        <item>, </item>
      </candidateList>
      <explain>文本全半角错误。</explain>
      <paraID>4E6AFFCD</paraID>
      <start>1</start>
      <end>2</end>
      <status>unmodified</status>
      <modifiedWord/>
      <trackRevisions>false</trackRevisions>
    </reviewItem>
    <reviewItem>
      <errorID>ef0ca143-ef5b-4958-9846-b319d29904a2</errorID>
      <errorWord>，</errorWord>
      <group>L1_Format</group>
      <groupName>格式问题</groupName>
      <ability>L2_HalfPunc</ability>
      <abilityName>全半角检查</abilityName>
      <candidateList>
        <item>, </item>
      </candidateList>
      <explain>文本全半角错误。</explain>
      <paraID>2C26BFF1</paraID>
      <start>1</start>
      <end>2</end>
      <status>unmodified</status>
      <modifiedWord/>
      <trackRevisions>false</trackRevisions>
    </reviewItem>
    <reviewItem>
      <errorID>909f7dcb-5f42-4f3a-bc21-8e06a210e564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42E28750</paraID>
      <start>125</start>
      <end>126</end>
      <status>unmodified</status>
      <modifiedWord/>
      <trackRevisions>false</trackRevisions>
    </reviewItem>
    <reviewItem>
      <errorID>c9af34a5-763d-416b-a452-b718e99a5e28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42E28750</paraID>
      <start>164</start>
      <end>165</end>
      <status>unmodified</status>
      <modifiedWord/>
      <trackRevisions>false</trackRevisions>
    </reviewItem>
    <reviewItem>
      <errorID>ac1599a7-81a3-40a5-b7df-dabe1986eb42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1F9CA684</paraID>
      <start>50</start>
      <end>51</end>
      <status>unmodified</status>
      <modifiedWord/>
      <trackRevisions>false</trackRevisions>
    </reviewItem>
    <reviewItem>
      <errorID>a503184c-faef-4529-92e1-1ab8ac846960</errorID>
      <errorWord>、</errorWord>
      <group>L1_Punc</group>
      <groupName>标点问题</groupName>
      <ability>L2_Punc</ability>
      <abilityName>标点符号检查</abilityName>
      <candidateList>
        <item>.</item>
      </candidateList>
      <explain/>
      <paraID>7D78A4E3</paraID>
      <start>1</start>
      <end>2</end>
      <status>unmodified</status>
      <modifiedWord/>
      <trackRevisions>false</trackRevisions>
    </reviewItem>
    <reviewItem>
      <errorID>8bf26ee7-3b27-4ed7-a33f-eadbb0312103</errorID>
      <errorWord>、</errorWord>
      <group>L1_Punc</group>
      <groupName>标点问题</groupName>
      <ability>L2_Punc</ability>
      <abilityName>标点符号检查</abilityName>
      <candidateList>
        <item>.</item>
      </candidateList>
      <explain/>
      <paraID>238E7ED8</paraID>
      <start>1</start>
      <end>2</end>
      <status>unmodified</status>
      <modifiedWord/>
      <trackRevisions>false</trackRevisions>
    </reviewItem>
    <reviewItem>
      <errorID>7f71d32e-49f8-40f7-8931-a2fee90814e6</errorID>
      <errorWord>、</errorWord>
      <group>L1_Punc</group>
      <groupName>标点问题</groupName>
      <ability>L2_Punc</ability>
      <abilityName>标点符号检查</abilityName>
      <candidateList>
        <item>.</item>
      </candidateList>
      <explain/>
      <paraID>124DC811</paraID>
      <start>1</start>
      <end>2</end>
      <status>unmodified</status>
      <modifiedWord/>
      <trackRevisions>false</trackRevisions>
    </reviewItem>
    <reviewItem>
      <errorID>cb2d2b6c-6b89-453f-97c4-7f378ebdc073</errorID>
      <errorWord>需</errorWord>
      <group>L1_Word</group>
      <groupName>字词问题</groupName>
      <ability>L2_Typo</ability>
      <abilityName>字词错误</abilityName>
      <candidateList>
        <item>须</item>
      </candidateList>
      <explain>存在发音相同字词的误用。</explain>
      <paraID>1FFB01D0</paraID>
      <start>4</start>
      <end>5</end>
      <status>unmodified</status>
      <modifiedWord/>
      <trackRevisions>false</trackRevisions>
    </reviewItem>
    <reviewItem>
      <errorID>8414dead-9310-43c8-b8aa-a06b036fe790</errorID>
      <errorWord>、</errorWord>
      <group>L1_Punc</group>
      <groupName>标点问题</groupName>
      <ability>L2_Punc</ability>
      <abilityName>标点符号检查</abilityName>
      <candidateList>
        <item>.</item>
      </candidateList>
      <explain/>
      <paraID> 654CF29</paraID>
      <start>1</start>
      <end>2</end>
      <status>unmodified</status>
      <modifiedWord/>
      <trackRevisions>false</trackRevisions>
    </reviewItem>
    <reviewItem>
      <errorID>09320786-6338-4eb2-8812-e9fcea60ba35</errorID>
      <errorWord>栓挂</errorWord>
      <group>L1_Word</group>
      <groupName>字词问题</groupName>
      <ability>L2_Typo</ability>
      <abilityName>字词错误</abilityName>
      <candidateList>
        <item>拴挂</item>
      </candidateList>
      <explain/>
      <paraID>1B79F95B</paraID>
      <start>209</start>
      <end>211</end>
      <status>unmodified</status>
      <modifiedWord/>
      <trackRevisions>false</trackRevisions>
    </reviewItem>
    <reviewItem>
      <errorID>a84d5e33-d33f-4617-acbc-e3f98fd73f2e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6AFC5AE8</paraID>
      <start>0</start>
      <end>2</end>
      <status>unmodified</status>
      <modifiedWord/>
      <trackRevisions>false</trackRevisions>
    </reviewItem>
    <reviewItem>
      <errorID>17792196-440c-4b7d-98d1-9b552a9846df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1F88BF9B</paraID>
      <start>0</start>
      <end>2</end>
      <status>unmodified</status>
      <modifiedWord/>
      <trackRevisions>false</trackRevisions>
    </reviewItem>
    <reviewItem>
      <errorID>c208fa3b-cc49-40ef-9ca2-6cb113939409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627BC8EB</paraID>
      <start>0</start>
      <end>2</end>
      <status>unmodified</status>
      <modifiedWord/>
      <trackRevisions>false</trackRevisions>
    </reviewItem>
    <reviewItem>
      <errorID>4d1b4918-303c-4e77-a9d8-8bf2424bdb83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25C3B4D4</paraID>
      <start>0</start>
      <end>2</end>
      <status>unmodified</status>
      <modifiedWord/>
      <trackRevisions>false</trackRevisions>
    </reviewItem>
    <reviewItem>
      <errorID>1d59770c-6f91-40f4-b6b4-e534f858e09c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2AC3A94B</paraID>
      <start>0</start>
      <end>2</end>
      <status>unmodified</status>
      <modifiedWord/>
      <trackRevisions>false</trackRevisions>
    </reviewItem>
    <reviewItem>
      <errorID>6552896e-33fe-4f67-86d0-42125518a8d5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76D5005D</paraID>
      <start>0</start>
      <end>2</end>
      <status>unmodified</status>
      <modifiedWord/>
      <trackRevisions>false</trackRevisions>
    </reviewItem>
    <reviewItem>
      <errorID>edbb0591-8f60-4cf0-8a56-8c9e47119213</errorID>
      <errorWord>强</errorWord>
      <group>L1_Word</group>
      <groupName>字词问题</groupName>
      <ability>L2_Typo</ability>
      <abilityName>字词错误</abilityName>
      <candidateList>
        <item>强对</item>
      </candidateList>
      <explain/>
      <paraID>4C3CA8A9</paraID>
      <start>1</start>
      <end>2</end>
      <status>unmodified</status>
      <modifiedWord/>
      <trackRevisions>false</trackRevisions>
    </reviewItem>
    <reviewItem>
      <errorID>25cb820b-dfcb-45e5-9166-80f972ee0fcc</errorID>
      <errorWord>、</errorWord>
      <group>L1_Punc</group>
      <groupName>标点问题</groupName>
      <ability>L2_Punc</ability>
      <abilityName>标点符号检查</abilityName>
      <candidateList>
        <item>.</item>
      </candidateList>
      <explain/>
      <paraID>59E151AC</paraID>
      <start>1</start>
      <end>2</end>
      <status>unmodified</status>
      <modifiedWord/>
      <trackRevisions>false</trackRevisions>
    </reviewItem>
    <reviewItem>
      <errorID>03634a2f-1f58-420f-8686-90d9b13b4e7e</errorID>
      <errorWord>、</errorWord>
      <group>L1_Punc</group>
      <groupName>标点问题</groupName>
      <ability>L2_Punc</ability>
      <abilityName>标点符号检查</abilityName>
      <candidateList>
        <item>.</item>
      </candidateList>
      <explain/>
      <paraID> 9C01E15</paraID>
      <start>1</start>
      <end>2</end>
      <status>unmodified</status>
      <modifiedWord/>
      <trackRevisions>false</trackRevisions>
    </reviewItem>
    <reviewItem>
      <errorID>2c241c33-a717-4aea-8c81-48fa2864b1e8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2966D64D</paraID>
      <start>0</start>
      <end>2</end>
      <status>unmodified</status>
      <modifiedWord/>
      <trackRevisions>false</trackRevisions>
    </reviewItem>
    <reviewItem>
      <errorID>b23bb93a-f3ff-40c1-85dc-6f6a74855294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1FDCA1BD</paraID>
      <start>0</start>
      <end>2</end>
      <status>unmodified</status>
      <modifiedWord/>
      <trackRevisions>false</trackRevisions>
    </reviewItem>
    <reviewItem>
      <errorID>49f0ef5e-644d-4691-b833-eb98b6063a1d</errorID>
      <errorWord>在于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39098F07</paraID>
      <start>342</start>
      <end>344</end>
      <status>unmodified</status>
      <modifiedWord/>
      <trackRevisions>false</trackRevisions>
    </reviewItem>
    <reviewItem>
      <errorID>f4b22067-cabf-4fc7-a860-c7f3ebc4400e</errorID>
      <errorWord>，...，</errorWord>
      <group>L1_Punc</group>
      <groupName>标点问题</groupName>
      <ability>L2_Punc</ability>
      <abilityName>标点符号检查</abilityName>
      <candidateList>
        <item>，</item>
      </candidateList>
      <explain/>
      <paraID>69046FA2</paraID>
      <start>8</start>
      <end>13</end>
      <status>unmodified</status>
      <modifiedWord/>
      <trackRevisions>false</trackRevisions>
    </reviewItem>
    <reviewItem>
      <errorID>51d22054-da38-4b4f-a955-d807f16dff83</errorID>
      <errorWord>，...，</errorWord>
      <group>L1_Punc</group>
      <groupName>标点问题</groupName>
      <ability>L2_Punc</ability>
      <abilityName>标点符号检查</abilityName>
      <candidateList>
        <item>，</item>
      </candidateList>
      <explain/>
      <paraID>792EC142</paraID>
      <start>5</start>
      <end>10</end>
      <status>unmodified</status>
      <modifiedWord/>
      <trackRevisions>false</trackRevisions>
    </reviewItem>
    <reviewItem>
      <errorID>2edb6859-8314-49b6-bfb3-6125037061f1</errorID>
      <errorWord>粘稠</errorWord>
      <group>L1_Word</group>
      <groupName>字词问题</groupName>
      <ability>L2_Typo</ability>
      <abilityName>字词错误</abilityName>
      <candidateList>
        <item>黏稠</item>
      </candidateList>
      <explain>存在发音相同字词的误用。</explain>
      <paraID>78AAC7F0</paraID>
      <start>3</start>
      <end>5</end>
      <status>unmodified</status>
      <modifiedWord/>
      <trackRevisions>false</trackRevisions>
    </reviewItem>
    <reviewItem>
      <errorID>e6e0825a-f5e4-4755-84c2-f08094d48a2e</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4DD53B93</paraID>
      <start>70</start>
      <end>73</end>
      <status>unmodified</status>
      <modifiedWord/>
      <trackRevisions>false</trackRevisions>
    </reviewItem>
    <reviewItem>
      <errorID>5303dd15-8c1a-4ec8-b2f4-842d0b1c6054</errorID>
      <errorWord>小于在</errorWord>
      <group>L1_Word</group>
      <groupName>字词问题</groupName>
      <ability>L2_Typo</ability>
      <abilityName>字词错误</abilityName>
      <candidateList>
        <item>小于</item>
      </candidateList>
      <explain/>
      <paraID>1FD0CB13</paraID>
      <start>28</start>
      <end>31</end>
      <status>unmodified</status>
      <modifiedWord/>
      <trackRevisions>false</trackRevisions>
    </reviewItem>
    <reviewItem>
      <errorID>59707a4c-288a-4d0a-828a-bafb13ef398d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30659E34</paraID>
      <start>47</start>
      <end>48</end>
      <status>unmodified</status>
      <modifiedWord/>
      <trackRevisions>false</trackRevisions>
    </reviewItem>
    <reviewItem>
      <errorID>637666c2-3999-4421-b7f4-25c438913174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6D9EE50E</paraID>
      <start>0</start>
      <end>2</end>
      <status>unmodified</status>
      <modifiedWord/>
      <trackRevisions>false</trackRevisions>
    </reviewItem>
    <reviewItem>
      <errorID>2edfd149-b511-42a1-b556-0748ddefa996</errorID>
      <errorWord>腹水</errorWord>
      <group>L1_Word</group>
      <groupName>字词问题</groupName>
      <ability>L2_Typo</ability>
      <abilityName>字词错误</abilityName>
      <candidateList>
        <item>废水</item>
      </candidateList>
      <explain>存在字形相近字词的误用。</explain>
      <paraID>695E84E2</paraID>
      <start>2</start>
      <end>4</end>
      <status>unmodified</status>
      <modifiedWord/>
      <trackRevisions>false</trackRevisions>
    </reviewItem>
    <reviewItem>
      <errorID>f7df690d-0d95-45da-9d4a-5a08f1eb1bb8</errorID>
      <errorWord>强</errorWord>
      <group>L1_Word</group>
      <groupName>字词问题</groupName>
      <ability>L2_Typo</ability>
      <abilityName>字词错误</abilityName>
      <candidateList>
        <item>强对</item>
      </candidateList>
      <explain/>
      <paraID>3C247D29</paraID>
      <start>1</start>
      <end>2</end>
      <status>unmodified</status>
      <modifiedWord/>
      <trackRevisions>false</trackRevisions>
    </reviewItem>
    <reviewItem>
      <errorID>b6f91cc3-8e6a-472d-849d-d41e72a8a785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4BB2AC56</paraID>
      <start>47</start>
      <end>48</end>
      <status>unmodified</status>
      <modifiedWord/>
      <trackRevisions>false</trackRevisions>
    </reviewItem>
    <reviewItem>
      <errorID>44b746b4-70be-45e7-975b-d6a5e197013b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23070DAB</paraID>
      <start>0</start>
      <end>2</end>
      <status>unmodified</status>
      <modifiedWord/>
      <trackRevisions>false</trackRevisions>
    </reviewItem>
    <reviewItem>
      <errorID>e41770fe-22aa-4c7c-a03e-1bd65f3f81b0</errorID>
      <errorWord>的本</errorWord>
      <group>L1_Word</group>
      <groupName>字词问题</groupName>
      <ability>L2_Typo</ability>
      <abilityName>字词错误</abilityName>
      <candidateList>
        <item>的</item>
      </candidateList>
      <explain>“的”常用于连接修饰语与名词性中心语，表示属性、所属或描述。</explain>
      <paraID>69BB1E71</paraID>
      <start>6</start>
      <end>8</end>
      <status>unmodified</status>
      <modifiedWord/>
      <trackRevisions>false</trackRevisions>
    </reviewItem>
    <reviewItem>
      <errorID>6a1c580b-e46e-4f35-9cb8-bda4bcd95163</errorID>
      <errorWord>提高</errorWord>
      <group>L1_Grammar</group>
      <groupName>语法问题</groupName>
      <ability>L2_Grammar</ability>
      <abilityName>语法错误</abilityName>
      <candidateList>
        <item>增强</item>
      </candidateList>
      <explain>“提高～意识”搭配不当，建议修改为“增强～意识”。</explain>
      <paraID>7F8213C7</paraID>
      <start>14</start>
      <end>16</end>
      <status>unmodified</status>
      <modifiedWord/>
      <trackRevisions>false</trackRevisions>
    </reviewItem>
    <reviewItem>
      <errorID>80fc23b4-1940-4369-af79-72b34394dfcb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4D977458</paraID>
      <start>0</start>
      <end>2</end>
      <status>unmodified</status>
      <modifiedWord/>
      <trackRevisions>false</trackRevisions>
    </reviewItem>
    <reviewItem>
      <errorID>b1eb2367-d0e4-40c7-a17f-eaf53db37ab5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29641E2</paraID>
      <start>0</start>
      <end>2</end>
      <status>unmodified</status>
      <modifiedWord/>
      <trackRevisions>false</trackRevisions>
    </reviewItem>
    <reviewItem>
      <errorID>3461a7e6-2871-4a93-a5b1-e244d645cd53</errorID>
      <errorWord>[2016]81号</errorWord>
      <group>L1_Knowledge</group>
      <groupName>知识性问题</groupName>
      <ability>L2_Knowledge</ability>
      <abilityName>其他知识</abilityName>
      <candidateList>
        <item>〔2016〕81号</item>
      </candidateList>
      <explain>发文字号格式错误。</explain>
      <paraID>44C90C79</paraID>
      <start>35</start>
      <end>44</end>
      <status>unmodified</status>
      <modifiedWord/>
      <trackRevisions>false</trackRevisions>
    </reviewItem>
    <reviewItem>
      <errorID>ae1c60c5-b921-48e7-a2ad-a5dc70609346</errorID>
      <errorWord>［2017］</errorWord>
      <group>L1_Punc</group>
      <groupName>标点问题</groupName>
      <ability>L2_Punc</ability>
      <abilityName>标点符号检查</abilityName>
      <candidateList>
        <item>〔2017〕</item>
      </candidateList>
      <explain/>
      <paraID>44C90C79</paraID>
      <start>80</start>
      <end>86</end>
      <status>unmodified</status>
      <modifiedWord/>
      <trackRevisions>false</trackRevisions>
    </reviewItem>
    <reviewItem>
      <errorID>53df2103-194c-419f-87d1-99128ea60372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4AD5AF4A</paraID>
      <start>0</start>
      <end>2</end>
      <status>unmodified</status>
      <modifiedWord/>
      <trackRevisions>false</trackRevisions>
    </reviewItem>
    <reviewItem>
      <errorID>e86c26b8-1169-48d1-9f34-5a4f0c06f030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7F113ED2</paraID>
      <start>0</start>
      <end>2</end>
      <status>unmodified</status>
      <modifiedWord/>
      <trackRevisions>false</trackRevisions>
    </reviewItem>
    <reviewItem>
      <errorID>ba538aac-711b-4f51-b46e-4a699e1f2b5b</errorID>
      <errorWord>(</errorWord>
      <group>L1_Format</group>
      <groupName>格式问题</groupName>
      <ability>L2_HalfPunc</ability>
      <abilityName>全半角检查</abilityName>
      <candidateList>
        <item>（</item>
      </candidateList>
      <explain>文本全半角错误。</explain>
      <paraID>448ADB3A</paraID>
      <start>23</start>
      <end>24</end>
      <status>unmodified</status>
      <modifiedWord/>
      <trackRevisions>false</trackRevisions>
    </reviewItem>
    <reviewItem>
      <errorID>5b389014-ee0f-466d-866e-05a61667a5ea</errorID>
      <errorWord>)</errorWord>
      <group>L1_Format</group>
      <groupName>格式问题</groupName>
      <ability>L2_HalfPunc</ability>
      <abilityName>全半角检查</abilityName>
      <candidateList>
        <item>）</item>
      </candidateList>
      <explain>文本全半角错误。</explain>
      <paraID>448ADB3A</paraID>
      <start>25</start>
      <end>26</end>
      <status>unmodified</status>
      <modifiedWord/>
      <trackRevisions>false</trackRevisions>
    </reviewItem>
    <reviewItem>
      <errorID>8dcae1dd-d4e0-4c56-b2db-3788253eed05</errorID>
      <errorWord>-</errorWord>
      <group>L1_Format</group>
      <groupName>格式问题</groupName>
      <ability>L2_HalfPunc</ability>
      <abilityName>全半角检查</abilityName>
      <candidateList>
        <item>－</item>
      </candidateList>
      <explain>文本全半角错误。</explain>
      <paraID>1E77AC0E</paraID>
      <start>55</start>
      <end>56</end>
      <status>unmodified</status>
      <modifiedWord/>
      <trackRevisions>false</trackRevisions>
    </reviewItem>
    <reviewItem>
      <errorID>b0615400-65f4-41ef-8b5e-ea3ce3d73dd3</errorID>
      <errorWord>属</errorWord>
      <group>L1_Word</group>
      <groupName>字词问题</groupName>
      <ability>L2_Typo</ability>
      <abilityName>字词错误</abilityName>
      <candidateList>
        <item>属于</item>
      </candidateList>
      <explain/>
      <paraID>102B53A1</paraID>
      <start>32</start>
      <end>33</end>
      <status>unmodified</status>
      <modifiedWord/>
      <trackRevisions>false</trackRevisions>
    </reviewItem>
    <reviewItem>
      <errorID>4a06a315-8b6f-48a9-a845-8864d5180ffc</errorID>
      <errorWord>-</errorWord>
      <group>L1_Format</group>
      <groupName>格式问题</groupName>
      <ability>L2_HalfPunc</ability>
      <abilityName>全半角检查</abilityName>
      <candidateList>
        <item>－</item>
      </candidateList>
      <explain>文本全半角错误。</explain>
      <paraID>45EAE5D6</paraID>
      <start>53</start>
      <end>54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49d5a7-03fc-4c8f-8465-6a89af93b76c}">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21596</Words>
  <Characters>22136</Characters>
  <Lines>0</Lines>
  <Paragraphs>0</Paragraphs>
  <TotalTime>183</TotalTime>
  <ScaleCrop>false</ScaleCrop>
  <LinksUpToDate>false</LinksUpToDate>
  <CharactersWithSpaces>22181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 天上星</cp:lastModifiedBy>
  <cp:lastPrinted>2026-04-07T05:01:00Z</cp:lastPrinted>
  <dcterms:modified xsi:type="dcterms:W3CDTF">2026-04-17T06:48:05Z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22A70FBF59784428ADCBECF7AD776E8A_13</vt:lpwstr>
  </property>
  <property fmtid="{D5CDD505-2E9C-101B-9397-08002B2CF9AE}" pid="4" name="KSOTemplateDocerSaveRecord">
    <vt:lpwstr>eyJoZGlkIjoiMTEyNWFiODlmNTc4ZmFhY2VkNTE1YTRhN2JhYTlmYzYiLCJ1c2VySWQiOiI4Njk2ODk3NTgifQ==</vt:lpwstr>
  </property>
</Properties>
</file>