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45CDAE">
      <w:pPr>
        <w:spacing w:line="560" w:lineRule="exact"/>
        <w:jc w:val="left"/>
        <w:rPr>
          <w:rFonts w:hint="eastAsia" w:ascii="黑体" w:hAnsi="黑体" w:eastAsia="黑体" w:cs="黑体"/>
          <w:bCs/>
          <w:sz w:val="32"/>
          <w:szCs w:val="32"/>
        </w:rPr>
      </w:pPr>
      <w:r>
        <w:rPr>
          <w:rFonts w:hint="eastAsia" w:ascii="黑体" w:hAnsi="黑体" w:eastAsia="黑体" w:cs="黑体"/>
          <w:bCs/>
          <w:sz w:val="32"/>
          <w:szCs w:val="32"/>
        </w:rPr>
        <w:t>附件1：</w:t>
      </w:r>
    </w:p>
    <w:p w14:paraId="1AEF4851">
      <w:pPr>
        <w:pStyle w:val="4"/>
        <w:spacing w:line="560" w:lineRule="exact"/>
        <w:rPr>
          <w:rFonts w:ascii="方正小标宋简体" w:hAnsi="方正小标宋简体" w:eastAsia="方正小标宋简体" w:cs="Arial"/>
          <w:kern w:val="2"/>
          <w:sz w:val="44"/>
          <w:szCs w:val="44"/>
        </w:rPr>
      </w:pPr>
    </w:p>
    <w:p w14:paraId="18C164E1">
      <w:pPr>
        <w:pStyle w:val="4"/>
        <w:spacing w:line="560" w:lineRule="exact"/>
        <w:rPr>
          <w:rFonts w:ascii="方正小标宋简体" w:hAnsi="方正小标宋简体" w:eastAsia="方正小标宋简体" w:cs="Arial"/>
          <w:kern w:val="2"/>
          <w:sz w:val="44"/>
          <w:szCs w:val="44"/>
        </w:rPr>
      </w:pPr>
      <w:r>
        <w:rPr>
          <w:rFonts w:ascii="方正小标宋简体" w:hAnsi="方正小标宋简体" w:eastAsia="方正小标宋简体" w:cs="Arial"/>
          <w:kern w:val="2"/>
          <w:sz w:val="44"/>
          <w:szCs w:val="44"/>
        </w:rPr>
        <w:t>河北省2026年基因组检测技术单位</w:t>
      </w:r>
    </w:p>
    <w:p w14:paraId="3BE60000">
      <w:pPr>
        <w:pStyle w:val="4"/>
        <w:spacing w:line="560" w:lineRule="exact"/>
        <w:rPr>
          <w:rFonts w:ascii="方正小标宋简体" w:hAnsi="方正小标宋简体" w:eastAsia="方正小标宋简体" w:cs="Arial"/>
          <w:kern w:val="2"/>
          <w:sz w:val="44"/>
          <w:szCs w:val="44"/>
        </w:rPr>
      </w:pPr>
      <w:r>
        <w:rPr>
          <w:rFonts w:ascii="方正小标宋简体" w:hAnsi="方正小标宋简体" w:eastAsia="方正小标宋简体" w:cs="Arial"/>
          <w:kern w:val="2"/>
          <w:sz w:val="44"/>
          <w:szCs w:val="44"/>
        </w:rPr>
        <w:t>资质条件</w:t>
      </w:r>
    </w:p>
    <w:p w14:paraId="2E9EA3A8">
      <w:pPr>
        <w:pStyle w:val="4"/>
        <w:numPr>
          <w:ilvl w:val="0"/>
          <w:numId w:val="1"/>
        </w:numPr>
        <w:jc w:val="left"/>
        <w:rPr>
          <w:rFonts w:ascii="黑体" w:hAnsi="黑体" w:eastAsia="黑体" w:cs="黑体"/>
          <w:bCs/>
          <w:kern w:val="2"/>
          <w:sz w:val="32"/>
          <w:szCs w:val="32"/>
        </w:rPr>
      </w:pPr>
      <w:r>
        <w:rPr>
          <w:rFonts w:ascii="黑体" w:hAnsi="黑体" w:eastAsia="黑体" w:cs="黑体"/>
          <w:bCs/>
          <w:kern w:val="2"/>
          <w:sz w:val="32"/>
          <w:szCs w:val="32"/>
        </w:rPr>
        <w:t>供应商资质要求</w:t>
      </w:r>
    </w:p>
    <w:p w14:paraId="6581E8FE">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供应商范围包含实际检测服务商及其授权代理商,供应商资质核验范围需覆盖供应商企业本身、控股该供应商的母公司,以及该供应商控股的子公司。</w:t>
      </w:r>
    </w:p>
    <w:p w14:paraId="4647151D">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1.供应商须是在中华人民共和国境内注册的具有独立法人</w:t>
      </w:r>
    </w:p>
    <w:p w14:paraId="46DE98D4">
      <w:pPr>
        <w:pStyle w:val="4"/>
        <w:spacing w:line="560" w:lineRule="exact"/>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资格的企业单位;</w:t>
      </w:r>
    </w:p>
    <w:p w14:paraId="2A07E10F">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2.供应商在近三年内经营活动中没有重大违法记录; 供应商在近三年内必须未被中国执行信息公开网列入失信被执行人名单,必须未被“信用中国”网站列入重大税收违法失信主体和经营(活动)异常名录,供应商应提供加盖公章的书面声明材料;</w:t>
      </w:r>
    </w:p>
    <w:p w14:paraId="51BCDD19">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中国执行信息公开网网址为:</w:t>
      </w:r>
    </w:p>
    <w:p w14:paraId="4484B763">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http://zxgk.court.gov.cn/shixin/</w:t>
      </w:r>
    </w:p>
    <w:p w14:paraId="6D9E2627">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“信用中国”网站:</w:t>
      </w:r>
    </w:p>
    <w:p w14:paraId="70E2A109">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http://www.creditchina.gov.cn/</w:t>
      </w:r>
    </w:p>
    <w:p w14:paraId="60B8ECBF">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3.优先支持工业和信息化部专精特新“小巨人”企业、河北</w:t>
      </w:r>
    </w:p>
    <w:p w14:paraId="6CF5985A">
      <w:pPr>
        <w:pStyle w:val="4"/>
        <w:spacing w:line="560" w:lineRule="exact"/>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省优势种业企业;</w:t>
      </w:r>
    </w:p>
    <w:p w14:paraId="5D775FA3">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4.供应商企业必须具有CNAS/ISO17025认证资质;</w:t>
      </w:r>
    </w:p>
    <w:p w14:paraId="0D63DB73">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5.供应商企业必须是美国CDCB认证的实验室;</w:t>
      </w:r>
    </w:p>
    <w:p w14:paraId="436AE2AF">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6.优先支持通过ISAG牛SNP的 DNA 分型比对测试的供应商企业;</w:t>
      </w:r>
    </w:p>
    <w:p w14:paraId="695445CC">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7.供应商企业应当具有建立基因组选择参考群以及预测模</w:t>
      </w:r>
    </w:p>
    <w:p w14:paraId="5A478DF2">
      <w:pPr>
        <w:pStyle w:val="4"/>
        <w:spacing w:line="560" w:lineRule="exact"/>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型和平台的能力;</w:t>
      </w:r>
    </w:p>
    <w:p w14:paraId="0C8244B8">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8.服务公司需自主拥有或者租赁自动化工作站、测序仪或芯</w:t>
      </w:r>
    </w:p>
    <w:p w14:paraId="3E7414CC">
      <w:pPr>
        <w:pStyle w:val="4"/>
        <w:spacing w:line="560" w:lineRule="exact"/>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片扫描设备等,能够开展芯片检测实验。提供自有设备的购买发</w:t>
      </w:r>
    </w:p>
    <w:p w14:paraId="4878463B">
      <w:pPr>
        <w:pStyle w:val="4"/>
        <w:spacing w:line="560" w:lineRule="exact"/>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票扫描件 (如是租赁的则提供有效期内的租赁合同以及出租人购买的设备发票)以及设备清单和设备照片,并标明以上设备的序列号。</w:t>
      </w:r>
    </w:p>
    <w:p w14:paraId="4074F839">
      <w:pPr>
        <w:pStyle w:val="4"/>
        <w:ind w:firstLine="640" w:firstLineChars="200"/>
        <w:jc w:val="left"/>
        <w:rPr>
          <w:rFonts w:ascii="黑体" w:hAnsi="黑体" w:eastAsia="黑体" w:cs="黑体"/>
          <w:bCs/>
          <w:kern w:val="2"/>
          <w:sz w:val="32"/>
          <w:szCs w:val="32"/>
        </w:rPr>
      </w:pPr>
      <w:r>
        <w:rPr>
          <w:rFonts w:ascii="黑体" w:hAnsi="黑体" w:eastAsia="黑体" w:cs="黑体"/>
          <w:bCs/>
          <w:kern w:val="2"/>
          <w:sz w:val="32"/>
          <w:szCs w:val="32"/>
        </w:rPr>
        <w:t>二、供应商的检测和服务能力</w:t>
      </w:r>
    </w:p>
    <w:p w14:paraId="3CC77644">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1.使用的基因分型检测产品须适用于荷斯坦牛品种;</w:t>
      </w:r>
    </w:p>
    <w:p w14:paraId="640114B9">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2.优先支持国产基因分型检测技术及遗传评估;</w:t>
      </w:r>
    </w:p>
    <w:p w14:paraId="47592DB4">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3.遗传评估报告中必须提供以下全部指标的结果:HH0、HH1、HH2、HH3、HH4、HH5、HH6、HHB(BLAD)、HH</w:t>
      </w:r>
      <w:r>
        <w:rPr>
          <w:rFonts w:hint="eastAsia" w:ascii="仿宋_GB2312" w:hAnsi="仿宋_GB2312" w:eastAsia="仿宋_GB2312" w:cs="仿宋_GB2312"/>
          <w:kern w:val="2"/>
          <w:sz w:val="32"/>
          <w:szCs w:val="32"/>
        </w:rPr>
        <w:t>C</w:t>
      </w:r>
      <w:r>
        <w:rPr>
          <w:rFonts w:ascii="仿宋_GB2312" w:hAnsi="仿宋_GB2312" w:eastAsia="仿宋_GB2312" w:cs="仿宋_GB2312"/>
          <w:kern w:val="2"/>
          <w:sz w:val="32"/>
          <w:szCs w:val="32"/>
        </w:rPr>
        <w:t>(CVM)、HHD(DUMPS)、HHM(MF)、HCD、HMW、AS、牛只个体的基因组近交系数、净效益、产奶量、乳脂量、乳蛋白量、乳脂率、乳蛋白率、饲料节约、生产寿命、体细胞评分、青年牛情期受胎率、成母牛情期受胎率、女儿怀孕率、首次产犊日龄、女儿产犊难易、体型总分、乳房综合评分、肢蹄结构评分、乳用特征。</w:t>
      </w:r>
    </w:p>
    <w:p w14:paraId="330E8C91">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4.供应商须根据检测牧场需求提供报告解读服务;</w:t>
      </w:r>
    </w:p>
    <w:p w14:paraId="6190D82D">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5.供应商需提供基因组遗传评估数据查询和免费更新功能</w:t>
      </w:r>
    </w:p>
    <w:p w14:paraId="7E928F7C">
      <w:pPr>
        <w:pStyle w:val="4"/>
        <w:spacing w:line="560" w:lineRule="exact"/>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的数据平台。</w:t>
      </w:r>
    </w:p>
    <w:p w14:paraId="4378A892">
      <w:pPr>
        <w:pStyle w:val="4"/>
        <w:ind w:firstLine="640" w:firstLineChars="200"/>
        <w:jc w:val="left"/>
        <w:rPr>
          <w:rFonts w:ascii="黑体" w:hAnsi="黑体" w:eastAsia="黑体" w:cs="黑体"/>
          <w:bCs/>
          <w:kern w:val="2"/>
          <w:sz w:val="32"/>
          <w:szCs w:val="32"/>
        </w:rPr>
      </w:pPr>
      <w:r>
        <w:rPr>
          <w:rFonts w:ascii="黑体" w:hAnsi="黑体" w:eastAsia="黑体" w:cs="黑体"/>
          <w:bCs/>
          <w:kern w:val="2"/>
          <w:sz w:val="32"/>
          <w:szCs w:val="32"/>
        </w:rPr>
        <w:t>三、供应商产品技术参数</w:t>
      </w:r>
    </w:p>
    <w:p w14:paraId="0678864E">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1.供应商使用的基因分型检测产品中至少包含4万个实际检测(非填充数据)的 SNP 位点;</w:t>
      </w:r>
    </w:p>
    <w:p w14:paraId="6350923F">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2.供应商基因分型产品用于CDCB基因组遗传评估的实际检测 SNP 位点数(非填充数据)不少于2.5万个;</w:t>
      </w:r>
    </w:p>
    <w:p w14:paraId="50716504">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3.供应商基因分型产品中SNP位点与河北省奶牛基因组选择参考群使用的相同位点数量不少于3万个;</w:t>
      </w:r>
    </w:p>
    <w:p w14:paraId="7A7D4DE0">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4.供应商基因分型产品中须包含国际通用(ISAG及ICAR)的亲子鉴定的 SNP 位点;</w:t>
      </w:r>
    </w:p>
    <w:p w14:paraId="1B0FCDFC">
      <w:pPr>
        <w:pStyle w:val="4"/>
        <w:spacing w:line="560" w:lineRule="exact"/>
        <w:ind w:firstLine="640" w:firstLineChars="200"/>
        <w:jc w:val="left"/>
        <w:rPr>
          <w:rFonts w:ascii="仿宋_GB2312" w:hAnsi="仿宋_GB2312" w:eastAsia="仿宋_GB2312" w:cs="仿宋_GB2312"/>
          <w:kern w:val="2"/>
          <w:sz w:val="32"/>
          <w:szCs w:val="32"/>
        </w:rPr>
      </w:pPr>
      <w:r>
        <w:rPr>
          <w:rFonts w:ascii="仿宋_GB2312" w:hAnsi="仿宋_GB2312" w:eastAsia="仿宋_GB2312" w:cs="仿宋_GB2312"/>
          <w:kern w:val="2"/>
          <w:sz w:val="32"/>
          <w:szCs w:val="32"/>
        </w:rPr>
        <w:t>5.供应商必须提供 Plink 格式和 Final Report 格式的实际检测基因型数据,且必须上传基因分型检测的原始数据文(液相芯片测序数据或固相芯片idat格式数据)以供核验。</w:t>
      </w:r>
    </w:p>
    <w:p w14:paraId="443BA3C5">
      <w:pPr>
        <w:spacing w:line="560"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14:paraId="2331455E">
      <w:pPr>
        <w:spacing w:line="560" w:lineRule="exact"/>
        <w:ind w:firstLine="640" w:firstLineChars="200"/>
        <w:jc w:val="left"/>
        <w:rPr>
          <w:rFonts w:hint="eastAsia" w:ascii="仿宋_GB2312" w:hAnsi="仿宋_GB2312" w:eastAsia="仿宋_GB2312" w:cs="仿宋_GB2312"/>
          <w:sz w:val="32"/>
          <w:szCs w:val="32"/>
        </w:rPr>
      </w:pPr>
    </w:p>
    <w:p w14:paraId="48C7514A">
      <w:pPr>
        <w:spacing w:line="560" w:lineRule="exact"/>
        <w:ind w:firstLine="640" w:firstLineChars="200"/>
        <w:jc w:val="left"/>
        <w:rPr>
          <w:rFonts w:hint="eastAsia" w:ascii="仿宋_GB2312" w:hAnsi="仿宋_GB2312" w:eastAsia="仿宋_GB2312" w:cs="仿宋_GB2312"/>
          <w:sz w:val="32"/>
          <w:szCs w:val="32"/>
        </w:rPr>
      </w:pPr>
    </w:p>
    <w:p w14:paraId="3449CCD9">
      <w:pPr>
        <w:spacing w:line="560" w:lineRule="exact"/>
        <w:ind w:firstLine="640" w:firstLineChars="200"/>
        <w:jc w:val="left"/>
        <w:rPr>
          <w:rFonts w:hint="eastAsia" w:ascii="仿宋_GB2312" w:hAnsi="仿宋_GB2312" w:eastAsia="仿宋_GB2312" w:cs="仿宋_GB2312"/>
          <w:sz w:val="32"/>
          <w:szCs w:val="32"/>
        </w:rPr>
      </w:pPr>
    </w:p>
    <w:p w14:paraId="6CCC5098">
      <w:pPr>
        <w:spacing w:line="560" w:lineRule="exact"/>
        <w:ind w:firstLine="640" w:firstLineChars="200"/>
        <w:jc w:val="left"/>
        <w:rPr>
          <w:rFonts w:hint="eastAsia" w:ascii="仿宋_GB2312" w:hAnsi="仿宋_GB2312" w:eastAsia="仿宋_GB2312" w:cs="仿宋_GB2312"/>
          <w:sz w:val="32"/>
          <w:szCs w:val="32"/>
        </w:rPr>
      </w:pPr>
    </w:p>
    <w:p w14:paraId="3F830121">
      <w:pPr>
        <w:spacing w:line="560" w:lineRule="exact"/>
        <w:ind w:firstLine="640" w:firstLineChars="200"/>
        <w:jc w:val="left"/>
        <w:rPr>
          <w:rFonts w:hint="eastAsia" w:ascii="仿宋_GB2312" w:hAnsi="仿宋_GB2312" w:eastAsia="仿宋_GB2312" w:cs="仿宋_GB2312"/>
          <w:sz w:val="32"/>
          <w:szCs w:val="32"/>
        </w:rPr>
      </w:pPr>
    </w:p>
    <w:p w14:paraId="66E85BD2">
      <w:pPr>
        <w:spacing w:line="560" w:lineRule="exact"/>
        <w:ind w:firstLine="640" w:firstLineChars="200"/>
        <w:jc w:val="left"/>
        <w:rPr>
          <w:rFonts w:hint="eastAsia" w:ascii="仿宋_GB2312" w:hAnsi="仿宋_GB2312" w:eastAsia="仿宋_GB2312" w:cs="仿宋_GB2312"/>
          <w:sz w:val="32"/>
          <w:szCs w:val="32"/>
        </w:rPr>
      </w:pPr>
    </w:p>
    <w:p w14:paraId="15557F63">
      <w:pPr>
        <w:spacing w:line="560" w:lineRule="exact"/>
        <w:ind w:firstLine="640" w:firstLineChars="200"/>
        <w:jc w:val="left"/>
        <w:rPr>
          <w:rFonts w:hint="eastAsia" w:ascii="仿宋_GB2312" w:hAnsi="仿宋_GB2312" w:eastAsia="仿宋_GB2312" w:cs="仿宋_GB2312"/>
          <w:sz w:val="32"/>
          <w:szCs w:val="32"/>
        </w:rPr>
      </w:pPr>
    </w:p>
    <w:p w14:paraId="5B52BD42">
      <w:pPr>
        <w:spacing w:line="560" w:lineRule="exact"/>
        <w:ind w:firstLine="640" w:firstLineChars="200"/>
        <w:jc w:val="left"/>
        <w:rPr>
          <w:rFonts w:hint="eastAsia" w:ascii="仿宋_GB2312" w:hAnsi="仿宋_GB2312" w:eastAsia="仿宋_GB2312" w:cs="仿宋_GB2312"/>
          <w:sz w:val="32"/>
          <w:szCs w:val="32"/>
        </w:rPr>
      </w:pPr>
    </w:p>
    <w:p w14:paraId="3BA15D14">
      <w:bookmarkStart w:id="0" w:name="_GoBack"/>
      <w:bookmarkEnd w:id="0"/>
    </w:p>
    <w:sectPr>
      <w:pgSz w:w="11906" w:h="16838"/>
      <w:pgMar w:top="2098" w:right="1474" w:bottom="1984" w:left="1587" w:header="851" w:footer="992" w:gutter="0"/>
      <w:pgNumType w:fmt="decimal"/>
      <w:cols w:space="0" w:num="1"/>
      <w:rtlGutter w:val="0"/>
      <w:docGrid w:type="lines" w:linePitch="59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EF226DC"/>
    <w:multiLevelType w:val="singleLevel"/>
    <w:tmpl w:val="FEF226D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8C510AC"/>
    <w:rsid w:val="60F66F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Default"/>
    <w:qFormat/>
    <w:uiPriority w:val="0"/>
    <w:pPr>
      <w:widowControl w:val="0"/>
      <w:autoSpaceDE w:val="0"/>
      <w:autoSpaceDN w:val="0"/>
      <w:adjustRightInd w:val="0"/>
      <w:spacing w:line="240" w:lineRule="atLeast"/>
      <w:jc w:val="center"/>
    </w:pPr>
    <w:rPr>
      <w:rFonts w:ascii="Times New Roman" w:hAnsi="Calibri" w:eastAsia="宋体" w:cs="Times New Roman"/>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2024-02-05T03:16:00Z</dcterms:created>
  <dc:creator>Administrator</dc:creator>
  <cp:lastModifiedBy>Administrator</cp:lastModifiedBy>
  <dcterms:modified xsi:type="dcterms:W3CDTF">2026-04-16T01:43:45Z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50120ECBB5424050B4E877D67FE8A546_12</vt:lpwstr>
  </property>
</Properties>
</file>