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17958">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方正小标宋简体" w:hAnsi="方正小标宋简体" w:eastAsia="方正小标宋简体"/>
          <w:sz w:val="36"/>
          <w:lang w:val="en-US" w:eastAsia="zh-CN"/>
        </w:rPr>
      </w:pPr>
      <w:r>
        <w:rPr>
          <w:rFonts w:hint="eastAsia" w:ascii="方正小标宋简体" w:hAnsi="方正小标宋简体" w:eastAsia="方正小标宋简体" w:cs="Arial"/>
          <w:sz w:val="36"/>
          <w:lang w:val="en-US" w:eastAsia="zh-CN"/>
        </w:rPr>
        <w:t>滦州市司法局</w:t>
      </w:r>
      <w:r>
        <w:rPr>
          <w:rFonts w:hint="eastAsia" w:ascii="方正小标宋简体" w:hAnsi="方正小标宋简体" w:eastAsia="方正小标宋简体"/>
          <w:sz w:val="36"/>
          <w:lang w:val="en-US" w:eastAsia="zh-CN"/>
        </w:rPr>
        <w:t>权责清单</w:t>
      </w:r>
    </w:p>
    <w:p w14:paraId="3D9B2287">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楷体_GB2312" w:hAnsi="楷体_GB2312" w:eastAsia="楷体_GB2312"/>
          <w:sz w:val="36"/>
          <w:lang w:val="en-US" w:eastAsia="zh-CN"/>
        </w:rPr>
      </w:pPr>
      <w:r>
        <w:rPr>
          <w:rFonts w:hint="eastAsia" w:ascii="楷体_GB2312" w:hAnsi="楷体_GB2312" w:eastAsia="楷体_GB2312"/>
          <w:lang w:val="en-US" w:eastAsia="zh-CN"/>
        </w:rPr>
        <w:t>（共4类、18项）</w:t>
      </w:r>
    </w:p>
    <w:p w14:paraId="15F7F843">
      <w:pPr>
        <w:keepNext w:val="0"/>
        <w:keepLines w:val="0"/>
        <w:pageBreakBefore w:val="0"/>
        <w:kinsoku/>
        <w:wordWrap/>
        <w:overflowPunct/>
        <w:topLinePunct w:val="0"/>
        <w:autoSpaceDE/>
        <w:autoSpaceDN/>
        <w:bidi w:val="0"/>
        <w:adjustRightInd/>
        <w:snapToGrid/>
        <w:spacing w:before="0" w:after="0" w:line="600" w:lineRule="exact"/>
        <w:ind w:right="0" w:rightChars="0"/>
        <w:textAlignment w:val="auto"/>
        <w:rPr>
          <w:rFonts w:hint="eastAsia" w:ascii="仿宋_GB2312"/>
          <w:lang w:val="en-US" w:eastAsia="zh-CN"/>
        </w:rPr>
      </w:pPr>
      <w:r>
        <w:rPr>
          <w:rFonts w:hint="eastAsia" w:ascii="楷体_GB2312" w:hAnsi="楷体_GB2312" w:eastAsia="楷体_GB2312"/>
          <w:sz w:val="28"/>
          <w:lang w:val="en-US" w:eastAsia="zh-CN"/>
        </w:rPr>
        <w:t>单位：</w:t>
      </w:r>
      <w:r>
        <w:rPr>
          <w:rFonts w:hint="eastAsia" w:ascii="楷体_GB2312" w:hAnsi="楷体_GB2312" w:eastAsia="楷体_GB2312" w:cs="Arial"/>
          <w:sz w:val="28"/>
          <w:lang w:val="en-US" w:eastAsia="zh-CN"/>
        </w:rPr>
        <w:t>滦州市司法局（公章）</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3200"/>
        <w:gridCol w:w="6563"/>
        <w:gridCol w:w="2651"/>
      </w:tblGrid>
      <w:tr w14:paraId="70B7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ED3920E">
            <w:pPr>
              <w:autoSpaceDE w:val="0"/>
              <w:autoSpaceDN w:val="0"/>
              <w:adjustRightInd w:val="0"/>
              <w:ind w:left="0" w:leftChars="0" w:right="0" w:rightChars="0" w:firstLine="0" w:firstLineChars="0"/>
              <w:jc w:val="center"/>
              <w:rPr>
                <w:rFonts w:hint="eastAsia" w:ascii="黑体" w:hAnsi="黑体" w:eastAsia="黑体"/>
                <w:sz w:val="32"/>
                <w:vertAlign w:val="baseline"/>
                <w:lang w:val="en-US" w:eastAsia="zh-CN"/>
              </w:rPr>
            </w:pPr>
            <w:r>
              <w:rPr>
                <w:rFonts w:hint="eastAsia" w:ascii="黑体" w:hAnsi="黑体" w:eastAsia="黑体"/>
                <w:color w:val="000000"/>
                <w:sz w:val="32"/>
                <w:szCs w:val="28"/>
                <w:lang w:val="zh-CN"/>
              </w:rPr>
              <w:t>总序号</w:t>
            </w:r>
          </w:p>
        </w:tc>
        <w:tc>
          <w:tcPr>
            <w:tcW w:w="3200" w:type="dxa"/>
            <w:noWrap w:val="0"/>
            <w:vAlign w:val="center"/>
          </w:tcPr>
          <w:p w14:paraId="2079203C">
            <w:pPr>
              <w:autoSpaceDE w:val="0"/>
              <w:autoSpaceDN w:val="0"/>
              <w:adjustRightInd w:val="0"/>
              <w:ind w:left="0" w:leftChars="0" w:right="0" w:rightChars="0" w:firstLine="0" w:firstLineChars="0"/>
              <w:jc w:val="center"/>
              <w:rPr>
                <w:rFonts w:hint="eastAsia" w:ascii="黑体" w:hAnsi="黑体" w:eastAsia="黑体"/>
                <w:sz w:val="32"/>
                <w:vertAlign w:val="baseline"/>
                <w:lang w:val="en-US" w:eastAsia="zh-CN"/>
              </w:rPr>
            </w:pPr>
            <w:r>
              <w:rPr>
                <w:rFonts w:hint="eastAsia" w:ascii="黑体" w:hAnsi="黑体" w:eastAsia="黑体"/>
                <w:color w:val="000000"/>
                <w:sz w:val="32"/>
                <w:szCs w:val="28"/>
                <w:lang w:val="zh-CN"/>
              </w:rPr>
              <w:t>类别及序号</w:t>
            </w:r>
          </w:p>
        </w:tc>
        <w:tc>
          <w:tcPr>
            <w:tcW w:w="6563" w:type="dxa"/>
            <w:noWrap w:val="0"/>
            <w:vAlign w:val="center"/>
          </w:tcPr>
          <w:p w14:paraId="76763C60">
            <w:pPr>
              <w:autoSpaceDE w:val="0"/>
              <w:autoSpaceDN w:val="0"/>
              <w:adjustRightInd w:val="0"/>
              <w:ind w:left="0" w:leftChars="0" w:right="0" w:rightChars="0" w:firstLine="0" w:firstLineChars="0"/>
              <w:jc w:val="center"/>
              <w:rPr>
                <w:rFonts w:hint="eastAsia" w:ascii="黑体" w:hAnsi="黑体" w:eastAsia="黑体"/>
                <w:sz w:val="32"/>
                <w:vertAlign w:val="baseline"/>
                <w:lang w:val="en-US" w:eastAsia="zh-CN"/>
              </w:rPr>
            </w:pPr>
            <w:r>
              <w:rPr>
                <w:rFonts w:hint="eastAsia" w:ascii="黑体" w:hAnsi="黑体" w:eastAsia="黑体"/>
                <w:color w:val="000000"/>
                <w:sz w:val="32"/>
                <w:szCs w:val="28"/>
                <w:lang w:val="zh-CN"/>
              </w:rPr>
              <w:t>项目名称及数量</w:t>
            </w:r>
          </w:p>
        </w:tc>
        <w:tc>
          <w:tcPr>
            <w:tcW w:w="2651" w:type="dxa"/>
            <w:noWrap w:val="0"/>
            <w:vAlign w:val="center"/>
          </w:tcPr>
          <w:p w14:paraId="55B1944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黑体" w:hAnsi="黑体" w:eastAsia="黑体"/>
                <w:sz w:val="32"/>
                <w:vertAlign w:val="baseline"/>
                <w:lang w:val="en-US" w:eastAsia="zh-CN"/>
              </w:rPr>
            </w:pPr>
            <w:r>
              <w:rPr>
                <w:rFonts w:hint="eastAsia" w:ascii="黑体" w:hAnsi="黑体" w:eastAsia="黑体"/>
                <w:sz w:val="32"/>
                <w:vertAlign w:val="baseline"/>
                <w:lang w:val="en-US" w:eastAsia="zh-CN"/>
              </w:rPr>
              <w:t>备注</w:t>
            </w:r>
          </w:p>
        </w:tc>
      </w:tr>
      <w:tr w14:paraId="3973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514BD0A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2A57B70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一、行政处罚</w:t>
            </w:r>
          </w:p>
        </w:tc>
        <w:tc>
          <w:tcPr>
            <w:tcW w:w="6563" w:type="dxa"/>
            <w:noWrap w:val="0"/>
            <w:vAlign w:val="center"/>
          </w:tcPr>
          <w:p w14:paraId="26CABF3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共1项</w:t>
            </w:r>
          </w:p>
        </w:tc>
        <w:tc>
          <w:tcPr>
            <w:tcW w:w="2651" w:type="dxa"/>
            <w:noWrap w:val="0"/>
            <w:vAlign w:val="center"/>
          </w:tcPr>
          <w:p w14:paraId="4683363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6DFF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2520537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619179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1</w:t>
            </w:r>
          </w:p>
        </w:tc>
        <w:tc>
          <w:tcPr>
            <w:tcW w:w="6563" w:type="dxa"/>
            <w:noWrap w:val="0"/>
            <w:vAlign w:val="center"/>
          </w:tcPr>
          <w:p w14:paraId="26C8B3D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对法律服务所及法律工作者的处罚</w:t>
            </w:r>
          </w:p>
        </w:tc>
        <w:tc>
          <w:tcPr>
            <w:tcW w:w="2651" w:type="dxa"/>
            <w:noWrap w:val="0"/>
            <w:vAlign w:val="center"/>
          </w:tcPr>
          <w:p w14:paraId="3EB093C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7148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F69720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shd w:val="clear" w:color="auto" w:fill="auto"/>
            <w:noWrap w:val="0"/>
            <w:vAlign w:val="center"/>
          </w:tcPr>
          <w:p w14:paraId="154624F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hAnsi="Times New Roman" w:eastAsia="仿宋_GB2312" w:cs="Times New Roman"/>
                <w:kern w:val="2"/>
                <w:sz w:val="32"/>
                <w:szCs w:val="32"/>
                <w:vertAlign w:val="baseline"/>
                <w:lang w:val="en-US" w:eastAsia="zh-CN" w:bidi="ar-SA"/>
              </w:rPr>
            </w:pPr>
            <w:r>
              <w:rPr>
                <w:rFonts w:hint="eastAsia" w:ascii="仿宋_GB2312"/>
                <w:lang w:val="en-US" w:eastAsia="zh-CN"/>
              </w:rPr>
              <w:t>二</w:t>
            </w:r>
            <w:r>
              <w:rPr>
                <w:rFonts w:hint="eastAsia" w:ascii="仿宋_GB2312"/>
              </w:rPr>
              <w:t>、行政给付</w:t>
            </w:r>
          </w:p>
        </w:tc>
        <w:tc>
          <w:tcPr>
            <w:tcW w:w="6563" w:type="dxa"/>
            <w:shd w:val="clear" w:color="auto" w:fill="auto"/>
            <w:noWrap w:val="0"/>
            <w:vAlign w:val="center"/>
          </w:tcPr>
          <w:p w14:paraId="0387F91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hAnsi="Times New Roman" w:eastAsia="仿宋_GB2312" w:cs="Times New Roman"/>
                <w:kern w:val="2"/>
                <w:sz w:val="32"/>
                <w:szCs w:val="32"/>
                <w:vertAlign w:val="baseline"/>
                <w:lang w:val="en-US" w:eastAsia="zh-CN" w:bidi="ar-SA"/>
              </w:rPr>
            </w:pPr>
            <w:r>
              <w:rPr>
                <w:rFonts w:hint="eastAsia" w:ascii="仿宋_GB2312"/>
                <w:vertAlign w:val="baseline"/>
                <w:lang w:val="en-US" w:eastAsia="zh-CN"/>
              </w:rPr>
              <w:t>共4项</w:t>
            </w:r>
          </w:p>
        </w:tc>
        <w:tc>
          <w:tcPr>
            <w:tcW w:w="2651" w:type="dxa"/>
            <w:noWrap w:val="0"/>
            <w:vAlign w:val="center"/>
          </w:tcPr>
          <w:p w14:paraId="4232833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6450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76601F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shd w:val="clear" w:color="auto" w:fill="auto"/>
            <w:noWrap w:val="0"/>
            <w:vAlign w:val="center"/>
          </w:tcPr>
          <w:p w14:paraId="2695704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hAnsi="Times New Roman" w:eastAsia="仿宋_GB2312" w:cs="Times New Roman"/>
                <w:kern w:val="2"/>
                <w:sz w:val="32"/>
                <w:szCs w:val="32"/>
                <w:vertAlign w:val="baseline"/>
                <w:lang w:val="en-US" w:eastAsia="zh-CN" w:bidi="ar-SA"/>
              </w:rPr>
            </w:pPr>
            <w:r>
              <w:rPr>
                <w:rFonts w:hint="eastAsia" w:ascii="仿宋_GB2312"/>
                <w:vertAlign w:val="baseline"/>
                <w:lang w:val="en-US" w:eastAsia="zh-CN"/>
              </w:rPr>
              <w:t>1</w:t>
            </w:r>
          </w:p>
        </w:tc>
        <w:tc>
          <w:tcPr>
            <w:tcW w:w="6563" w:type="dxa"/>
            <w:shd w:val="clear" w:color="auto" w:fill="auto"/>
            <w:noWrap w:val="0"/>
            <w:vAlign w:val="center"/>
          </w:tcPr>
          <w:p w14:paraId="53F6936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hAnsi="Times New Roman" w:eastAsia="仿宋_GB2312" w:cs="Times New Roman"/>
                <w:kern w:val="2"/>
                <w:sz w:val="32"/>
                <w:szCs w:val="32"/>
                <w:vertAlign w:val="baseline"/>
                <w:lang w:val="en-US" w:eastAsia="zh-CN" w:bidi="ar-SA"/>
              </w:rPr>
            </w:pPr>
            <w:r>
              <w:rPr>
                <w:rFonts w:hint="eastAsia" w:ascii="仿宋_GB2312"/>
                <w:vertAlign w:val="baseline"/>
                <w:lang w:val="en-US" w:eastAsia="zh-CN"/>
              </w:rPr>
              <w:t>为法律援助律师办理法律援助案件服务给付</w:t>
            </w:r>
          </w:p>
        </w:tc>
        <w:tc>
          <w:tcPr>
            <w:tcW w:w="2651" w:type="dxa"/>
            <w:noWrap w:val="0"/>
            <w:vAlign w:val="center"/>
          </w:tcPr>
          <w:p w14:paraId="1BF5A8A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7509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ED9447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76832FC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2</w:t>
            </w:r>
          </w:p>
        </w:tc>
        <w:tc>
          <w:tcPr>
            <w:tcW w:w="6563" w:type="dxa"/>
            <w:noWrap w:val="0"/>
            <w:vAlign w:val="center"/>
          </w:tcPr>
          <w:p w14:paraId="7B3F8CE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法律援助补贴发放</w:t>
            </w:r>
          </w:p>
        </w:tc>
        <w:tc>
          <w:tcPr>
            <w:tcW w:w="2651" w:type="dxa"/>
            <w:noWrap w:val="0"/>
            <w:vAlign w:val="center"/>
          </w:tcPr>
          <w:p w14:paraId="46F60E0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2507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5D9A105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2971EBD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3</w:t>
            </w:r>
          </w:p>
        </w:tc>
        <w:tc>
          <w:tcPr>
            <w:tcW w:w="6563" w:type="dxa"/>
            <w:noWrap w:val="0"/>
            <w:vAlign w:val="center"/>
          </w:tcPr>
          <w:p w14:paraId="2713727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对公民法律援助申请的审批</w:t>
            </w:r>
          </w:p>
        </w:tc>
        <w:tc>
          <w:tcPr>
            <w:tcW w:w="2651" w:type="dxa"/>
            <w:noWrap w:val="0"/>
            <w:vAlign w:val="center"/>
          </w:tcPr>
          <w:p w14:paraId="1955327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87F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2" w:type="dxa"/>
            <w:noWrap w:val="0"/>
            <w:vAlign w:val="center"/>
          </w:tcPr>
          <w:p w14:paraId="02F6DAB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65FDC4D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4</w:t>
            </w:r>
          </w:p>
        </w:tc>
        <w:tc>
          <w:tcPr>
            <w:tcW w:w="6563" w:type="dxa"/>
            <w:noWrap w:val="0"/>
            <w:vAlign w:val="center"/>
          </w:tcPr>
          <w:p w14:paraId="31A6204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人民调解员补贴发放</w:t>
            </w:r>
          </w:p>
        </w:tc>
        <w:tc>
          <w:tcPr>
            <w:tcW w:w="2651" w:type="dxa"/>
            <w:noWrap w:val="0"/>
            <w:vAlign w:val="center"/>
          </w:tcPr>
          <w:p w14:paraId="0331A3D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45A7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17FE27F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052D645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lang w:val="en-US" w:eastAsia="zh-CN"/>
              </w:rPr>
              <w:t>三</w:t>
            </w:r>
            <w:r>
              <w:rPr>
                <w:rFonts w:hint="eastAsia" w:ascii="仿宋_GB2312"/>
                <w:lang w:eastAsia="zh-CN"/>
              </w:rPr>
              <w:t>、</w:t>
            </w:r>
            <w:r>
              <w:rPr>
                <w:rFonts w:hint="eastAsia" w:ascii="仿宋_GB2312"/>
              </w:rPr>
              <w:t>行政奖励</w:t>
            </w:r>
          </w:p>
        </w:tc>
        <w:tc>
          <w:tcPr>
            <w:tcW w:w="6563" w:type="dxa"/>
            <w:noWrap w:val="0"/>
            <w:vAlign w:val="center"/>
          </w:tcPr>
          <w:p w14:paraId="04A5588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共2项</w:t>
            </w:r>
          </w:p>
        </w:tc>
        <w:tc>
          <w:tcPr>
            <w:tcW w:w="2651" w:type="dxa"/>
            <w:noWrap w:val="0"/>
            <w:vAlign w:val="center"/>
          </w:tcPr>
          <w:p w14:paraId="552DC3A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D1C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2DD7AA68">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3CD561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1</w:t>
            </w:r>
          </w:p>
        </w:tc>
        <w:tc>
          <w:tcPr>
            <w:tcW w:w="6563" w:type="dxa"/>
            <w:noWrap w:val="0"/>
            <w:vAlign w:val="center"/>
          </w:tcPr>
          <w:p w14:paraId="1F522E2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对基层法律服务所、基层法律服务工作者进行表彰奖励</w:t>
            </w:r>
          </w:p>
        </w:tc>
        <w:tc>
          <w:tcPr>
            <w:tcW w:w="2651" w:type="dxa"/>
            <w:noWrap w:val="0"/>
            <w:vAlign w:val="center"/>
          </w:tcPr>
          <w:p w14:paraId="23BF417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5E25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F064E8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both"/>
              <w:textAlignment w:val="auto"/>
              <w:rPr>
                <w:rFonts w:hint="eastAsia" w:ascii="仿宋_GB2312"/>
                <w:vertAlign w:val="baseline"/>
                <w:lang w:val="en-US" w:eastAsia="zh-CN"/>
              </w:rPr>
            </w:pPr>
          </w:p>
        </w:tc>
        <w:tc>
          <w:tcPr>
            <w:tcW w:w="3200" w:type="dxa"/>
            <w:noWrap w:val="0"/>
            <w:vAlign w:val="center"/>
          </w:tcPr>
          <w:p w14:paraId="23D476E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2</w:t>
            </w:r>
          </w:p>
        </w:tc>
        <w:tc>
          <w:tcPr>
            <w:tcW w:w="6563" w:type="dxa"/>
            <w:noWrap w:val="0"/>
            <w:vAlign w:val="center"/>
          </w:tcPr>
          <w:p w14:paraId="0DE13B7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对律师事务所、律师进行表彰奖励</w:t>
            </w:r>
          </w:p>
        </w:tc>
        <w:tc>
          <w:tcPr>
            <w:tcW w:w="2651" w:type="dxa"/>
            <w:noWrap w:val="0"/>
            <w:vAlign w:val="center"/>
          </w:tcPr>
          <w:p w14:paraId="70CCB32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7BA3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40198A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8C81713">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仿宋_GB2312"/>
                <w:lang w:eastAsia="zh-CN"/>
              </w:rPr>
            </w:pPr>
            <w:r>
              <w:rPr>
                <w:rFonts w:hint="eastAsia" w:ascii="仿宋_GB2312"/>
                <w:lang w:val="en-US" w:eastAsia="zh-CN"/>
              </w:rPr>
              <w:t>四</w:t>
            </w:r>
            <w:r>
              <w:rPr>
                <w:rFonts w:hint="eastAsia" w:ascii="仿宋_GB2312"/>
                <w:lang w:eastAsia="zh-CN"/>
              </w:rPr>
              <w:t>、</w:t>
            </w:r>
            <w:r>
              <w:rPr>
                <w:rFonts w:hint="eastAsia" w:ascii="仿宋_GB2312"/>
              </w:rPr>
              <w:t>其他</w:t>
            </w:r>
            <w:r>
              <w:rPr>
                <w:rFonts w:hint="eastAsia" w:ascii="仿宋_GB2312"/>
                <w:lang w:eastAsia="zh-CN"/>
              </w:rPr>
              <w:t>类</w:t>
            </w:r>
          </w:p>
        </w:tc>
        <w:tc>
          <w:tcPr>
            <w:tcW w:w="6563" w:type="dxa"/>
            <w:noWrap w:val="0"/>
            <w:vAlign w:val="center"/>
          </w:tcPr>
          <w:p w14:paraId="21E0808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r>
              <w:rPr>
                <w:rFonts w:hint="eastAsia" w:ascii="仿宋_GB2312"/>
                <w:vertAlign w:val="baseline"/>
                <w:lang w:val="en-US" w:eastAsia="zh-CN"/>
              </w:rPr>
              <w:t>共11项</w:t>
            </w:r>
          </w:p>
        </w:tc>
        <w:tc>
          <w:tcPr>
            <w:tcW w:w="2651" w:type="dxa"/>
            <w:noWrap w:val="0"/>
            <w:vAlign w:val="center"/>
          </w:tcPr>
          <w:p w14:paraId="3D0EA98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5457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4C3D4C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5F33AE8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lang w:eastAsia="zh-CN"/>
              </w:rPr>
            </w:pPr>
            <w:r>
              <w:rPr>
                <w:rFonts w:hint="eastAsia" w:ascii="仿宋_GB2312"/>
                <w:vertAlign w:val="baseline"/>
                <w:lang w:val="en-US" w:eastAsia="zh-CN"/>
              </w:rPr>
              <w:t>1</w:t>
            </w:r>
          </w:p>
        </w:tc>
        <w:tc>
          <w:tcPr>
            <w:tcW w:w="6563" w:type="dxa"/>
            <w:noWrap w:val="0"/>
            <w:vAlign w:val="center"/>
          </w:tcPr>
          <w:p w14:paraId="408C2FF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法律援助投诉受理</w:t>
            </w:r>
          </w:p>
        </w:tc>
        <w:tc>
          <w:tcPr>
            <w:tcW w:w="2651" w:type="dxa"/>
            <w:noWrap w:val="0"/>
            <w:vAlign w:val="center"/>
          </w:tcPr>
          <w:p w14:paraId="6B8ABC2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1B74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7EBAAC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5C9ADE8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lang w:eastAsia="zh-CN"/>
              </w:rPr>
            </w:pPr>
            <w:r>
              <w:rPr>
                <w:rFonts w:hint="eastAsia" w:ascii="仿宋_GB2312"/>
                <w:vertAlign w:val="baseline"/>
                <w:lang w:val="en-US" w:eastAsia="zh-CN"/>
              </w:rPr>
              <w:t>2</w:t>
            </w:r>
          </w:p>
        </w:tc>
        <w:tc>
          <w:tcPr>
            <w:tcW w:w="6563" w:type="dxa"/>
            <w:noWrap w:val="0"/>
            <w:vAlign w:val="center"/>
          </w:tcPr>
          <w:p w14:paraId="1E40C4F5">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当事人申请法律援助案件受理、审查、指派、监督、结案审查</w:t>
            </w:r>
          </w:p>
        </w:tc>
        <w:tc>
          <w:tcPr>
            <w:tcW w:w="2651" w:type="dxa"/>
            <w:noWrap w:val="0"/>
            <w:vAlign w:val="center"/>
          </w:tcPr>
          <w:p w14:paraId="2C33F7A9">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7315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1FD827E7">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0F03E58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3</w:t>
            </w:r>
          </w:p>
        </w:tc>
        <w:tc>
          <w:tcPr>
            <w:tcW w:w="6563" w:type="dxa"/>
            <w:noWrap w:val="0"/>
            <w:vAlign w:val="center"/>
          </w:tcPr>
          <w:p w14:paraId="11CF718D">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代拟法律文书援助</w:t>
            </w:r>
          </w:p>
        </w:tc>
        <w:tc>
          <w:tcPr>
            <w:tcW w:w="2651" w:type="dxa"/>
            <w:noWrap w:val="0"/>
            <w:vAlign w:val="center"/>
          </w:tcPr>
          <w:p w14:paraId="2DDAB7BB">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6CA7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4D2C0C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14CD00B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4</w:t>
            </w:r>
          </w:p>
        </w:tc>
        <w:tc>
          <w:tcPr>
            <w:tcW w:w="6563" w:type="dxa"/>
            <w:noWrap w:val="0"/>
            <w:vAlign w:val="center"/>
          </w:tcPr>
          <w:p w14:paraId="02062027">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非诉讼法律事务代理援助</w:t>
            </w:r>
          </w:p>
        </w:tc>
        <w:tc>
          <w:tcPr>
            <w:tcW w:w="2651" w:type="dxa"/>
            <w:noWrap w:val="0"/>
            <w:vAlign w:val="center"/>
          </w:tcPr>
          <w:p w14:paraId="45C2A516">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0EE5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BB20F6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A66175C">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5</w:t>
            </w:r>
          </w:p>
        </w:tc>
        <w:tc>
          <w:tcPr>
            <w:tcW w:w="6563" w:type="dxa"/>
            <w:noWrap w:val="0"/>
            <w:vAlign w:val="center"/>
          </w:tcPr>
          <w:p w14:paraId="59296EB5">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民事诉讼代理援助</w:t>
            </w:r>
          </w:p>
        </w:tc>
        <w:tc>
          <w:tcPr>
            <w:tcW w:w="2651" w:type="dxa"/>
            <w:noWrap w:val="0"/>
            <w:vAlign w:val="center"/>
          </w:tcPr>
          <w:p w14:paraId="40A7FB1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2D73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2988408">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39286E2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6</w:t>
            </w:r>
          </w:p>
        </w:tc>
        <w:tc>
          <w:tcPr>
            <w:tcW w:w="6563" w:type="dxa"/>
            <w:noWrap w:val="0"/>
            <w:vAlign w:val="center"/>
          </w:tcPr>
          <w:p w14:paraId="628746BF">
            <w:pPr>
              <w:numPr>
                <w:ilvl w:val="0"/>
                <w:numId w:val="0"/>
              </w:numPr>
              <w:spacing w:after="0" w:line="520" w:lineRule="exact"/>
              <w:jc w:val="center"/>
              <w:rPr>
                <w:rFonts w:hint="eastAsia" w:ascii="仿宋_GB2312"/>
                <w:vertAlign w:val="baseline"/>
                <w:lang w:val="en-US" w:eastAsia="zh-CN"/>
              </w:rPr>
            </w:pPr>
            <w:r>
              <w:rPr>
                <w:rFonts w:hint="eastAsia" w:ascii="仿宋_GB2312" w:eastAsia="仿宋_GB2312"/>
                <w:sz w:val="32"/>
                <w:szCs w:val="32"/>
                <w:lang w:val="en-US" w:eastAsia="zh-CN"/>
              </w:rPr>
              <w:t>刑事辩护援助</w:t>
            </w:r>
          </w:p>
        </w:tc>
        <w:tc>
          <w:tcPr>
            <w:tcW w:w="2651" w:type="dxa"/>
            <w:noWrap w:val="0"/>
            <w:vAlign w:val="center"/>
          </w:tcPr>
          <w:p w14:paraId="41284B6F">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510F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9AE502A">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43DBA480">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7</w:t>
            </w:r>
          </w:p>
        </w:tc>
        <w:tc>
          <w:tcPr>
            <w:tcW w:w="6563" w:type="dxa"/>
            <w:noWrap w:val="0"/>
            <w:vAlign w:val="center"/>
          </w:tcPr>
          <w:p w14:paraId="65FF94DC">
            <w:pPr>
              <w:numPr>
                <w:ilvl w:val="0"/>
                <w:numId w:val="0"/>
              </w:numPr>
              <w:spacing w:after="0" w:line="520" w:lineRule="exact"/>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刑事代理援助</w:t>
            </w:r>
          </w:p>
        </w:tc>
        <w:tc>
          <w:tcPr>
            <w:tcW w:w="2651" w:type="dxa"/>
            <w:noWrap w:val="0"/>
            <w:vAlign w:val="center"/>
          </w:tcPr>
          <w:p w14:paraId="26869B6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2DBA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7C89E91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1299AF6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8</w:t>
            </w:r>
          </w:p>
        </w:tc>
        <w:tc>
          <w:tcPr>
            <w:tcW w:w="6563" w:type="dxa"/>
            <w:noWrap w:val="0"/>
            <w:vAlign w:val="center"/>
          </w:tcPr>
          <w:p w14:paraId="564BC941">
            <w:pPr>
              <w:numPr>
                <w:ilvl w:val="0"/>
                <w:numId w:val="0"/>
              </w:numPr>
              <w:spacing w:after="0" w:line="520" w:lineRule="exact"/>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行政诉讼代理援助</w:t>
            </w:r>
          </w:p>
        </w:tc>
        <w:tc>
          <w:tcPr>
            <w:tcW w:w="2651" w:type="dxa"/>
            <w:noWrap w:val="0"/>
            <w:vAlign w:val="center"/>
          </w:tcPr>
          <w:p w14:paraId="598FA4A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0981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4B968953">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693D731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9</w:t>
            </w:r>
          </w:p>
        </w:tc>
        <w:tc>
          <w:tcPr>
            <w:tcW w:w="6563" w:type="dxa"/>
            <w:noWrap w:val="0"/>
            <w:vAlign w:val="center"/>
          </w:tcPr>
          <w:p w14:paraId="5F8BF6C7">
            <w:pPr>
              <w:numPr>
                <w:ilvl w:val="0"/>
                <w:numId w:val="0"/>
              </w:numPr>
              <w:spacing w:after="0" w:line="520" w:lineRule="exact"/>
              <w:jc w:val="center"/>
              <w:rPr>
                <w:rFonts w:hint="default" w:ascii="仿宋_GB2312"/>
                <w:sz w:val="32"/>
                <w:szCs w:val="32"/>
                <w:lang w:val="en-US" w:eastAsia="zh-CN"/>
              </w:rPr>
            </w:pPr>
            <w:r>
              <w:rPr>
                <w:rFonts w:hint="eastAsia" w:ascii="仿宋_GB2312"/>
                <w:sz w:val="32"/>
                <w:szCs w:val="32"/>
                <w:lang w:val="en-US" w:eastAsia="zh-CN"/>
              </w:rPr>
              <w:t>法律咨询</w:t>
            </w:r>
          </w:p>
        </w:tc>
        <w:tc>
          <w:tcPr>
            <w:tcW w:w="2651" w:type="dxa"/>
            <w:noWrap w:val="0"/>
            <w:vAlign w:val="center"/>
          </w:tcPr>
          <w:p w14:paraId="5F53FCA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3FF7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5A297AB5">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56325F7E">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10</w:t>
            </w:r>
          </w:p>
        </w:tc>
        <w:tc>
          <w:tcPr>
            <w:tcW w:w="6563" w:type="dxa"/>
            <w:noWrap w:val="0"/>
            <w:vAlign w:val="center"/>
          </w:tcPr>
          <w:p w14:paraId="3B3275C5">
            <w:pPr>
              <w:numPr>
                <w:ilvl w:val="0"/>
                <w:numId w:val="0"/>
              </w:numPr>
              <w:spacing w:after="0" w:line="520" w:lineRule="exact"/>
              <w:ind w:left="0" w:leftChars="0" w:firstLine="0" w:firstLineChars="0"/>
              <w:jc w:val="center"/>
              <w:rPr>
                <w:rFonts w:hint="default" w:ascii="仿宋_GB2312" w:eastAsia="仿宋_GB2312"/>
                <w:sz w:val="32"/>
                <w:szCs w:val="32"/>
                <w:lang w:val="en-US" w:eastAsia="zh-CN"/>
              </w:rPr>
            </w:pPr>
            <w:r>
              <w:rPr>
                <w:rFonts w:hint="eastAsia" w:ascii="仿宋_GB2312"/>
                <w:sz w:val="32"/>
                <w:szCs w:val="32"/>
                <w:lang w:val="en-US" w:eastAsia="zh-CN"/>
              </w:rPr>
              <w:t>办理公证事项和事务</w:t>
            </w:r>
          </w:p>
        </w:tc>
        <w:tc>
          <w:tcPr>
            <w:tcW w:w="2651" w:type="dxa"/>
            <w:noWrap w:val="0"/>
            <w:vAlign w:val="center"/>
          </w:tcPr>
          <w:p w14:paraId="6E16938D">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r w14:paraId="2D77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52" w:type="dxa"/>
            <w:noWrap w:val="0"/>
            <w:vAlign w:val="center"/>
          </w:tcPr>
          <w:p w14:paraId="6B7E8A74">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c>
          <w:tcPr>
            <w:tcW w:w="3200" w:type="dxa"/>
            <w:noWrap w:val="0"/>
            <w:vAlign w:val="center"/>
          </w:tcPr>
          <w:p w14:paraId="4ED2BC81">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default" w:ascii="仿宋_GB2312"/>
                <w:vertAlign w:val="baseline"/>
                <w:lang w:val="en-US" w:eastAsia="zh-CN"/>
              </w:rPr>
            </w:pPr>
            <w:r>
              <w:rPr>
                <w:rFonts w:hint="eastAsia" w:ascii="仿宋_GB2312"/>
                <w:vertAlign w:val="baseline"/>
                <w:lang w:val="en-US" w:eastAsia="zh-CN"/>
              </w:rPr>
              <w:t>11</w:t>
            </w:r>
          </w:p>
        </w:tc>
        <w:tc>
          <w:tcPr>
            <w:tcW w:w="6563" w:type="dxa"/>
            <w:noWrap w:val="0"/>
            <w:vAlign w:val="center"/>
          </w:tcPr>
          <w:p w14:paraId="313C181A">
            <w:pPr>
              <w:numPr>
                <w:ilvl w:val="0"/>
                <w:numId w:val="0"/>
              </w:numPr>
              <w:spacing w:after="0" w:line="520" w:lineRule="exact"/>
              <w:ind w:left="0" w:leftChars="0" w:firstLine="0" w:firstLineChars="0"/>
              <w:jc w:val="center"/>
              <w:rPr>
                <w:rFonts w:hint="eastAsia" w:ascii="仿宋_GB2312"/>
                <w:sz w:val="32"/>
                <w:szCs w:val="32"/>
                <w:lang w:val="en-US" w:eastAsia="zh-CN"/>
              </w:rPr>
            </w:pPr>
            <w:r>
              <w:rPr>
                <w:rFonts w:hint="eastAsia" w:ascii="仿宋_GB2312"/>
                <w:sz w:val="32"/>
                <w:szCs w:val="32"/>
                <w:lang w:val="en-US" w:eastAsia="zh-CN"/>
              </w:rPr>
              <w:t>公证法规政策咨询</w:t>
            </w:r>
          </w:p>
        </w:tc>
        <w:tc>
          <w:tcPr>
            <w:tcW w:w="2651" w:type="dxa"/>
            <w:noWrap w:val="0"/>
            <w:vAlign w:val="center"/>
          </w:tcPr>
          <w:p w14:paraId="71EFC3B2">
            <w:pPr>
              <w:keepNext w:val="0"/>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仿宋_GB2312"/>
                <w:vertAlign w:val="baseline"/>
                <w:lang w:val="en-US" w:eastAsia="zh-CN"/>
              </w:rPr>
            </w:pPr>
          </w:p>
        </w:tc>
      </w:tr>
    </w:tbl>
    <w:p w14:paraId="7D3FCE3D">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方正小标宋简体" w:hAnsi="方正小标宋简体" w:eastAsia="方正小标宋简体"/>
          <w:sz w:val="36"/>
          <w:lang w:val="en-US" w:eastAsia="zh-CN"/>
        </w:rPr>
      </w:pPr>
      <w:r>
        <w:rPr>
          <w:rFonts w:hint="eastAsia" w:ascii="方正小标宋简体" w:hAnsi="方正小标宋简体" w:eastAsia="方正小标宋简体"/>
          <w:sz w:val="36"/>
          <w:lang w:val="en-US" w:eastAsia="zh-CN"/>
        </w:rPr>
        <w:t>滦州市司法局权责清单</w:t>
      </w:r>
    </w:p>
    <w:p w14:paraId="43D0A1F0">
      <w:pPr>
        <w:keepNext w:val="0"/>
        <w:keepLines w:val="0"/>
        <w:pageBreakBefore w:val="0"/>
        <w:kinsoku/>
        <w:wordWrap/>
        <w:overflowPunct/>
        <w:topLinePunct w:val="0"/>
        <w:autoSpaceDE/>
        <w:autoSpaceDN/>
        <w:bidi w:val="0"/>
        <w:adjustRightInd/>
        <w:snapToGrid/>
        <w:spacing w:before="0" w:after="0" w:line="600" w:lineRule="exact"/>
        <w:ind w:left="0" w:leftChars="0" w:right="0" w:rightChars="0" w:firstLine="0" w:firstLineChars="0"/>
        <w:jc w:val="center"/>
        <w:textAlignment w:val="auto"/>
        <w:rPr>
          <w:rFonts w:hint="eastAsia" w:ascii="楷体_GB2312" w:hAnsi="楷体_GB2312" w:eastAsia="楷体_GB2312"/>
          <w:sz w:val="36"/>
          <w:lang w:val="en-US" w:eastAsia="zh-CN"/>
        </w:rPr>
      </w:pPr>
      <w:r>
        <w:rPr>
          <w:rFonts w:hint="eastAsia" w:ascii="楷体_GB2312" w:hAnsi="楷体_GB2312" w:eastAsia="楷体_GB2312"/>
          <w:lang w:val="en-US" w:eastAsia="zh-CN"/>
        </w:rPr>
        <w:t>（共4类、18项）</w:t>
      </w:r>
    </w:p>
    <w:p w14:paraId="79E555A9">
      <w:pPr>
        <w:keepNext w:val="0"/>
        <w:keepLines w:val="0"/>
        <w:pageBreakBefore w:val="0"/>
        <w:kinsoku/>
        <w:wordWrap/>
        <w:overflowPunct/>
        <w:topLinePunct w:val="0"/>
        <w:autoSpaceDE/>
        <w:autoSpaceDN/>
        <w:bidi w:val="0"/>
        <w:adjustRightInd/>
        <w:snapToGrid/>
        <w:spacing w:before="0" w:after="0" w:line="600" w:lineRule="exact"/>
        <w:ind w:right="0" w:rightChars="0"/>
        <w:textAlignment w:val="auto"/>
        <w:rPr>
          <w:rFonts w:hint="eastAsia" w:ascii="仿宋_GB2312"/>
          <w:lang w:val="en-US" w:eastAsia="zh-CN"/>
        </w:rPr>
      </w:pPr>
      <w:r>
        <w:rPr>
          <w:rFonts w:hint="eastAsia" w:ascii="楷体_GB2312" w:hAnsi="楷体_GB2312" w:eastAsia="楷体_GB2312"/>
          <w:sz w:val="28"/>
          <w:lang w:val="en-US" w:eastAsia="zh-CN"/>
        </w:rPr>
        <w:t>单位：</w:t>
      </w:r>
      <w:r>
        <w:rPr>
          <w:rFonts w:hint="eastAsia" w:ascii="楷体_GB2312" w:hAnsi="楷体_GB2312" w:eastAsia="楷体_GB2312" w:cs="Arial"/>
          <w:sz w:val="28"/>
          <w:lang w:val="en-US" w:eastAsia="zh-CN"/>
        </w:rPr>
        <w:t>滦州市司法局（公章）</w:t>
      </w:r>
    </w:p>
    <w:tbl>
      <w:tblPr>
        <w:tblStyle w:val="5"/>
        <w:tblW w:w="13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156"/>
        <w:gridCol w:w="1185"/>
        <w:gridCol w:w="1155"/>
        <w:gridCol w:w="3885"/>
        <w:gridCol w:w="2475"/>
        <w:gridCol w:w="2235"/>
        <w:gridCol w:w="972"/>
      </w:tblGrid>
      <w:tr w14:paraId="21C3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2" w:type="dxa"/>
            <w:noWrap w:val="0"/>
            <w:vAlign w:val="center"/>
          </w:tcPr>
          <w:p w14:paraId="432CCB2F">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序号</w:t>
            </w:r>
          </w:p>
        </w:tc>
        <w:tc>
          <w:tcPr>
            <w:tcW w:w="1156" w:type="dxa"/>
            <w:noWrap w:val="0"/>
            <w:vAlign w:val="center"/>
          </w:tcPr>
          <w:p w14:paraId="1DBD75A3">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权力类型</w:t>
            </w:r>
          </w:p>
        </w:tc>
        <w:tc>
          <w:tcPr>
            <w:tcW w:w="1185" w:type="dxa"/>
            <w:noWrap w:val="0"/>
            <w:vAlign w:val="center"/>
          </w:tcPr>
          <w:p w14:paraId="156FEE2E">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权力事项</w:t>
            </w:r>
          </w:p>
        </w:tc>
        <w:tc>
          <w:tcPr>
            <w:tcW w:w="1155" w:type="dxa"/>
            <w:noWrap w:val="0"/>
            <w:vAlign w:val="center"/>
          </w:tcPr>
          <w:p w14:paraId="73B13F62">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行政主体</w:t>
            </w:r>
          </w:p>
        </w:tc>
        <w:tc>
          <w:tcPr>
            <w:tcW w:w="3885" w:type="dxa"/>
            <w:noWrap w:val="0"/>
            <w:vAlign w:val="center"/>
          </w:tcPr>
          <w:p w14:paraId="5ED08D08">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实施依据</w:t>
            </w:r>
          </w:p>
        </w:tc>
        <w:tc>
          <w:tcPr>
            <w:tcW w:w="2475" w:type="dxa"/>
            <w:noWrap w:val="0"/>
            <w:vAlign w:val="center"/>
          </w:tcPr>
          <w:p w14:paraId="0FF3272F">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责任事项</w:t>
            </w:r>
          </w:p>
        </w:tc>
        <w:tc>
          <w:tcPr>
            <w:tcW w:w="2235" w:type="dxa"/>
            <w:noWrap w:val="0"/>
            <w:vAlign w:val="center"/>
          </w:tcPr>
          <w:p w14:paraId="6F909194">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追责情形</w:t>
            </w:r>
          </w:p>
        </w:tc>
        <w:tc>
          <w:tcPr>
            <w:tcW w:w="972" w:type="dxa"/>
            <w:noWrap w:val="0"/>
            <w:vAlign w:val="center"/>
          </w:tcPr>
          <w:p w14:paraId="63DF667C">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vertAlign w:val="baseline"/>
                <w:lang w:val="en-US" w:eastAsia="zh-CN"/>
              </w:rPr>
            </w:pPr>
            <w:r>
              <w:rPr>
                <w:rFonts w:hint="default" w:ascii="黑体" w:hAnsi="黑体" w:eastAsia="黑体"/>
                <w:b w:val="0"/>
                <w:i w:val="0"/>
                <w:snapToGrid/>
                <w:color w:val="000000"/>
                <w:sz w:val="24"/>
                <w:u w:val="none"/>
                <w:lang w:eastAsia="zh-CN"/>
              </w:rPr>
              <w:t>备注</w:t>
            </w:r>
          </w:p>
        </w:tc>
      </w:tr>
      <w:tr w14:paraId="31E2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2" w:hRule="exact"/>
        </w:trPr>
        <w:tc>
          <w:tcPr>
            <w:tcW w:w="752" w:type="dxa"/>
            <w:noWrap w:val="0"/>
            <w:vAlign w:val="center"/>
          </w:tcPr>
          <w:p w14:paraId="6EA6E747">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1</w:t>
            </w:r>
          </w:p>
        </w:tc>
        <w:tc>
          <w:tcPr>
            <w:tcW w:w="1156" w:type="dxa"/>
            <w:noWrap w:val="0"/>
            <w:vAlign w:val="center"/>
          </w:tcPr>
          <w:p w14:paraId="0CC511F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行政处罚</w:t>
            </w:r>
          </w:p>
        </w:tc>
        <w:tc>
          <w:tcPr>
            <w:tcW w:w="1185" w:type="dxa"/>
            <w:noWrap w:val="0"/>
            <w:vAlign w:val="center"/>
          </w:tcPr>
          <w:p w14:paraId="5B1B60B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对法律服务所及法律工作者的处罚</w:t>
            </w:r>
          </w:p>
        </w:tc>
        <w:tc>
          <w:tcPr>
            <w:tcW w:w="1155" w:type="dxa"/>
            <w:noWrap w:val="0"/>
            <w:vAlign w:val="center"/>
          </w:tcPr>
          <w:p w14:paraId="4D98BCA8">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700BB57C">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eastAsia="zh-CN"/>
              </w:rPr>
              <w:t>《基层法律服务所管理办法》司法部令第137号</w:t>
            </w:r>
            <w:r>
              <w:rPr>
                <w:rFonts w:hint="eastAsia" w:ascii="宋体" w:hAnsi="宋体" w:eastAsia="宋体"/>
                <w:sz w:val="18"/>
                <w:szCs w:val="18"/>
                <w:lang w:val="en-US" w:eastAsia="zh-CN"/>
              </w:rPr>
              <w:t>第36条：基层法律服务所有下列行为之一的，由所在地县级司法行政机关或者直辖市的区（县）司法行政机关予以警告；有违法所得的，依照法律、法规的规定没收违法所得，并由设区的市级或者直辖市的区（县）司法行政机关处以违法所得3倍以下的罚款，罚款数额最高为3万元：</w:t>
            </w:r>
          </w:p>
          <w:p w14:paraId="2DA691BC">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一）超越业务范围和诉讼代理执业区域的；（二）违反规定不以基层法律服务所名义统一接受委托、统一收取服务费，不向委托人出具有效收费凭证的；（三）冒用律师事务所名义执业的；（四）以贬损他人、抬高自己、虚假承诺或者支付介绍费等不正当手段争揽业务的；（五）伪造、涂改、抵押、出租、出借本所执业证的；（六）违反规定变更本所名称、法定代表人或者负责人、合伙人、住所和章程的；（七）不按规定接受年度考核，或者在年度考核中弄虚作假的；（八）违反财务管理规定，私分、挪用或者以其他方式非法处置本所资产的；（九）聘用未获准基层法律服务工作者执业的人员以基层法律服务工作者名义承办业务的；（十）放纵、包庇本所基层法律服务工作者的违法违纪行为的；（十一）内部管理</w:t>
            </w:r>
          </w:p>
        </w:tc>
        <w:tc>
          <w:tcPr>
            <w:tcW w:w="2475" w:type="dxa"/>
            <w:noWrap w:val="0"/>
            <w:vAlign w:val="center"/>
          </w:tcPr>
          <w:p w14:paraId="03B044A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1、执业证年度初审责任:对基层法律服务所、基层法律工作者执业年度注册材料进行初审，出具审查意见后报上级注册机关。</w:t>
            </w:r>
          </w:p>
          <w:p w14:paraId="18C83D1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2、处罚责任：发现法律服务所及法律服务工作者有违纪行为的予以警告，有违法所得的，按照法律、法规的规定没收违法所得，并由地</w:t>
            </w:r>
            <w:r>
              <w:rPr>
                <w:rFonts w:hint="eastAsia" w:ascii="宋体" w:hAnsi="宋体" w:eastAsia="宋体"/>
                <w:sz w:val="18"/>
                <w:szCs w:val="18"/>
                <w:lang w:val="en-US" w:eastAsia="zh-CN"/>
              </w:rPr>
              <w:t>市</w:t>
            </w:r>
            <w:r>
              <w:rPr>
                <w:rFonts w:hint="eastAsia" w:ascii="宋体" w:hAnsi="宋体" w:eastAsia="宋体"/>
                <w:sz w:val="18"/>
                <w:szCs w:val="18"/>
                <w:lang w:eastAsia="zh-CN"/>
              </w:rPr>
              <w:t>级司法行政机关处以违法所得三倍以下的罚款，但罚款不得超过三万元。</w:t>
            </w:r>
          </w:p>
          <w:p w14:paraId="6273C9E7">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3、其他法律法规规章文件规定应履行的责任。</w:t>
            </w:r>
          </w:p>
        </w:tc>
        <w:tc>
          <w:tcPr>
            <w:tcW w:w="2235" w:type="dxa"/>
            <w:noWrap w:val="0"/>
            <w:vAlign w:val="center"/>
          </w:tcPr>
          <w:p w14:paraId="4A1EE07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1.上级司法行政机关认为下级司法行政机关在执业核准、年度考核和行政处罚工作中有错误或者不当的，应当及时责令其改正。</w:t>
            </w:r>
          </w:p>
          <w:p w14:paraId="7E6CA09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2.司法行政机关及其工作人员不履行管理职责或者侵犯基层法律服务所合法权益、干涉基层法律服务工作者执业、侵犯其合法权益的，应当追究主管人员和直接责任人员的行政责任。</w:t>
            </w:r>
          </w:p>
        </w:tc>
        <w:tc>
          <w:tcPr>
            <w:tcW w:w="972" w:type="dxa"/>
            <w:noWrap w:val="0"/>
            <w:vAlign w:val="center"/>
          </w:tcPr>
          <w:p w14:paraId="535C6710">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29E2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7" w:hRule="exact"/>
        </w:trPr>
        <w:tc>
          <w:tcPr>
            <w:tcW w:w="752" w:type="dxa"/>
            <w:noWrap w:val="0"/>
            <w:vAlign w:val="center"/>
          </w:tcPr>
          <w:p w14:paraId="63BDBCE6">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1</w:t>
            </w:r>
          </w:p>
        </w:tc>
        <w:tc>
          <w:tcPr>
            <w:tcW w:w="1156" w:type="dxa"/>
            <w:noWrap w:val="0"/>
            <w:vAlign w:val="center"/>
          </w:tcPr>
          <w:p w14:paraId="170E361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行政处罚</w:t>
            </w:r>
          </w:p>
        </w:tc>
        <w:tc>
          <w:tcPr>
            <w:tcW w:w="1185" w:type="dxa"/>
            <w:noWrap w:val="0"/>
            <w:vAlign w:val="center"/>
          </w:tcPr>
          <w:p w14:paraId="25463A0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对法律服务所及法律工作者的处罚</w:t>
            </w:r>
          </w:p>
        </w:tc>
        <w:tc>
          <w:tcPr>
            <w:tcW w:w="1155" w:type="dxa"/>
            <w:noWrap w:val="0"/>
            <w:vAlign w:val="center"/>
          </w:tcPr>
          <w:p w14:paraId="3DDB31C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滦州市司法局</w:t>
            </w:r>
          </w:p>
        </w:tc>
        <w:tc>
          <w:tcPr>
            <w:tcW w:w="3885" w:type="dxa"/>
            <w:noWrap w:val="0"/>
            <w:vAlign w:val="center"/>
          </w:tcPr>
          <w:p w14:paraId="07F78BE8">
            <w:pPr>
              <w:numPr>
                <w:ilvl w:val="0"/>
                <w:numId w:val="0"/>
              </w:num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混乱，无法正常开展业务的；（十二）法律、法规、规章规定应予处罚的其他行为。</w:t>
            </w:r>
          </w:p>
          <w:p w14:paraId="6DE52925">
            <w:pPr>
              <w:numPr>
                <w:ilvl w:val="0"/>
                <w:numId w:val="0"/>
              </w:numPr>
              <w:tabs>
                <w:tab w:val="left" w:pos="7937"/>
              </w:tabs>
              <w:spacing w:line="280" w:lineRule="exact"/>
              <w:rPr>
                <w:rFonts w:hint="eastAsia" w:ascii="宋体" w:hAnsi="宋体" w:eastAsia="宋体"/>
                <w:sz w:val="18"/>
                <w:szCs w:val="18"/>
                <w:lang w:eastAsia="zh-CN"/>
              </w:rPr>
            </w:pPr>
          </w:p>
          <w:p w14:paraId="21E6CC72">
            <w:pPr>
              <w:numPr>
                <w:ilvl w:val="0"/>
                <w:numId w:val="0"/>
              </w:num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eastAsia="zh-CN"/>
              </w:rPr>
              <w:t>《基层法律服务工作者管理办法》司法部令第138号</w:t>
            </w:r>
            <w:r>
              <w:rPr>
                <w:rFonts w:hint="eastAsia" w:ascii="宋体" w:hAnsi="宋体" w:eastAsia="宋体"/>
                <w:sz w:val="18"/>
                <w:szCs w:val="18"/>
                <w:lang w:val="en-US" w:eastAsia="zh-CN"/>
              </w:rPr>
              <w:t>第46条：基层法律服务工作者有下列行为之一的，由所在地县级司法行政机关或者直辖市的区（县）司法行政机关予以警告；有违法所得的，依照法律、法规的规定没收违法所得，并由设区的市级或者直辖市的区（县）司法行政机关处以违法所得3倍以下的罚款，罚款数额最高为3万元：（一）超越业务范围和诉讼代理执业区域的；（二）以贬损他人、抬高自己、虚假承诺或者支付介绍费等不正当手段争揽业务的；（三）曾担任法官的基层法律服务工作者，担任原任职法院办理案件的</w:t>
            </w:r>
            <w:r>
              <w:rPr>
                <w:rFonts w:hint="default" w:ascii="宋体" w:hAnsi="宋体" w:eastAsia="宋体"/>
                <w:sz w:val="18"/>
                <w:szCs w:val="18"/>
                <w:lang w:val="en-US" w:eastAsia="zh-CN"/>
              </w:rPr>
              <w:t>诉讼代理人的；（四）冒用律师名义执业的；（五）同时在基层法律服务所和律师事务所或者公证机构执业，或者同时在2个以上基层法律服务所执业的；（六）无正当理由拒绝履行法律援助义务的</w:t>
            </w:r>
            <w:r>
              <w:rPr>
                <w:rFonts w:hint="eastAsia" w:ascii="宋体" w:hAnsi="宋体" w:eastAsia="宋体"/>
                <w:sz w:val="18"/>
                <w:szCs w:val="18"/>
                <w:lang w:val="en-US" w:eastAsia="zh-CN"/>
              </w:rPr>
              <w:t>；</w:t>
            </w:r>
            <w:r>
              <w:rPr>
                <w:rFonts w:hint="default" w:ascii="宋体" w:hAnsi="宋体" w:eastAsia="宋体"/>
                <w:sz w:val="18"/>
                <w:szCs w:val="18"/>
                <w:lang w:val="en-US" w:eastAsia="zh-CN"/>
              </w:rPr>
              <w:t>（七）明知委托人的要求是非法的、欺诈性的，仍为其提供帮助的；（八）在代理活动中超越代理权限或者滥用代理权，侵犯被代理人合法利益的；（九）在同一诉讼、仲裁、行政裁决中，为双方当事人或者有利害关系的第三人代理的；（十）不遵守与当事人订立的委托合同，拒绝或者疏怠履行法律服务义务，损害委托人合法权益的；（十一）在调解、代理、法律顾问等执业活动中压制、侮辱、报复当事人，造成恶劣影响的；（十二）不按规定接受年度考核，或者在年度考核中弄虚作假的；（十三）泄露在执业活动中知悉的商业秘密或者个人隐私的；（十四）</w:t>
            </w:r>
          </w:p>
          <w:p w14:paraId="3EC63F5A">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18BBDFD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1、执业证年度初审责任:对基层法律服务所、基层法律工作者执业年度注册材料进行初审，出具审查意见后报上级注册机关。</w:t>
            </w:r>
          </w:p>
          <w:p w14:paraId="39214CD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2、处罚责任：发现法律服务所及法律服务工作者有违纪行为的予以警告，有违法所得的，按照法律、法规的规定没收违法所得，并由地</w:t>
            </w:r>
            <w:r>
              <w:rPr>
                <w:rFonts w:hint="eastAsia" w:ascii="宋体" w:hAnsi="宋体" w:eastAsia="宋体"/>
                <w:sz w:val="18"/>
                <w:szCs w:val="18"/>
                <w:lang w:val="en-US" w:eastAsia="zh-CN"/>
              </w:rPr>
              <w:t>市</w:t>
            </w:r>
            <w:r>
              <w:rPr>
                <w:rFonts w:hint="eastAsia" w:ascii="宋体" w:hAnsi="宋体" w:eastAsia="宋体"/>
                <w:sz w:val="18"/>
                <w:szCs w:val="18"/>
                <w:lang w:eastAsia="zh-CN"/>
              </w:rPr>
              <w:t>级司法行政机关处以违法所得三倍以下的罚款，但罚款不得超过三万元。</w:t>
            </w:r>
          </w:p>
          <w:p w14:paraId="47842DA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3、其他法律法规规章文件规定应履行的责任。</w:t>
            </w:r>
          </w:p>
        </w:tc>
        <w:tc>
          <w:tcPr>
            <w:tcW w:w="2235" w:type="dxa"/>
            <w:noWrap w:val="0"/>
            <w:vAlign w:val="center"/>
          </w:tcPr>
          <w:p w14:paraId="5FB65C0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1.上级司法行政机关认为下级司法行政机关在执业核准、年度考核和行政处罚工作中有错误或者不当的，应当及时责令其改正。</w:t>
            </w:r>
          </w:p>
          <w:p w14:paraId="2425CFA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2.司法行政机关及其工作人员不履行管理职责或者侵犯基层法律服务所合法权益、干涉基层法律服务工作者执业、侵犯其合法权益的，应当追究主管人员和直接责任人员的行政责任。</w:t>
            </w:r>
          </w:p>
        </w:tc>
        <w:tc>
          <w:tcPr>
            <w:tcW w:w="972" w:type="dxa"/>
            <w:noWrap w:val="0"/>
            <w:vAlign w:val="center"/>
          </w:tcPr>
          <w:p w14:paraId="41BBE8B2">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4629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7" w:hRule="exact"/>
        </w:trPr>
        <w:tc>
          <w:tcPr>
            <w:tcW w:w="752" w:type="dxa"/>
            <w:noWrap w:val="0"/>
            <w:vAlign w:val="center"/>
          </w:tcPr>
          <w:p w14:paraId="6C1C6628">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1</w:t>
            </w:r>
          </w:p>
        </w:tc>
        <w:tc>
          <w:tcPr>
            <w:tcW w:w="1156" w:type="dxa"/>
            <w:noWrap w:val="0"/>
            <w:vAlign w:val="center"/>
          </w:tcPr>
          <w:p w14:paraId="522788D5">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行政处罚</w:t>
            </w:r>
          </w:p>
        </w:tc>
        <w:tc>
          <w:tcPr>
            <w:tcW w:w="1185" w:type="dxa"/>
            <w:noWrap w:val="0"/>
            <w:vAlign w:val="center"/>
          </w:tcPr>
          <w:p w14:paraId="1FCD1FF6">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对法律服务所及法律工作者的处罚</w:t>
            </w:r>
          </w:p>
        </w:tc>
        <w:tc>
          <w:tcPr>
            <w:tcW w:w="1155" w:type="dxa"/>
            <w:noWrap w:val="0"/>
            <w:vAlign w:val="center"/>
          </w:tcPr>
          <w:p w14:paraId="4EE7A622">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滦州市司法局</w:t>
            </w:r>
          </w:p>
        </w:tc>
        <w:tc>
          <w:tcPr>
            <w:tcW w:w="3885" w:type="dxa"/>
            <w:noWrap w:val="0"/>
            <w:vAlign w:val="center"/>
          </w:tcPr>
          <w:p w14:paraId="01550FE4">
            <w:pPr>
              <w:numPr>
                <w:ilvl w:val="0"/>
                <w:numId w:val="0"/>
              </w:numPr>
              <w:tabs>
                <w:tab w:val="left" w:pos="7937"/>
              </w:tabs>
              <w:spacing w:line="280" w:lineRule="exact"/>
              <w:rPr>
                <w:rFonts w:hint="eastAsia" w:ascii="宋体" w:hAnsi="宋体" w:eastAsia="宋体"/>
                <w:sz w:val="18"/>
              </w:rPr>
            </w:pPr>
            <w:r>
              <w:rPr>
                <w:rFonts w:hint="default" w:ascii="宋体" w:hAnsi="宋体" w:eastAsia="宋体"/>
                <w:sz w:val="18"/>
                <w:szCs w:val="18"/>
                <w:lang w:val="en-US" w:eastAsia="zh-CN"/>
              </w:rPr>
              <w:t>以影响案件审判、仲裁或者行政裁定结果为目的，违反规定会见有关司法、仲裁或者行政执法人员，或者向其请客送礼的；（十五）私自接受委托承办法律事务，或者私自收取费用，或者向委托人索要额外报酬的；（十六）在代理活动中收受对方当事人、利害关系人财物或者与其恶意串通，损害委托人合法权益的；（十七）违反司法、仲裁、行政执法工作有关制度规定，干扰或者阻碍司法、仲裁、行政执法工作正常进行的；（十八）泄露在执业活动中知悉的国家秘密的；（十九）伪造、隐匿、毁灭证据或者故意协助委托人伪造、隐匿、毁灭证据的；（二十）向有关司法人员、仲裁员或者行政执法人员行贿、介绍贿赂，或者指使、诱导委托人向其行贿的；（二十一）法律、法规、规章规定应予处罚的其他行为。司法行政机关对基层法律服务工作者实施上述行政处罚的同时，应当责令其改正。</w:t>
            </w:r>
          </w:p>
        </w:tc>
        <w:tc>
          <w:tcPr>
            <w:tcW w:w="2475" w:type="dxa"/>
            <w:noWrap w:val="0"/>
            <w:vAlign w:val="center"/>
          </w:tcPr>
          <w:p w14:paraId="5818C25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1、执业证年度初审责任:对基层法律服务所、基层法律工作者执业年度注册材料进行初审，出具审查意见后报上级注册机关。</w:t>
            </w:r>
          </w:p>
          <w:p w14:paraId="60E1109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2、处罚责任：发现法律服务所及法律服务工作者有违纪行为的予以警告，有违法所得的，按照法律、法规的规定没收违法所得，并由地</w:t>
            </w:r>
            <w:r>
              <w:rPr>
                <w:rFonts w:hint="eastAsia" w:ascii="宋体" w:hAnsi="宋体" w:eastAsia="宋体"/>
                <w:sz w:val="18"/>
                <w:szCs w:val="18"/>
                <w:lang w:val="en-US" w:eastAsia="zh-CN"/>
              </w:rPr>
              <w:t>市</w:t>
            </w:r>
            <w:r>
              <w:rPr>
                <w:rFonts w:hint="eastAsia" w:ascii="宋体" w:hAnsi="宋体" w:eastAsia="宋体"/>
                <w:sz w:val="18"/>
                <w:szCs w:val="18"/>
                <w:lang w:eastAsia="zh-CN"/>
              </w:rPr>
              <w:t>级司法行政机关处以违法所得三倍以下的罚款，但罚款不得超过三万元。</w:t>
            </w:r>
          </w:p>
          <w:p w14:paraId="1C8F7015">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3、其他法律法规规章文件规定应履行的责任。</w:t>
            </w:r>
          </w:p>
        </w:tc>
        <w:tc>
          <w:tcPr>
            <w:tcW w:w="2235" w:type="dxa"/>
            <w:noWrap w:val="0"/>
            <w:vAlign w:val="center"/>
          </w:tcPr>
          <w:p w14:paraId="474EB81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1.上级司法行政机关认为下级司法行政机关在执业核准、年度考核和行政处罚工作中有错误或者不当的，应当及时责令其改正。</w:t>
            </w:r>
          </w:p>
          <w:p w14:paraId="580D2D66">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2.司法行政机关及其工作人员不履行管理职责或者侵犯基层法律服务所合法权益、干涉基层法律服务工作者执业、侵犯其合法权益的，应当追究主管人员和直接责任人员的行政责任。</w:t>
            </w:r>
          </w:p>
        </w:tc>
        <w:tc>
          <w:tcPr>
            <w:tcW w:w="972" w:type="dxa"/>
            <w:noWrap w:val="0"/>
            <w:vAlign w:val="center"/>
          </w:tcPr>
          <w:p w14:paraId="6202740E">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3095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6CE8BA34">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2</w:t>
            </w:r>
          </w:p>
        </w:tc>
        <w:tc>
          <w:tcPr>
            <w:tcW w:w="1156" w:type="dxa"/>
            <w:noWrap w:val="0"/>
            <w:vAlign w:val="center"/>
          </w:tcPr>
          <w:p w14:paraId="09AA8184">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行政给付</w:t>
            </w:r>
          </w:p>
        </w:tc>
        <w:tc>
          <w:tcPr>
            <w:tcW w:w="1185" w:type="dxa"/>
            <w:noWrap w:val="0"/>
            <w:vAlign w:val="center"/>
          </w:tcPr>
          <w:p w14:paraId="2B659C7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为法律援助律师办理法律援助案件服务给付</w:t>
            </w:r>
          </w:p>
        </w:tc>
        <w:tc>
          <w:tcPr>
            <w:tcW w:w="1155" w:type="dxa"/>
            <w:noWrap w:val="0"/>
            <w:vAlign w:val="center"/>
          </w:tcPr>
          <w:p w14:paraId="7A56E0A3">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4139D67C">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eastAsia="zh-CN"/>
              </w:rPr>
              <w:t>《</w:t>
            </w:r>
            <w:r>
              <w:rPr>
                <w:rFonts w:hint="eastAsia" w:ascii="宋体" w:hAnsi="宋体" w:eastAsia="宋体"/>
                <w:sz w:val="18"/>
                <w:szCs w:val="18"/>
                <w:lang w:val="en-US" w:eastAsia="zh-CN"/>
              </w:rPr>
              <w:t>唐山市</w:t>
            </w:r>
            <w:r>
              <w:rPr>
                <w:rFonts w:hint="eastAsia" w:ascii="宋体" w:hAnsi="宋体" w:eastAsia="宋体"/>
                <w:sz w:val="18"/>
                <w:szCs w:val="18"/>
                <w:lang w:eastAsia="zh-CN"/>
              </w:rPr>
              <w:t>法律援助经费使用管理</w:t>
            </w:r>
            <w:r>
              <w:rPr>
                <w:rFonts w:hint="eastAsia" w:ascii="宋体" w:hAnsi="宋体" w:eastAsia="宋体"/>
                <w:sz w:val="18"/>
                <w:szCs w:val="18"/>
                <w:lang w:val="en-US" w:eastAsia="zh-CN"/>
              </w:rPr>
              <w:t>实施细则</w:t>
            </w:r>
            <w:r>
              <w:rPr>
                <w:rFonts w:hint="eastAsia" w:ascii="宋体" w:hAnsi="宋体" w:eastAsia="宋体"/>
                <w:sz w:val="18"/>
                <w:szCs w:val="18"/>
                <w:lang w:eastAsia="zh-CN"/>
              </w:rPr>
              <w:t>》第</w:t>
            </w:r>
            <w:r>
              <w:rPr>
                <w:rFonts w:hint="eastAsia" w:ascii="宋体" w:hAnsi="宋体" w:eastAsia="宋体"/>
                <w:sz w:val="18"/>
                <w:szCs w:val="18"/>
                <w:lang w:val="en-US" w:eastAsia="zh-CN"/>
              </w:rPr>
              <w:t>七</w:t>
            </w:r>
            <w:r>
              <w:rPr>
                <w:rFonts w:hint="eastAsia" w:ascii="宋体" w:hAnsi="宋体" w:eastAsia="宋体"/>
                <w:sz w:val="18"/>
                <w:szCs w:val="18"/>
                <w:lang w:eastAsia="zh-CN"/>
              </w:rPr>
              <w:t>条（</w:t>
            </w:r>
            <w:r>
              <w:rPr>
                <w:rFonts w:hint="eastAsia" w:ascii="宋体" w:hAnsi="宋体" w:eastAsia="宋体"/>
                <w:sz w:val="18"/>
                <w:szCs w:val="18"/>
                <w:lang w:val="en-US" w:eastAsia="zh-CN"/>
              </w:rPr>
              <w:t>一</w:t>
            </w:r>
            <w:r>
              <w:rPr>
                <w:rFonts w:hint="eastAsia" w:ascii="宋体" w:hAnsi="宋体" w:eastAsia="宋体"/>
                <w:sz w:val="18"/>
                <w:szCs w:val="18"/>
                <w:lang w:eastAsia="zh-CN"/>
              </w:rPr>
              <w:t>）</w:t>
            </w:r>
            <w:r>
              <w:rPr>
                <w:rFonts w:hint="eastAsia" w:ascii="宋体" w:hAnsi="宋体" w:eastAsia="宋体"/>
                <w:sz w:val="18"/>
                <w:szCs w:val="18"/>
                <w:lang w:val="en-US" w:eastAsia="zh-CN"/>
              </w:rPr>
              <w:t>办理刑事、民事、国家赔偿、申诉等案件产生的成本费用和基本劳务费补贴标准：唐山市及辖区（市、县）开庭案件补贴：成本费用1200元和基本劳务费用1200元；不开庭案件补贴：成本费用1000元和基本劳务费用1000元。（二）律师为认罪认罚案件的犯罪嫌疑人、被告人提供法律帮助的补贴标准，按件计算，每件补贴300元。（三）开庭时间超过2天以上（含本数）、二次开庭的、多次开庭的，可以适当增加费用。（四）跨省办理的案件（含京、津地区），成本费用与基本劳务费用依照“到衡水、张家口、石家庄、邢台、邯郸市及市辖区（县）办案”予以支付。（五）符合法定终止情形，办理法律援助案件的人员向法律援助中心报告，经审查核实决定终止的法律援助案件：已阅卷的，每件支付办案补贴300元；已会见、开庭案件未出庭或不开庭案件未提交辩护词的，每件支付办案补贴的50%；已会见，开庭案件已出庭或不开庭案件已提交辩护词的，每件支付办案补贴的100%。</w:t>
            </w:r>
          </w:p>
        </w:tc>
        <w:tc>
          <w:tcPr>
            <w:tcW w:w="2475" w:type="dxa"/>
            <w:noWrap w:val="0"/>
            <w:vAlign w:val="center"/>
          </w:tcPr>
          <w:p w14:paraId="3D57F2E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1、受理责任：接收案件案卷，并一次性告之不接收理由或需补充提供的相关案件材料。</w:t>
            </w:r>
          </w:p>
          <w:p w14:paraId="70C526F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2、审查责任。审查案件案卷内容的完整性，根据案件材料审查援助律师是否尽职尽责。</w:t>
            </w:r>
          </w:p>
          <w:p w14:paraId="39F414A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3、决定责任：对符合发放补贴条件的案件案卷，填写审批表并上报审批。</w:t>
            </w:r>
          </w:p>
          <w:p w14:paraId="0EE4A34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4、事后监管责任：留存发放补贴记录。</w:t>
            </w:r>
          </w:p>
          <w:p w14:paraId="619A182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5、其他应履行的责任。</w:t>
            </w:r>
          </w:p>
        </w:tc>
        <w:tc>
          <w:tcPr>
            <w:tcW w:w="2235" w:type="dxa"/>
            <w:noWrap w:val="0"/>
            <w:vAlign w:val="center"/>
          </w:tcPr>
          <w:p w14:paraId="777D247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w:t>
            </w:r>
            <w:r>
              <w:rPr>
                <w:rFonts w:hint="eastAsia" w:ascii="宋体" w:hAnsi="宋体" w:eastAsia="宋体"/>
                <w:sz w:val="18"/>
                <w:szCs w:val="18"/>
                <w:lang w:val="en-US" w:eastAsia="zh-CN"/>
              </w:rPr>
              <w:t>九</w:t>
            </w:r>
            <w:r>
              <w:rPr>
                <w:rFonts w:hint="eastAsia" w:ascii="宋体" w:hAnsi="宋体" w:eastAsia="宋体"/>
                <w:sz w:val="18"/>
                <w:szCs w:val="18"/>
                <w:lang w:eastAsia="zh-CN"/>
              </w:rPr>
              <w:t>条  法律援助人员具有下列情形之一的，不予发放办案补贴：</w:t>
            </w:r>
          </w:p>
          <w:p w14:paraId="23AF9A9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提交的结案卷宗不符合相关规定，经补证后仍不能符合规定的，或者不能在规定的期限内提交的；（二）不履行或不正确履行法律援助义务的；（三）故意损害受援人利益的；（四）因过失给受援人造成较大经济损失的；（五）向受援人及亲属索要财物的；（六）因违法办案被受援人投诉，经查证属实的；（七）其他违反国务院《法律援助条例》的行为。</w:t>
            </w:r>
          </w:p>
        </w:tc>
        <w:tc>
          <w:tcPr>
            <w:tcW w:w="972" w:type="dxa"/>
            <w:noWrap w:val="0"/>
            <w:vAlign w:val="center"/>
          </w:tcPr>
          <w:p w14:paraId="1472C89E">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1E0E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23EEDA04">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3</w:t>
            </w:r>
          </w:p>
        </w:tc>
        <w:tc>
          <w:tcPr>
            <w:tcW w:w="1156" w:type="dxa"/>
            <w:noWrap w:val="0"/>
            <w:vAlign w:val="center"/>
          </w:tcPr>
          <w:p w14:paraId="074EDDC0">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行政给付</w:t>
            </w:r>
          </w:p>
        </w:tc>
        <w:tc>
          <w:tcPr>
            <w:tcW w:w="1185" w:type="dxa"/>
            <w:noWrap w:val="0"/>
            <w:vAlign w:val="center"/>
          </w:tcPr>
          <w:p w14:paraId="1674C5FD">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法律援助补贴发放</w:t>
            </w:r>
          </w:p>
          <w:p w14:paraId="349EF1C1">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747FDB48">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5471E8F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五十二</w:t>
            </w:r>
            <w:r>
              <w:rPr>
                <w:rFonts w:hint="eastAsia" w:ascii="宋体" w:hAnsi="宋体" w:eastAsia="宋体"/>
                <w:sz w:val="18"/>
                <w:szCs w:val="18"/>
                <w:lang w:eastAsia="zh-CN"/>
              </w:rPr>
              <w:t>条　法律援助机构应当依照有关规定及时向法律援助人员支付法律援助补贴。</w:t>
            </w:r>
          </w:p>
          <w:p w14:paraId="57BA99A2">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31F695F2">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4656584C">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13B4170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6C81C5D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2CD4F71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4733AC8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0C38D87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6EEF7D8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5200E8CC">
            <w:pPr>
              <w:tabs>
                <w:tab w:val="left" w:pos="7937"/>
              </w:tabs>
              <w:spacing w:line="280" w:lineRule="exact"/>
              <w:rPr>
                <w:rFonts w:hint="eastAsia" w:ascii="宋体" w:hAnsi="宋体" w:eastAsia="宋体"/>
                <w:sz w:val="18"/>
                <w:szCs w:val="18"/>
                <w:lang w:eastAsia="zh-CN"/>
              </w:rPr>
            </w:pPr>
          </w:p>
        </w:tc>
        <w:tc>
          <w:tcPr>
            <w:tcW w:w="2235" w:type="dxa"/>
            <w:noWrap w:val="0"/>
            <w:vAlign w:val="center"/>
          </w:tcPr>
          <w:p w14:paraId="6C640773">
            <w:pPr>
              <w:tabs>
                <w:tab w:val="left" w:pos="7937"/>
              </w:tabs>
              <w:spacing w:line="280" w:lineRule="exact"/>
              <w:rPr>
                <w:rFonts w:hint="eastAsia" w:ascii="宋体" w:hAnsi="宋体" w:eastAsia="宋体"/>
                <w:sz w:val="18"/>
                <w:szCs w:val="18"/>
                <w:lang w:eastAsia="zh-CN"/>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0DBE713B">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7C60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4A0244B1">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4</w:t>
            </w:r>
          </w:p>
        </w:tc>
        <w:tc>
          <w:tcPr>
            <w:tcW w:w="1156" w:type="dxa"/>
            <w:noWrap w:val="0"/>
            <w:vAlign w:val="center"/>
          </w:tcPr>
          <w:p w14:paraId="29CD5337">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行政给付</w:t>
            </w:r>
          </w:p>
        </w:tc>
        <w:tc>
          <w:tcPr>
            <w:tcW w:w="1185" w:type="dxa"/>
            <w:noWrap w:val="0"/>
            <w:vAlign w:val="center"/>
          </w:tcPr>
          <w:p w14:paraId="6BCFB5B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对公民法律援助申请的审批</w:t>
            </w:r>
          </w:p>
        </w:tc>
        <w:tc>
          <w:tcPr>
            <w:tcW w:w="1155" w:type="dxa"/>
            <w:noWrap w:val="0"/>
            <w:vAlign w:val="center"/>
          </w:tcPr>
          <w:p w14:paraId="62E2B6D2">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26D8FE7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四十三</w:t>
            </w:r>
            <w:r>
              <w:rPr>
                <w:rFonts w:hint="eastAsia" w:ascii="宋体" w:hAnsi="宋体" w:eastAsia="宋体"/>
                <w:sz w:val="18"/>
                <w:szCs w:val="18"/>
                <w:lang w:eastAsia="zh-CN"/>
              </w:rPr>
              <w:t>条　法律援助机构应当自收到法律援助申请之日起七日内进行审查，作出是否给予法律援助的决定。决定给予法律援助的，应当自作出决定之日起三日内指派法律援助人员为受援人提供法律援助；决定不给予法律援助的，应当书面告知申请人，并说明理由。</w:t>
            </w:r>
          </w:p>
          <w:p w14:paraId="09E74FE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  申请人提交的申请材料不齐全的，法律援助机构应当一次性告知申请人需要补充的材料或者要求申请人作出说明。申请人未按要求补充材料或者作出说明的，视为撤回申请。</w:t>
            </w:r>
          </w:p>
          <w:p w14:paraId="17683A20">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41273E5B">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11B5088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608A527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45F2E1C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45C4FF9E">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253AFB9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7EE75B9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6A4963A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0CCCDD1E">
            <w:pPr>
              <w:tabs>
                <w:tab w:val="left" w:pos="7937"/>
              </w:tabs>
              <w:spacing w:line="280" w:lineRule="exact"/>
              <w:rPr>
                <w:rFonts w:hint="eastAsia" w:ascii="宋体" w:hAnsi="宋体" w:eastAsia="宋体"/>
                <w:kern w:val="2"/>
                <w:sz w:val="18"/>
                <w:szCs w:val="18"/>
                <w:lang w:val="en-US" w:eastAsia="zh-CN" w:bidi="ar-SA"/>
              </w:rPr>
            </w:pPr>
          </w:p>
        </w:tc>
        <w:tc>
          <w:tcPr>
            <w:tcW w:w="2235" w:type="dxa"/>
            <w:noWrap w:val="0"/>
            <w:vAlign w:val="center"/>
          </w:tcPr>
          <w:p w14:paraId="0CDB378F">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1555D584">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6872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0906858A">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5</w:t>
            </w:r>
          </w:p>
        </w:tc>
        <w:tc>
          <w:tcPr>
            <w:tcW w:w="1156" w:type="dxa"/>
            <w:noWrap w:val="0"/>
            <w:vAlign w:val="center"/>
          </w:tcPr>
          <w:p w14:paraId="218D9424">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行政给付</w:t>
            </w:r>
          </w:p>
        </w:tc>
        <w:tc>
          <w:tcPr>
            <w:tcW w:w="1185" w:type="dxa"/>
            <w:noWrap w:val="0"/>
            <w:vAlign w:val="center"/>
          </w:tcPr>
          <w:p w14:paraId="199D7449">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eastAsia="zh-CN"/>
              </w:rPr>
              <w:t>人民调解员补贴发放</w:t>
            </w:r>
          </w:p>
        </w:tc>
        <w:tc>
          <w:tcPr>
            <w:tcW w:w="1155" w:type="dxa"/>
            <w:noWrap w:val="0"/>
            <w:vAlign w:val="center"/>
          </w:tcPr>
          <w:p w14:paraId="7A050FA3">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滦州市司法局</w:t>
            </w:r>
          </w:p>
        </w:tc>
        <w:tc>
          <w:tcPr>
            <w:tcW w:w="3885" w:type="dxa"/>
            <w:noWrap w:val="0"/>
            <w:vAlign w:val="center"/>
          </w:tcPr>
          <w:p w14:paraId="4FFBC26D">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 xml:space="preserve">1.《中华人民共和国人民调解法》 第六条国家鼓励和支持人民调解工作。县级以上地方人民政府对人民调解工作所需经费应当给予必要的支持和保障，对有突出贡献的人民调解委员会和人民调解员按照国家规定给予表彰奖励。 </w:t>
            </w:r>
          </w:p>
          <w:p w14:paraId="3E3ED51A">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2.《人民调解委员会及调解员奖励办法》（司法部令第15号） 第七条 奖励的审批权限 模范人民调解委员会和模范人民调解员以及集体和个人的命名表彰，由司法部批准。 优秀人民调解委员会和优秀人民调解员由省、自治区、直辖市司法厅（局）批准。 地（市）、县级司法局（处）表彰的统称先进人民调解委员会和先进人民调解员，分别由地（市）、县级司法局（处）批准。</w:t>
            </w:r>
          </w:p>
          <w:p w14:paraId="44909A97">
            <w:pPr>
              <w:tabs>
                <w:tab w:val="left" w:pos="7937"/>
              </w:tabs>
              <w:spacing w:line="280" w:lineRule="exact"/>
              <w:rPr>
                <w:rFonts w:hint="eastAsia" w:ascii="宋体" w:hAnsi="宋体" w:eastAsia="宋体" w:cs="Times New Roman"/>
                <w:sz w:val="18"/>
                <w:szCs w:val="18"/>
                <w:lang w:val="en-US" w:eastAsia="zh-CN"/>
              </w:rPr>
            </w:pPr>
          </w:p>
        </w:tc>
        <w:tc>
          <w:tcPr>
            <w:tcW w:w="2475" w:type="dxa"/>
            <w:noWrap w:val="0"/>
            <w:vAlign w:val="center"/>
          </w:tcPr>
          <w:p w14:paraId="7C61F84A">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受理责任：</w:t>
            </w:r>
          </w:p>
          <w:p w14:paraId="3C5BD4B6">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val="en-US" w:eastAsia="zh-CN"/>
              </w:rPr>
              <w:t>1、</w:t>
            </w:r>
            <w:r>
              <w:rPr>
                <w:rFonts w:hint="eastAsia" w:ascii="宋体" w:hAnsi="宋体" w:eastAsia="宋体" w:cs="Times New Roman"/>
                <w:sz w:val="18"/>
                <w:szCs w:val="18"/>
                <w:lang w:eastAsia="zh-CN"/>
              </w:rPr>
              <w:t>接收</w:t>
            </w:r>
            <w:r>
              <w:rPr>
                <w:rFonts w:hint="eastAsia" w:ascii="宋体" w:hAnsi="宋体" w:eastAsia="宋体" w:cs="Times New Roman"/>
                <w:sz w:val="18"/>
                <w:szCs w:val="18"/>
                <w:lang w:val="en-US" w:eastAsia="zh-CN"/>
              </w:rPr>
              <w:t>调解</w:t>
            </w:r>
            <w:r>
              <w:rPr>
                <w:rFonts w:hint="eastAsia" w:ascii="宋体" w:hAnsi="宋体" w:eastAsia="宋体" w:cs="Times New Roman"/>
                <w:sz w:val="18"/>
                <w:szCs w:val="18"/>
                <w:lang w:eastAsia="zh-CN"/>
              </w:rPr>
              <w:t>案卷。</w:t>
            </w:r>
          </w:p>
          <w:p w14:paraId="49E918BC">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2、审查责任。审查</w:t>
            </w:r>
            <w:r>
              <w:rPr>
                <w:rFonts w:hint="eastAsia" w:ascii="宋体" w:hAnsi="宋体" w:eastAsia="宋体" w:cs="Times New Roman"/>
                <w:sz w:val="18"/>
                <w:szCs w:val="18"/>
                <w:lang w:val="en-US" w:eastAsia="zh-CN"/>
              </w:rPr>
              <w:t>调解</w:t>
            </w:r>
            <w:r>
              <w:rPr>
                <w:rFonts w:hint="eastAsia" w:ascii="宋体" w:hAnsi="宋体" w:eastAsia="宋体" w:cs="Times New Roman"/>
                <w:sz w:val="18"/>
                <w:szCs w:val="18"/>
                <w:lang w:eastAsia="zh-CN"/>
              </w:rPr>
              <w:t>案卷内容的完整性。</w:t>
            </w:r>
          </w:p>
          <w:p w14:paraId="26443C1C">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3、决定责任：对符合发放补贴条件的</w:t>
            </w:r>
            <w:r>
              <w:rPr>
                <w:rFonts w:hint="eastAsia" w:ascii="宋体" w:hAnsi="宋体" w:eastAsia="宋体" w:cs="Times New Roman"/>
                <w:sz w:val="18"/>
                <w:szCs w:val="18"/>
                <w:lang w:val="en-US" w:eastAsia="zh-CN"/>
              </w:rPr>
              <w:t>调解</w:t>
            </w:r>
            <w:r>
              <w:rPr>
                <w:rFonts w:hint="eastAsia" w:ascii="宋体" w:hAnsi="宋体" w:eastAsia="宋体" w:cs="Times New Roman"/>
                <w:sz w:val="18"/>
                <w:szCs w:val="18"/>
                <w:lang w:eastAsia="zh-CN"/>
              </w:rPr>
              <w:t>案件案卷，</w:t>
            </w:r>
            <w:r>
              <w:rPr>
                <w:rFonts w:hint="eastAsia" w:ascii="宋体" w:hAnsi="宋体" w:eastAsia="宋体" w:cs="Times New Roman"/>
                <w:sz w:val="18"/>
                <w:szCs w:val="18"/>
                <w:lang w:val="en-US" w:eastAsia="zh-CN"/>
              </w:rPr>
              <w:t>进行统计</w:t>
            </w:r>
            <w:r>
              <w:rPr>
                <w:rFonts w:hint="eastAsia" w:ascii="宋体" w:hAnsi="宋体" w:eastAsia="宋体" w:cs="Times New Roman"/>
                <w:sz w:val="18"/>
                <w:szCs w:val="18"/>
                <w:lang w:eastAsia="zh-CN"/>
              </w:rPr>
              <w:t>并上报审批。</w:t>
            </w:r>
          </w:p>
          <w:p w14:paraId="70B83131">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4、事后监管责任：留存发放补贴记录。</w:t>
            </w:r>
          </w:p>
          <w:p w14:paraId="3EE60B21">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eastAsia="zh-CN"/>
              </w:rPr>
              <w:t>5、其他应履行的责任。</w:t>
            </w:r>
          </w:p>
        </w:tc>
        <w:tc>
          <w:tcPr>
            <w:tcW w:w="2235" w:type="dxa"/>
            <w:noWrap w:val="0"/>
            <w:vAlign w:val="center"/>
          </w:tcPr>
          <w:p w14:paraId="29A509F8">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因不履行或不正确履行行政职责，有下列情形的，行政机关及相关工作人员应承担相应责任：</w:t>
            </w:r>
          </w:p>
          <w:p w14:paraId="2F25C9ED">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1、对符合发放补贴条件不予发放的；</w:t>
            </w:r>
          </w:p>
          <w:p w14:paraId="7112CC5E">
            <w:pPr>
              <w:tabs>
                <w:tab w:val="left" w:pos="7937"/>
              </w:tabs>
              <w:spacing w:line="280" w:lineRule="exact"/>
              <w:rPr>
                <w:rFonts w:hint="eastAsia" w:ascii="宋体" w:hAnsi="宋体" w:eastAsia="宋体" w:cs="Times New Roman"/>
                <w:sz w:val="18"/>
                <w:szCs w:val="18"/>
                <w:lang w:eastAsia="zh-CN"/>
              </w:rPr>
            </w:pPr>
            <w:r>
              <w:rPr>
                <w:rFonts w:hint="eastAsia" w:ascii="宋体" w:hAnsi="宋体" w:eastAsia="宋体" w:cs="Times New Roman"/>
                <w:sz w:val="18"/>
                <w:szCs w:val="18"/>
                <w:lang w:eastAsia="zh-CN"/>
              </w:rPr>
              <w:t>2、违反规定下发补贴的；</w:t>
            </w:r>
          </w:p>
          <w:p w14:paraId="165DB701">
            <w:pPr>
              <w:tabs>
                <w:tab w:val="left" w:pos="7937"/>
              </w:tabs>
              <w:spacing w:line="280" w:lineRule="exact"/>
              <w:rPr>
                <w:rFonts w:hint="eastAsia" w:ascii="宋体" w:hAnsi="宋体" w:eastAsia="宋体" w:cs="Times New Roman"/>
                <w:sz w:val="18"/>
                <w:szCs w:val="18"/>
                <w:lang w:val="en-US" w:eastAsia="zh-CN"/>
              </w:rPr>
            </w:pPr>
          </w:p>
        </w:tc>
        <w:tc>
          <w:tcPr>
            <w:tcW w:w="972" w:type="dxa"/>
            <w:noWrap w:val="0"/>
            <w:vAlign w:val="center"/>
          </w:tcPr>
          <w:p w14:paraId="7E0C3C20">
            <w:pPr>
              <w:tabs>
                <w:tab w:val="left" w:pos="7937"/>
              </w:tabs>
              <w:spacing w:line="280" w:lineRule="exact"/>
              <w:rPr>
                <w:rFonts w:hint="eastAsia" w:ascii="宋体" w:hAnsi="宋体" w:eastAsia="宋体" w:cs="Times New Roman"/>
                <w:sz w:val="18"/>
                <w:szCs w:val="18"/>
                <w:lang w:val="en-US" w:eastAsia="zh-CN"/>
              </w:rPr>
            </w:pPr>
          </w:p>
        </w:tc>
      </w:tr>
      <w:tr w14:paraId="0BA7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50C2CF61">
            <w:pPr>
              <w:tabs>
                <w:tab w:val="left" w:pos="7937"/>
              </w:tabs>
              <w:spacing w:line="280" w:lineRule="exact"/>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6</w:t>
            </w:r>
          </w:p>
        </w:tc>
        <w:tc>
          <w:tcPr>
            <w:tcW w:w="1156" w:type="dxa"/>
            <w:noWrap w:val="0"/>
            <w:vAlign w:val="center"/>
          </w:tcPr>
          <w:p w14:paraId="2CFB0AB7">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行政奖励</w:t>
            </w:r>
          </w:p>
        </w:tc>
        <w:tc>
          <w:tcPr>
            <w:tcW w:w="1185" w:type="dxa"/>
            <w:noWrap w:val="0"/>
            <w:vAlign w:val="center"/>
          </w:tcPr>
          <w:p w14:paraId="308E6E96">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对基层法律服务所基层法律服务者进行表彰奖励</w:t>
            </w:r>
          </w:p>
        </w:tc>
        <w:tc>
          <w:tcPr>
            <w:tcW w:w="1155" w:type="dxa"/>
            <w:noWrap w:val="0"/>
            <w:vAlign w:val="center"/>
          </w:tcPr>
          <w:p w14:paraId="31606061">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滦州市司法局</w:t>
            </w:r>
          </w:p>
        </w:tc>
        <w:tc>
          <w:tcPr>
            <w:tcW w:w="3885" w:type="dxa"/>
            <w:noWrap w:val="0"/>
            <w:vAlign w:val="center"/>
          </w:tcPr>
          <w:p w14:paraId="2CD34D28">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《基层法律服务所管理办法》司法部令第137号第三十五条。</w:t>
            </w:r>
          </w:p>
          <w:p w14:paraId="324A970F">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《基层法律服务工作者管理办法》司法部令第138号第四十五条规定。</w:t>
            </w:r>
          </w:p>
        </w:tc>
        <w:tc>
          <w:tcPr>
            <w:tcW w:w="2475" w:type="dxa"/>
            <w:noWrap w:val="0"/>
            <w:vAlign w:val="center"/>
          </w:tcPr>
          <w:p w14:paraId="0C4B26F6">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1、立案责任：发现法律服务所及法律服务工作者有符合行政奖励的的条件，予以审查，决定是否奖励</w:t>
            </w:r>
          </w:p>
          <w:p w14:paraId="36B4B7EE">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2、调查责任：司法行政机关对立案的行政奖励及时组织调查。</w:t>
            </w:r>
          </w:p>
          <w:p w14:paraId="16C220D1">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3、审查责任：审查奖励报告。</w:t>
            </w:r>
          </w:p>
          <w:p w14:paraId="5252C3EF">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4、告知责任：作出行政奖励前，应制做奖励证书，送达当事人。</w:t>
            </w:r>
          </w:p>
          <w:p w14:paraId="1E9EA190">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5、其他法律法规文件规定应履行的责任。</w:t>
            </w:r>
          </w:p>
        </w:tc>
        <w:tc>
          <w:tcPr>
            <w:tcW w:w="2235" w:type="dxa"/>
            <w:noWrap w:val="0"/>
            <w:vAlign w:val="center"/>
          </w:tcPr>
          <w:p w14:paraId="5FC024DE">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依据司法部137号令第四十二条：上级司法行政机关认为下级司法行政机关在年度考核和行政处罚工作中有错误或者不当的，应当及时责令其改正。</w:t>
            </w:r>
          </w:p>
          <w:p w14:paraId="570C12A0">
            <w:pPr>
              <w:tabs>
                <w:tab w:val="left" w:pos="7937"/>
              </w:tabs>
              <w:spacing w:line="280" w:lineRule="exact"/>
              <w:rPr>
                <w:rFonts w:hint="eastAsia" w:ascii="宋体" w:hAnsi="宋体" w:eastAsia="宋体" w:cs="Times New Roman"/>
                <w:sz w:val="18"/>
                <w:szCs w:val="18"/>
                <w:lang w:val="en-US" w:eastAsia="zh-CN"/>
              </w:rPr>
            </w:pPr>
          </w:p>
          <w:p w14:paraId="47F19200">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依据司法部138号令第五十一条：司法行政机关及其工作人员人员不履行管理职责或者侵犯基层法律服务所合法权益的，应当追究主管人员和直接责任人员的行政责任。</w:t>
            </w:r>
          </w:p>
        </w:tc>
        <w:tc>
          <w:tcPr>
            <w:tcW w:w="972" w:type="dxa"/>
            <w:noWrap w:val="0"/>
            <w:vAlign w:val="center"/>
          </w:tcPr>
          <w:p w14:paraId="749AB55B">
            <w:pPr>
              <w:tabs>
                <w:tab w:val="left" w:pos="7937"/>
              </w:tabs>
              <w:spacing w:line="280" w:lineRule="exact"/>
              <w:rPr>
                <w:rFonts w:hint="eastAsia" w:ascii="宋体" w:hAnsi="宋体" w:eastAsia="宋体" w:cs="Times New Roman"/>
                <w:sz w:val="18"/>
                <w:szCs w:val="18"/>
                <w:lang w:val="en-US" w:eastAsia="zh-CN"/>
              </w:rPr>
            </w:pPr>
          </w:p>
        </w:tc>
      </w:tr>
      <w:tr w14:paraId="596D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2" w:hRule="atLeast"/>
        </w:trPr>
        <w:tc>
          <w:tcPr>
            <w:tcW w:w="752" w:type="dxa"/>
            <w:tcBorders>
              <w:top w:val="single" w:color="auto" w:sz="4" w:space="0"/>
              <w:left w:val="single" w:color="auto" w:sz="4" w:space="0"/>
              <w:bottom w:val="single" w:color="auto" w:sz="4" w:space="0"/>
              <w:right w:val="single" w:color="auto" w:sz="4" w:space="0"/>
            </w:tcBorders>
            <w:noWrap w:val="0"/>
            <w:vAlign w:val="center"/>
          </w:tcPr>
          <w:p w14:paraId="4A3D507C">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7</w:t>
            </w:r>
          </w:p>
        </w:tc>
        <w:tc>
          <w:tcPr>
            <w:tcW w:w="1156" w:type="dxa"/>
            <w:tcBorders>
              <w:top w:val="single" w:color="auto" w:sz="4" w:space="0"/>
              <w:left w:val="single" w:color="auto" w:sz="4" w:space="0"/>
              <w:bottom w:val="single" w:color="auto" w:sz="4" w:space="0"/>
              <w:right w:val="single" w:color="auto" w:sz="4" w:space="0"/>
            </w:tcBorders>
            <w:noWrap w:val="0"/>
            <w:vAlign w:val="center"/>
          </w:tcPr>
          <w:p w14:paraId="1464B982">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行政奖励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3DAAAB9">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对律师事务所、律师进行表彰奖励</w:t>
            </w:r>
          </w:p>
          <w:p w14:paraId="095DEB22">
            <w:pPr>
              <w:tabs>
                <w:tab w:val="left" w:pos="7937"/>
              </w:tabs>
              <w:spacing w:line="280" w:lineRule="exact"/>
              <w:rPr>
                <w:rFonts w:hint="eastAsia" w:ascii="宋体" w:hAnsi="宋体" w:eastAsia="宋体" w:cs="Times New Roman"/>
                <w:sz w:val="18"/>
                <w:szCs w:val="18"/>
                <w:lang w:val="en-US" w:eastAsia="zh-CN"/>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58A3E2C">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滦州市司法局</w:t>
            </w:r>
          </w:p>
        </w:tc>
        <w:tc>
          <w:tcPr>
            <w:tcW w:w="3885" w:type="dxa"/>
            <w:tcBorders>
              <w:top w:val="single" w:color="auto" w:sz="4" w:space="0"/>
              <w:left w:val="single" w:color="auto" w:sz="4" w:space="0"/>
              <w:bottom w:val="single" w:color="auto" w:sz="4" w:space="0"/>
              <w:right w:val="single" w:color="auto" w:sz="4" w:space="0"/>
            </w:tcBorders>
            <w:noWrap w:val="0"/>
            <w:vAlign w:val="center"/>
          </w:tcPr>
          <w:p w14:paraId="0D335DF2">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司法部令第133号《律师事务所管理办法》第六条和.司法部令第134号《律师执业管理办法》第五条，对为维护人民群众合法权益、促进经济社会发展和国家法治建设作出突出贡献的律师事务所、律师进行表彰奖励。</w:t>
            </w:r>
          </w:p>
          <w:p w14:paraId="4C9EF4AB">
            <w:pPr>
              <w:tabs>
                <w:tab w:val="left" w:pos="7937"/>
              </w:tabs>
              <w:spacing w:line="280" w:lineRule="exact"/>
              <w:rPr>
                <w:rFonts w:hint="eastAsia" w:ascii="宋体" w:hAnsi="宋体" w:eastAsia="宋体" w:cs="Times New Roman"/>
                <w:sz w:val="18"/>
                <w:szCs w:val="18"/>
                <w:lang w:val="en-US" w:eastAsia="zh-CN"/>
              </w:rPr>
            </w:pPr>
          </w:p>
        </w:tc>
        <w:tc>
          <w:tcPr>
            <w:tcW w:w="2475" w:type="dxa"/>
            <w:tcBorders>
              <w:top w:val="single" w:color="auto" w:sz="4" w:space="0"/>
              <w:left w:val="single" w:color="auto" w:sz="4" w:space="0"/>
              <w:bottom w:val="single" w:color="auto" w:sz="4" w:space="0"/>
              <w:right w:val="single" w:color="auto" w:sz="4" w:space="0"/>
            </w:tcBorders>
            <w:noWrap w:val="0"/>
            <w:vAlign w:val="center"/>
          </w:tcPr>
          <w:p w14:paraId="2B457052">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1、审查责任：发现律师事务所及律师有符合奖励的条件，予以审查，决定是否进行奖励报送。</w:t>
            </w:r>
          </w:p>
          <w:p w14:paraId="631F7415">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2、调查责任：司法行政机关对符合的行政奖励及时组织调查。</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5C0588F2">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《律师执业管理办法》第六十条　司法行政机关工作人员在律师执业许可和实施监督管理活动中，滥用职权、玩忽职守，构成犯罪的，依法追究刑事责任；尚不构成犯罪的，依法给予行政处分。     《律师事务所管理办法》第七十六条 司法行政机关工作人员在律师事务所设立许可和实施监督管理活动中，滥用职权、玩忽职守，构成犯罪的，依法追究刑事责任;尚不构成犯罪的，依法给予行政处分。</w:t>
            </w:r>
          </w:p>
        </w:tc>
        <w:tc>
          <w:tcPr>
            <w:tcW w:w="972" w:type="dxa"/>
            <w:tcBorders>
              <w:top w:val="single" w:color="auto" w:sz="4" w:space="0"/>
              <w:left w:val="single" w:color="auto" w:sz="4" w:space="0"/>
              <w:bottom w:val="single" w:color="auto" w:sz="4" w:space="0"/>
              <w:right w:val="single" w:color="auto" w:sz="4" w:space="0"/>
            </w:tcBorders>
            <w:noWrap w:val="0"/>
            <w:vAlign w:val="center"/>
          </w:tcPr>
          <w:p w14:paraId="192728FB">
            <w:pPr>
              <w:autoSpaceDN w:val="0"/>
              <w:spacing w:line="300" w:lineRule="exact"/>
              <w:jc w:val="center"/>
              <w:textAlignment w:val="center"/>
              <w:rPr>
                <w:rFonts w:ascii="仿宋_GB2312"/>
                <w:color w:val="000000"/>
                <w:sz w:val="24"/>
                <w:szCs w:val="24"/>
              </w:rPr>
            </w:pPr>
          </w:p>
        </w:tc>
      </w:tr>
      <w:tr w14:paraId="4913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6875F18D">
            <w:pPr>
              <w:tabs>
                <w:tab w:val="left" w:pos="7937"/>
              </w:tabs>
              <w:spacing w:line="280" w:lineRule="exact"/>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8</w:t>
            </w:r>
          </w:p>
        </w:tc>
        <w:tc>
          <w:tcPr>
            <w:tcW w:w="1156" w:type="dxa"/>
            <w:noWrap w:val="0"/>
            <w:vAlign w:val="center"/>
          </w:tcPr>
          <w:p w14:paraId="72B7D13A">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4DCFF136">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eastAsia="zh-CN"/>
              </w:rPr>
              <w:t>办理公证事项和事务</w:t>
            </w:r>
          </w:p>
        </w:tc>
        <w:tc>
          <w:tcPr>
            <w:tcW w:w="1155" w:type="dxa"/>
            <w:noWrap w:val="0"/>
            <w:vAlign w:val="center"/>
          </w:tcPr>
          <w:p w14:paraId="2C857AD4">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val="en-US" w:eastAsia="zh-CN"/>
              </w:rPr>
              <w:t>滦州市司法局公证处</w:t>
            </w:r>
          </w:p>
        </w:tc>
        <w:tc>
          <w:tcPr>
            <w:tcW w:w="3885" w:type="dxa"/>
            <w:noWrap w:val="0"/>
            <w:vAlign w:val="center"/>
          </w:tcPr>
          <w:p w14:paraId="404497F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464" w:firstLineChars="200"/>
              <w:jc w:val="both"/>
              <w:textAlignment w:val="auto"/>
              <w:rPr>
                <w:rFonts w:hint="eastAsia" w:ascii="宋体" w:hAnsi="宋体" w:eastAsia="宋体" w:cs="Times New Roman"/>
                <w:kern w:val="2"/>
                <w:sz w:val="18"/>
                <w:szCs w:val="18"/>
                <w:lang w:val="en-US" w:eastAsia="zh-CN" w:bidi="ar-SA"/>
              </w:rPr>
            </w:pPr>
            <w:r>
              <w:rPr>
                <w:rFonts w:hint="eastAsia" w:ascii="仿宋" w:hAnsi="仿宋" w:eastAsia="仿宋" w:cs="仿宋"/>
                <w:sz w:val="24"/>
                <w:szCs w:val="24"/>
                <w:shd w:val="clear" w:color="auto" w:fill="FFFFFF"/>
              </w:rPr>
              <w:t> </w:t>
            </w:r>
            <w:r>
              <w:rPr>
                <w:rFonts w:hint="eastAsia" w:ascii="宋体" w:hAnsi="宋体" w:eastAsia="宋体" w:cs="Times New Roman"/>
                <w:kern w:val="2"/>
                <w:sz w:val="18"/>
                <w:szCs w:val="18"/>
                <w:lang w:val="en-US" w:eastAsia="zh-CN" w:bidi="ar-SA"/>
              </w:rPr>
              <w:t>《公证法》第四章公证程序第二十七条　申请办理公证的当事人应当向公证机构如实说明申请公证的事项的有关情况，提供真实、合法、充分的证明材料；提供的证明材料不充分的，公证机构可以要求补充。</w:t>
            </w:r>
          </w:p>
          <w:p w14:paraId="26E4EAA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公证机构受理公证申请后，应当告知当事人申请公证事项的法律意义和可能产生的法律后果，并将告知内容记录存档。</w:t>
            </w:r>
          </w:p>
          <w:p w14:paraId="764413C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《公证法》第四章公证程序第二十八条　公证机构办理公证，应当根据不同公证事项的办证规则，分别审查下列事项：</w:t>
            </w:r>
          </w:p>
          <w:p w14:paraId="604B73F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（一）当事人的身份、申请办理该项公证的资格以及相应的权利；</w:t>
            </w:r>
          </w:p>
          <w:p w14:paraId="6744035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（二）提供的文书内容是否完备，含义是否清晰，签名、印鉴是否齐全；</w:t>
            </w:r>
          </w:p>
          <w:p w14:paraId="10D54D3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（三）提供的证明材料是否真实、合法、充分；</w:t>
            </w:r>
          </w:p>
          <w:p w14:paraId="46FF28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（四）申请公证的事项是否真实、合法。</w:t>
            </w:r>
          </w:p>
          <w:p w14:paraId="430C4BA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    《公证法》第四章公证程序第二十九条　公证机构对申请公证的事项以及当事人提供的证明材料，按照有关办证规则需要核实或者对其有疑义的，应当进行核实，或者委托异地公证机构代为核实，有关单位或者个人应当依法予以协助。</w:t>
            </w:r>
          </w:p>
          <w:p w14:paraId="301943C8">
            <w:pPr>
              <w:pStyle w:val="4"/>
              <w:keepNext w:val="0"/>
              <w:keepLines w:val="0"/>
              <w:widowControl/>
              <w:suppressLineNumbers w:val="0"/>
              <w:spacing w:before="0" w:beforeAutospacing="0" w:after="0" w:afterAutospacing="0" w:line="270" w:lineRule="atLeast"/>
              <w:ind w:left="0" w:right="0"/>
              <w:jc w:val="both"/>
            </w:pPr>
          </w:p>
          <w:p w14:paraId="69E94129">
            <w:pPr>
              <w:tabs>
                <w:tab w:val="left" w:pos="7937"/>
              </w:tabs>
              <w:spacing w:line="280" w:lineRule="exact"/>
              <w:rPr>
                <w:rFonts w:hint="eastAsia" w:ascii="宋体" w:hAnsi="宋体" w:eastAsia="宋体" w:cs="Times New Roman"/>
                <w:sz w:val="18"/>
                <w:szCs w:val="18"/>
                <w:lang w:val="en-US" w:eastAsia="zh-CN"/>
              </w:rPr>
            </w:pPr>
          </w:p>
        </w:tc>
        <w:tc>
          <w:tcPr>
            <w:tcW w:w="2475" w:type="dxa"/>
            <w:noWrap w:val="0"/>
            <w:vAlign w:val="center"/>
          </w:tcPr>
          <w:p w14:paraId="69756C94">
            <w:p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eastAsia="zh-CN"/>
              </w:rPr>
              <w:t>公证执法是指公证处根据法律规定，对某些事实进行证明或认证。例如，证明某人的身份或某份文件的真实性。公证执法的实施，可以加强法律的执行力度，保护社会公共利益。</w:t>
            </w:r>
          </w:p>
        </w:tc>
        <w:tc>
          <w:tcPr>
            <w:tcW w:w="2235" w:type="dxa"/>
            <w:noWrap w:val="0"/>
            <w:vAlign w:val="center"/>
          </w:tcPr>
          <w:p w14:paraId="6D3FEA61">
            <w:pPr>
              <w:numPr>
                <w:ilvl w:val="0"/>
                <w:numId w:val="1"/>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公证文书文印差错（包括公证文书制作过程中的打印、校对、盖章、装订有明显错误的），导致直接造成当事人经济损失的；</w:t>
            </w:r>
          </w:p>
          <w:p w14:paraId="1D54FA3D">
            <w:pPr>
              <w:numPr>
                <w:ilvl w:val="0"/>
                <w:numId w:val="1"/>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因违反公证执业区域管辖所办理的公证，导致直接造成当事人经济损失的；</w:t>
            </w:r>
          </w:p>
          <w:p w14:paraId="1F79D284">
            <w:pPr>
              <w:numPr>
                <w:ilvl w:val="0"/>
                <w:numId w:val="1"/>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因违反公证法定程序所办理的公证，导致直接造成当事人经济损失的；</w:t>
            </w:r>
          </w:p>
          <w:p w14:paraId="402AABBA">
            <w:pPr>
              <w:numPr>
                <w:ilvl w:val="0"/>
                <w:numId w:val="1"/>
              </w:numPr>
              <w:tabs>
                <w:tab w:val="left" w:pos="7937"/>
              </w:tabs>
              <w:spacing w:line="280" w:lineRule="exact"/>
              <w:rPr>
                <w:rFonts w:hint="eastAsia" w:ascii="宋体" w:hAnsi="宋体" w:eastAsia="宋体" w:cs="Times New Roman"/>
                <w:sz w:val="18"/>
                <w:szCs w:val="18"/>
                <w:lang w:val="en-US" w:eastAsia="zh-CN"/>
              </w:rPr>
            </w:pPr>
            <w:r>
              <w:rPr>
                <w:rFonts w:hint="eastAsia" w:ascii="宋体" w:hAnsi="宋体" w:eastAsia="宋体"/>
                <w:sz w:val="18"/>
                <w:szCs w:val="18"/>
                <w:lang w:eastAsia="zh-CN"/>
              </w:rPr>
              <w:t>其他过错行为导致公证书不真实、合法，导致直接造成当事人经济损失的。</w:t>
            </w:r>
          </w:p>
        </w:tc>
        <w:tc>
          <w:tcPr>
            <w:tcW w:w="972" w:type="dxa"/>
            <w:noWrap w:val="0"/>
            <w:vAlign w:val="center"/>
          </w:tcPr>
          <w:p w14:paraId="26E9A1C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宋体" w:hAnsi="宋体" w:eastAsia="宋体" w:cs="Times New Roman"/>
                <w:sz w:val="18"/>
                <w:szCs w:val="18"/>
                <w:lang w:val="en-US" w:eastAsia="zh-CN"/>
              </w:rPr>
            </w:pPr>
          </w:p>
        </w:tc>
      </w:tr>
      <w:tr w14:paraId="5BAC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7" w:hRule="exact"/>
        </w:trPr>
        <w:tc>
          <w:tcPr>
            <w:tcW w:w="752" w:type="dxa"/>
            <w:noWrap w:val="0"/>
            <w:vAlign w:val="center"/>
          </w:tcPr>
          <w:p w14:paraId="306FC439">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sz w:val="18"/>
                <w:szCs w:val="18"/>
                <w:lang w:val="en-US" w:eastAsia="zh-CN"/>
              </w:rPr>
              <w:t>9</w:t>
            </w:r>
          </w:p>
        </w:tc>
        <w:tc>
          <w:tcPr>
            <w:tcW w:w="1156" w:type="dxa"/>
            <w:noWrap w:val="0"/>
            <w:vAlign w:val="center"/>
          </w:tcPr>
          <w:p w14:paraId="17F89E5F">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66E957E1">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公证法规政策咨询</w:t>
            </w:r>
          </w:p>
        </w:tc>
        <w:tc>
          <w:tcPr>
            <w:tcW w:w="1155" w:type="dxa"/>
            <w:noWrap w:val="0"/>
            <w:vAlign w:val="center"/>
          </w:tcPr>
          <w:p w14:paraId="0BBCD668">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滦州市司法局公证处</w:t>
            </w:r>
          </w:p>
        </w:tc>
        <w:tc>
          <w:tcPr>
            <w:tcW w:w="3885" w:type="dxa"/>
            <w:noWrap w:val="0"/>
            <w:vAlign w:val="center"/>
          </w:tcPr>
          <w:p w14:paraId="3187B4E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《公证法》第四章公证程序第二十七条　申请办理公证的当事人应当向公证机构如实说明申请公证的事项的有关情况，提供真实、合法、充分的证明材料；提供的证明材料不充分的，公证机构可以要求补充。</w:t>
            </w:r>
          </w:p>
          <w:p w14:paraId="139CB8E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公证机构受理公证申请后，应当告知当事人申请公证事项的法律意义和可能产生的法律后果，并将告知内容记录存档。</w:t>
            </w:r>
          </w:p>
          <w:p w14:paraId="74082DCC">
            <w:pPr>
              <w:tabs>
                <w:tab w:val="left" w:pos="7937"/>
              </w:tabs>
              <w:spacing w:line="280" w:lineRule="exact"/>
              <w:rPr>
                <w:rFonts w:hint="eastAsia" w:ascii="宋体" w:hAnsi="宋体" w:eastAsia="宋体"/>
                <w:kern w:val="2"/>
                <w:sz w:val="18"/>
                <w:szCs w:val="18"/>
                <w:lang w:val="en-US" w:eastAsia="zh-CN" w:bidi="ar-SA"/>
              </w:rPr>
            </w:pPr>
          </w:p>
        </w:tc>
        <w:tc>
          <w:tcPr>
            <w:tcW w:w="2475" w:type="dxa"/>
            <w:noWrap w:val="0"/>
            <w:vAlign w:val="center"/>
          </w:tcPr>
          <w:p w14:paraId="5A041BF0">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eastAsia="zh-CN"/>
              </w:rPr>
              <w:t>公证处可以向公民、法人和组织提供法律咨询服务。这些咨询服务包括个人、家庭、财产和遗产等方面。公证处可以解答各种法律问题，例如遗嘱的撰写、财产的分配、授权书的签署等等。公证处的法律咨询服务，可以帮助公民、法人和组织更好地了解法律，保护自身权益。</w:t>
            </w:r>
          </w:p>
        </w:tc>
        <w:tc>
          <w:tcPr>
            <w:tcW w:w="2235" w:type="dxa"/>
            <w:noWrap w:val="0"/>
            <w:vAlign w:val="center"/>
          </w:tcPr>
          <w:p w14:paraId="1CE97DF0">
            <w:pPr>
              <w:numPr>
                <w:ilvl w:val="0"/>
                <w:numId w:val="2"/>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公证文书文印差错（包括公证文书制作过程中的打印、校对、盖章、装订有明显错误的），导致直接造成当事人经济损失的；</w:t>
            </w:r>
          </w:p>
          <w:p w14:paraId="10055877">
            <w:pPr>
              <w:numPr>
                <w:ilvl w:val="0"/>
                <w:numId w:val="2"/>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因违反公证执业区域管辖所办理的公证，导致直接造成当事人经济损失的；</w:t>
            </w:r>
          </w:p>
          <w:p w14:paraId="65CA82D1">
            <w:pPr>
              <w:numPr>
                <w:ilvl w:val="0"/>
                <w:numId w:val="2"/>
              </w:num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因违反公证法定程序所办理的公证，导致直接造成当事人经济损失的；</w:t>
            </w:r>
          </w:p>
          <w:p w14:paraId="2E8E2A8F">
            <w:pPr>
              <w:numPr>
                <w:ilvl w:val="0"/>
                <w:numId w:val="0"/>
              </w:numPr>
              <w:tabs>
                <w:tab w:val="left" w:pos="7937"/>
              </w:tabs>
              <w:spacing w:line="280" w:lineRule="exact"/>
              <w:ind w:left="0" w:leftChars="0" w:firstLine="0" w:firstLineChars="0"/>
              <w:rPr>
                <w:rFonts w:hint="eastAsia" w:ascii="宋体" w:hAnsi="宋体" w:eastAsia="宋体"/>
                <w:kern w:val="2"/>
                <w:sz w:val="18"/>
                <w:szCs w:val="18"/>
                <w:lang w:val="en-US" w:eastAsia="zh-CN" w:bidi="ar-SA"/>
              </w:rPr>
            </w:pPr>
            <w:r>
              <w:rPr>
                <w:rFonts w:hint="eastAsia" w:ascii="宋体" w:hAnsi="宋体" w:eastAsia="宋体"/>
                <w:sz w:val="18"/>
                <w:szCs w:val="18"/>
                <w:lang w:eastAsia="zh-CN"/>
              </w:rPr>
              <w:t>其他过错行为导致公证书不真实、合法，导致直接造成当事人经济损失的。</w:t>
            </w:r>
          </w:p>
        </w:tc>
        <w:tc>
          <w:tcPr>
            <w:tcW w:w="972" w:type="dxa"/>
            <w:noWrap w:val="0"/>
            <w:vAlign w:val="center"/>
          </w:tcPr>
          <w:p w14:paraId="71BBA07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kern w:val="2"/>
                <w:sz w:val="24"/>
                <w:szCs w:val="32"/>
                <w:u w:val="none"/>
                <w:lang w:val="en-US" w:eastAsia="zh-CN" w:bidi="ar-SA"/>
              </w:rPr>
            </w:pPr>
          </w:p>
        </w:tc>
      </w:tr>
      <w:tr w14:paraId="5FF0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3" w:hRule="exact"/>
        </w:trPr>
        <w:tc>
          <w:tcPr>
            <w:tcW w:w="752" w:type="dxa"/>
            <w:noWrap w:val="0"/>
            <w:vAlign w:val="center"/>
          </w:tcPr>
          <w:p w14:paraId="43CBE900">
            <w:pPr>
              <w:tabs>
                <w:tab w:val="left" w:pos="7937"/>
              </w:tabs>
              <w:spacing w:line="280" w:lineRule="exact"/>
              <w:rPr>
                <w:rFonts w:hint="eastAsia" w:ascii="宋体" w:hAnsi="宋体" w:eastAsia="宋体"/>
                <w:sz w:val="18"/>
                <w:szCs w:val="18"/>
                <w:lang w:val="en-US" w:eastAsia="zh-CN"/>
              </w:rPr>
            </w:pPr>
          </w:p>
          <w:p w14:paraId="14D8814D">
            <w:pPr>
              <w:tabs>
                <w:tab w:val="left" w:pos="7937"/>
              </w:tabs>
              <w:spacing w:line="280" w:lineRule="exact"/>
              <w:rPr>
                <w:rFonts w:hint="eastAsia" w:ascii="宋体" w:hAnsi="宋体" w:eastAsia="宋体"/>
                <w:sz w:val="18"/>
                <w:szCs w:val="18"/>
                <w:lang w:val="en-US" w:eastAsia="zh-CN"/>
              </w:rPr>
            </w:pPr>
          </w:p>
          <w:p w14:paraId="34D69628">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10</w:t>
            </w:r>
          </w:p>
          <w:p w14:paraId="44461D0F">
            <w:pPr>
              <w:tabs>
                <w:tab w:val="left" w:pos="7937"/>
              </w:tabs>
              <w:spacing w:line="280" w:lineRule="exact"/>
              <w:rPr>
                <w:rFonts w:hint="default" w:ascii="宋体" w:hAnsi="宋体" w:eastAsia="宋体"/>
                <w:sz w:val="18"/>
                <w:szCs w:val="18"/>
                <w:lang w:val="en-US" w:eastAsia="zh-CN"/>
              </w:rPr>
            </w:pPr>
          </w:p>
        </w:tc>
        <w:tc>
          <w:tcPr>
            <w:tcW w:w="1156" w:type="dxa"/>
            <w:noWrap w:val="0"/>
            <w:vAlign w:val="center"/>
          </w:tcPr>
          <w:p w14:paraId="4270A19A">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5D8D8FD5">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法律援助投诉受理</w:t>
            </w:r>
          </w:p>
          <w:p w14:paraId="25785B34">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547135CC">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1007E02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五十五</w:t>
            </w:r>
            <w:r>
              <w:rPr>
                <w:rFonts w:hint="eastAsia" w:ascii="宋体" w:hAnsi="宋体" w:eastAsia="宋体"/>
                <w:sz w:val="18"/>
                <w:szCs w:val="18"/>
                <w:lang w:eastAsia="zh-CN"/>
              </w:rPr>
              <w:t>条　</w:t>
            </w:r>
          </w:p>
          <w:p w14:paraId="395C4B9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受援人有权向法律援助机构、法律援助人员了解法律援助事项办理情况；法律援助机构、法律援助人员未依法履行职责的，受援人可以向司法行政部门投诉，并可以请求法律援助机构更换法律援助人员。</w:t>
            </w:r>
          </w:p>
        </w:tc>
        <w:tc>
          <w:tcPr>
            <w:tcW w:w="2475" w:type="dxa"/>
            <w:noWrap w:val="0"/>
            <w:vAlign w:val="center"/>
          </w:tcPr>
          <w:p w14:paraId="2F9B3A3E">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29B3DFF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5D4D80D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79FEE2D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4CD0ABCF">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（五）法律法规规定的其他情形。</w:t>
            </w:r>
          </w:p>
        </w:tc>
        <w:tc>
          <w:tcPr>
            <w:tcW w:w="2235" w:type="dxa"/>
            <w:noWrap w:val="0"/>
            <w:vAlign w:val="center"/>
          </w:tcPr>
          <w:p w14:paraId="4B7BB1B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2EF51383">
            <w:pPr>
              <w:tabs>
                <w:tab w:val="left" w:pos="7937"/>
              </w:tabs>
              <w:spacing w:line="280" w:lineRule="exact"/>
              <w:rPr>
                <w:rFonts w:hint="eastAsia" w:ascii="宋体" w:hAnsi="宋体" w:eastAsia="宋体"/>
                <w:sz w:val="18"/>
                <w:szCs w:val="18"/>
                <w:lang w:eastAsia="zh-CN"/>
              </w:rPr>
            </w:pPr>
          </w:p>
        </w:tc>
        <w:tc>
          <w:tcPr>
            <w:tcW w:w="972" w:type="dxa"/>
            <w:noWrap w:val="0"/>
            <w:vAlign w:val="center"/>
          </w:tcPr>
          <w:p w14:paraId="765B2BE9">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3574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exact"/>
        </w:trPr>
        <w:tc>
          <w:tcPr>
            <w:tcW w:w="752" w:type="dxa"/>
            <w:noWrap w:val="0"/>
            <w:vAlign w:val="center"/>
          </w:tcPr>
          <w:p w14:paraId="11292529">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11</w:t>
            </w:r>
          </w:p>
        </w:tc>
        <w:tc>
          <w:tcPr>
            <w:tcW w:w="1156" w:type="dxa"/>
            <w:noWrap w:val="0"/>
            <w:vAlign w:val="center"/>
          </w:tcPr>
          <w:p w14:paraId="0744534B">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1E3CCF12">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当事人申请法律援助案件受理、审查、指派、监督、结案审查</w:t>
            </w:r>
          </w:p>
          <w:p w14:paraId="67B6ED08">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23880DDD">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2DD1E63E">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《《中华人民共和国法律援助法》第三十一条</w:t>
            </w:r>
          </w:p>
          <w:p w14:paraId="34A1836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下列事项的当事人，因经济困难没有委托代理人的，可以向法律援助机构申请法律援助：</w:t>
            </w:r>
          </w:p>
          <w:p w14:paraId="5168D9F8">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（一）依法请求国家赔偿；</w:t>
            </w:r>
          </w:p>
          <w:p w14:paraId="4C776F12">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（二）请求给予社会保险待遇或者社会救助；</w:t>
            </w:r>
          </w:p>
          <w:p w14:paraId="15720144">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（三）请求发给抚恤金；</w:t>
            </w:r>
          </w:p>
          <w:p w14:paraId="442325E8">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（四）请求给付赡养费、抚养费、扶养费；</w:t>
            </w:r>
          </w:p>
          <w:p w14:paraId="26F0439D">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（五）请求确认劳动关系或者支付劳动报酬；</w:t>
            </w:r>
          </w:p>
          <w:p w14:paraId="61B4E0ED">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（六）请求认定公民无民事行为能力或者限制民事行为能力；</w:t>
            </w:r>
          </w:p>
          <w:p w14:paraId="440A1A3C">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（七）请求工伤事故、交通事故、食品药品安全事故、医疗事故人身损害赔偿；</w:t>
            </w:r>
          </w:p>
          <w:p w14:paraId="2E55CFC3">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（八）请求环境污染、生态破坏损害赔偿；</w:t>
            </w:r>
          </w:p>
          <w:p w14:paraId="1869ECAF">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（九）法律、法规、规章规定的其他情形。</w:t>
            </w:r>
          </w:p>
          <w:p w14:paraId="66130616">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5048203C">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2DE44AD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0F0219BB">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1343D81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5FFA5E4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0FF6489E">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04541C5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45D0A966">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3183457A">
            <w:pPr>
              <w:tabs>
                <w:tab w:val="left" w:pos="7937"/>
              </w:tabs>
              <w:spacing w:line="280" w:lineRule="exact"/>
              <w:rPr>
                <w:rFonts w:hint="eastAsia" w:ascii="宋体" w:hAnsi="宋体" w:eastAsia="宋体" w:cs="宋体"/>
                <w:sz w:val="18"/>
                <w:szCs w:val="18"/>
              </w:rPr>
            </w:pPr>
          </w:p>
        </w:tc>
        <w:tc>
          <w:tcPr>
            <w:tcW w:w="2235" w:type="dxa"/>
            <w:noWrap w:val="0"/>
            <w:vAlign w:val="center"/>
          </w:tcPr>
          <w:p w14:paraId="175464B0">
            <w:pPr>
              <w:widowControl/>
              <w:jc w:val="left"/>
            </w:pPr>
          </w:p>
          <w:p w14:paraId="30BD9612">
            <w:pPr>
              <w:tabs>
                <w:tab w:val="left" w:pos="7937"/>
              </w:tabs>
              <w:spacing w:line="280" w:lineRule="exact"/>
              <w:rPr>
                <w:rFonts w:hint="eastAsia" w:ascii="宋体" w:hAnsi="宋体" w:eastAsia="宋体"/>
                <w:sz w:val="18"/>
                <w:szCs w:val="18"/>
                <w:lang w:eastAsia="zh-CN"/>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1F237722">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62BA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exact"/>
        </w:trPr>
        <w:tc>
          <w:tcPr>
            <w:tcW w:w="752" w:type="dxa"/>
            <w:noWrap w:val="0"/>
            <w:vAlign w:val="center"/>
          </w:tcPr>
          <w:p w14:paraId="7A2DD891">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11</w:t>
            </w:r>
          </w:p>
        </w:tc>
        <w:tc>
          <w:tcPr>
            <w:tcW w:w="1156" w:type="dxa"/>
            <w:noWrap w:val="0"/>
            <w:vAlign w:val="center"/>
          </w:tcPr>
          <w:p w14:paraId="4B810D89">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15D173E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当事人申请法律援助案件受理、审查、指派、监督、结案审查</w:t>
            </w:r>
          </w:p>
        </w:tc>
        <w:tc>
          <w:tcPr>
            <w:tcW w:w="1155" w:type="dxa"/>
            <w:noWrap w:val="0"/>
            <w:vAlign w:val="center"/>
          </w:tcPr>
          <w:p w14:paraId="7E85722A">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滦州市司法局</w:t>
            </w:r>
          </w:p>
        </w:tc>
        <w:tc>
          <w:tcPr>
            <w:tcW w:w="3885" w:type="dxa"/>
            <w:noWrap w:val="0"/>
            <w:vAlign w:val="center"/>
          </w:tcPr>
          <w:p w14:paraId="5FD753E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四十三条 法律援助机构应当自收到法律援助申请之日起七日内进行审查，作出是否给予法律援助的决定。决定给予法律援助的，应当自作出决定之日起三日内指派法律援助人员为受援人提供法律援助；决定不给予法律援助的，应当书面告知申请人，并说明理由。</w:t>
            </w:r>
          </w:p>
          <w:p w14:paraId="308DD90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第四十六条 法律援助人员接受指派后，无正当理由不得拒绝、拖延或者终止提供法律援助服务。</w:t>
            </w:r>
          </w:p>
          <w:p w14:paraId="0EC5FEB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第五十条 法律援助事项办理结束后，法律援助人员应当及时向法律援助机构报告，提交有关法律文书的副本或者复印件、办理情况报告等材料。</w:t>
            </w:r>
          </w:p>
        </w:tc>
        <w:tc>
          <w:tcPr>
            <w:tcW w:w="2475" w:type="dxa"/>
            <w:noWrap w:val="0"/>
            <w:vAlign w:val="center"/>
          </w:tcPr>
          <w:p w14:paraId="03F1D1E4">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第六十一条 </w:t>
            </w:r>
          </w:p>
          <w:p w14:paraId="350DA2F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（一）拒绝为符合法律援助条件的人员提供法律援助，或者故意为不符合法律援助条件的人员提供法律援助；</w:t>
            </w:r>
          </w:p>
          <w:p w14:paraId="4F057A2E">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（二）指派不符合本法规定的人员提供法律援助；</w:t>
            </w:r>
          </w:p>
          <w:p w14:paraId="4E92903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7BA5F52F">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（四）从事有偿法律服务；</w:t>
            </w:r>
          </w:p>
          <w:p w14:paraId="5E54629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（五）侵占、私分、挪用法律援助经费；</w:t>
            </w:r>
          </w:p>
          <w:p w14:paraId="2EE41A9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（六）泄露法律援助过程中知悉的国家秘密、商业秘密和个人隐私；</w:t>
            </w:r>
          </w:p>
          <w:p w14:paraId="43F87B5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（七）法律法规规定的其他情形。</w:t>
            </w:r>
          </w:p>
          <w:p w14:paraId="5A22C9EC">
            <w:pPr>
              <w:tabs>
                <w:tab w:val="left" w:pos="7937"/>
              </w:tabs>
              <w:spacing w:line="280" w:lineRule="exact"/>
              <w:rPr>
                <w:rFonts w:hint="eastAsia" w:ascii="宋体" w:hAnsi="宋体" w:eastAsia="宋体" w:cs="宋体"/>
                <w:sz w:val="18"/>
                <w:szCs w:val="18"/>
              </w:rPr>
            </w:pPr>
          </w:p>
        </w:tc>
        <w:tc>
          <w:tcPr>
            <w:tcW w:w="2235" w:type="dxa"/>
            <w:noWrap w:val="0"/>
            <w:vAlign w:val="center"/>
          </w:tcPr>
          <w:p w14:paraId="6CC4307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法律</w:t>
            </w:r>
            <w:r>
              <w:rPr>
                <w:rFonts w:hint="eastAsia" w:ascii="宋体" w:hAnsi="宋体" w:eastAsia="宋体" w:cs="宋体"/>
                <w:sz w:val="18"/>
                <w:szCs w:val="18"/>
                <w:lang w:eastAsia="zh-CN"/>
              </w:rPr>
              <w:t>援助机构及其工作人员有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情形之一的，由设立该法律援助机构的司法行政部门责令限期改正；有违法所得的，责令退还或者没收违法所得；对直接负责的主管人员和其他直接责任人员，依法给予处分</w:t>
            </w:r>
          </w:p>
        </w:tc>
        <w:tc>
          <w:tcPr>
            <w:tcW w:w="972" w:type="dxa"/>
            <w:noWrap w:val="0"/>
            <w:vAlign w:val="center"/>
          </w:tcPr>
          <w:p w14:paraId="5A407145">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1571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exact"/>
        </w:trPr>
        <w:tc>
          <w:tcPr>
            <w:tcW w:w="752" w:type="dxa"/>
            <w:noWrap w:val="0"/>
            <w:vAlign w:val="center"/>
          </w:tcPr>
          <w:p w14:paraId="074232A9">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12</w:t>
            </w:r>
          </w:p>
        </w:tc>
        <w:tc>
          <w:tcPr>
            <w:tcW w:w="1156" w:type="dxa"/>
            <w:noWrap w:val="0"/>
            <w:vAlign w:val="center"/>
          </w:tcPr>
          <w:p w14:paraId="01991055">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56FE068B">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代拟法律文书援助</w:t>
            </w:r>
          </w:p>
          <w:p w14:paraId="0669FFA1">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02AD661A">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4F7C9AA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二十二</w:t>
            </w:r>
            <w:r>
              <w:rPr>
                <w:rFonts w:hint="eastAsia" w:ascii="宋体" w:hAnsi="宋体" w:eastAsia="宋体"/>
                <w:sz w:val="18"/>
                <w:szCs w:val="18"/>
                <w:lang w:eastAsia="zh-CN"/>
              </w:rPr>
              <w:t>条　法律援助机构可以组织法律援助人员依法提供下列形式的法律援助服务：</w:t>
            </w:r>
          </w:p>
          <w:p w14:paraId="2F958EC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  （一）法律咨询；</w:t>
            </w:r>
          </w:p>
          <w:p w14:paraId="249604D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  （二）代拟法律文书；</w:t>
            </w:r>
          </w:p>
          <w:p w14:paraId="4F37829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  （三）刑事辩护与代理；</w:t>
            </w:r>
          </w:p>
          <w:p w14:paraId="6063656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  （四）民事案件、行政案件、国家赔偿案件的诉讼代理及非诉讼代理；</w:t>
            </w:r>
          </w:p>
          <w:p w14:paraId="2ABF4F1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  （五）值班律师法律帮助；</w:t>
            </w:r>
          </w:p>
          <w:p w14:paraId="6036770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  （六）劳动争议调解与仲裁代理；</w:t>
            </w:r>
          </w:p>
          <w:p w14:paraId="5F8CAD69">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  （七）法律、法规、规章规定的其他形式。</w:t>
            </w:r>
          </w:p>
          <w:p w14:paraId="6ACFB910">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4C95B12D">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7CEF1C2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2E9F56A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315D40B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79E7ABDF">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（五）法律法规规定的其他情形。</w:t>
            </w:r>
          </w:p>
        </w:tc>
        <w:tc>
          <w:tcPr>
            <w:tcW w:w="2235" w:type="dxa"/>
            <w:noWrap w:val="0"/>
            <w:vAlign w:val="center"/>
          </w:tcPr>
          <w:p w14:paraId="18CCC37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526FC4B3">
            <w:pPr>
              <w:tabs>
                <w:tab w:val="left" w:pos="7937"/>
              </w:tabs>
              <w:spacing w:line="280" w:lineRule="exact"/>
              <w:rPr>
                <w:rFonts w:hint="eastAsia" w:ascii="宋体" w:hAnsi="宋体" w:eastAsia="宋体"/>
                <w:sz w:val="18"/>
                <w:szCs w:val="18"/>
                <w:lang w:eastAsia="zh-CN"/>
              </w:rPr>
            </w:pPr>
          </w:p>
        </w:tc>
        <w:tc>
          <w:tcPr>
            <w:tcW w:w="972" w:type="dxa"/>
            <w:noWrap w:val="0"/>
            <w:vAlign w:val="center"/>
          </w:tcPr>
          <w:p w14:paraId="682AC3C6">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79CC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7" w:hRule="exact"/>
        </w:trPr>
        <w:tc>
          <w:tcPr>
            <w:tcW w:w="752" w:type="dxa"/>
            <w:noWrap w:val="0"/>
            <w:vAlign w:val="center"/>
          </w:tcPr>
          <w:p w14:paraId="7E63A072">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13</w:t>
            </w:r>
          </w:p>
        </w:tc>
        <w:tc>
          <w:tcPr>
            <w:tcW w:w="1156" w:type="dxa"/>
            <w:noWrap w:val="0"/>
            <w:vAlign w:val="center"/>
          </w:tcPr>
          <w:p w14:paraId="4649E53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10C453E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非诉讼法律事务代理援助</w:t>
            </w:r>
          </w:p>
        </w:tc>
        <w:tc>
          <w:tcPr>
            <w:tcW w:w="1155" w:type="dxa"/>
            <w:noWrap w:val="0"/>
            <w:vAlign w:val="center"/>
          </w:tcPr>
          <w:p w14:paraId="1F76DA10">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255F661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第二十二条</w:t>
            </w:r>
          </w:p>
          <w:p w14:paraId="3EA2DF2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 xml:space="preserve"> </w:t>
            </w:r>
            <w:r>
              <w:rPr>
                <w:rFonts w:hint="eastAsia" w:ascii="宋体" w:hAnsi="宋体" w:eastAsia="宋体"/>
                <w:sz w:val="18"/>
                <w:szCs w:val="18"/>
                <w:lang w:eastAsia="zh-CN"/>
              </w:rPr>
              <w:t>法律援助机构可以组织法律援助人员依法提供下列形式的法律援助服务：</w:t>
            </w:r>
          </w:p>
          <w:p w14:paraId="3A4FB5F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  （一）法律咨询；</w:t>
            </w:r>
          </w:p>
          <w:p w14:paraId="4A10E6C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  （二）代拟法律文书；</w:t>
            </w:r>
          </w:p>
          <w:p w14:paraId="6A84689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  （三）刑事辩护与代理；</w:t>
            </w:r>
          </w:p>
          <w:p w14:paraId="75BC170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  （四）民事案件、行政案件、国家赔偿案件的诉讼代理及非诉讼代理；</w:t>
            </w:r>
          </w:p>
          <w:p w14:paraId="02F4D3E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  （五）值班律师法律帮助；</w:t>
            </w:r>
          </w:p>
          <w:p w14:paraId="27432CF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  （六）劳动争议调解与仲裁代理；</w:t>
            </w:r>
          </w:p>
          <w:p w14:paraId="0112AFB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  （七）法律、法规、规章规定的其他形式。</w:t>
            </w:r>
          </w:p>
          <w:p w14:paraId="4B94F86B">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062D9EA4">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1B4A2511">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1563673A">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69CDE115">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1AFF605A">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50FA119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7B965E4F">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05974BAA">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09CC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0" w:hRule="exact"/>
        </w:trPr>
        <w:tc>
          <w:tcPr>
            <w:tcW w:w="752" w:type="dxa"/>
            <w:noWrap w:val="0"/>
            <w:vAlign w:val="center"/>
          </w:tcPr>
          <w:p w14:paraId="431D7B1E">
            <w:pPr>
              <w:tabs>
                <w:tab w:val="left" w:pos="7937"/>
              </w:tabs>
              <w:spacing w:line="280" w:lineRule="exact"/>
              <w:rPr>
                <w:rFonts w:hint="default" w:ascii="宋体" w:hAnsi="宋体" w:eastAsia="宋体"/>
                <w:sz w:val="18"/>
                <w:szCs w:val="18"/>
                <w:lang w:val="en-US" w:eastAsia="zh-CN"/>
              </w:rPr>
            </w:pPr>
            <w:r>
              <w:rPr>
                <w:rFonts w:hint="eastAsia" w:ascii="宋体" w:hAnsi="宋体" w:eastAsia="宋体"/>
                <w:sz w:val="18"/>
                <w:szCs w:val="18"/>
                <w:lang w:val="en-US" w:eastAsia="zh-CN"/>
              </w:rPr>
              <w:t>14</w:t>
            </w:r>
          </w:p>
        </w:tc>
        <w:tc>
          <w:tcPr>
            <w:tcW w:w="1156" w:type="dxa"/>
            <w:noWrap w:val="0"/>
            <w:vAlign w:val="center"/>
          </w:tcPr>
          <w:p w14:paraId="447AF81B">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其他</w:t>
            </w:r>
          </w:p>
        </w:tc>
        <w:tc>
          <w:tcPr>
            <w:tcW w:w="1185" w:type="dxa"/>
            <w:noWrap w:val="0"/>
            <w:vAlign w:val="center"/>
          </w:tcPr>
          <w:p w14:paraId="273E0D8B">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民事诉讼代理援助</w:t>
            </w:r>
          </w:p>
          <w:p w14:paraId="13CC7ECA">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0C35450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00214B6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第三十一条　</w:t>
            </w:r>
          </w:p>
          <w:p w14:paraId="23CBB0D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下列事项的当事人，因经济困难没有委托代理人的，可以向法律援助机构申请法律援助：</w:t>
            </w:r>
          </w:p>
          <w:p w14:paraId="5C0EC9AB">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（一）依法请求国家赔偿；</w:t>
            </w:r>
          </w:p>
          <w:p w14:paraId="5903354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（二）请求给予社会保险待遇或者社会救助；</w:t>
            </w:r>
          </w:p>
          <w:p w14:paraId="6014274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（三）请求发给抚恤金；</w:t>
            </w:r>
          </w:p>
          <w:p w14:paraId="157621D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（四）请求给付赡养费、抚养费、扶养费；</w:t>
            </w:r>
          </w:p>
          <w:p w14:paraId="510539D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（五）请求确认劳动关系或者支付劳动报酬；</w:t>
            </w:r>
          </w:p>
          <w:p w14:paraId="0A7EC01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（六）请求认定公民无民事行为能力或者限制民事行为能力；</w:t>
            </w:r>
          </w:p>
          <w:p w14:paraId="6372DA95">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（七）请求工伤事故、交通事故、食品药品安全事故、医疗事故人身损害赔偿；</w:t>
            </w:r>
          </w:p>
          <w:p w14:paraId="4058CC3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（八）请求环境污染、生态破坏损害赔偿；</w:t>
            </w:r>
          </w:p>
          <w:p w14:paraId="0F2ED71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（九）法律、法规、规章规定的其他情形。</w:t>
            </w:r>
          </w:p>
          <w:p w14:paraId="05428818">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044E8475">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41E6649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47114A7F">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0634F026">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198A8C60">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754F330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501E63AD">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51641A6D">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19E4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7" w:hRule="exact"/>
        </w:trPr>
        <w:tc>
          <w:tcPr>
            <w:tcW w:w="752" w:type="dxa"/>
            <w:noWrap w:val="0"/>
            <w:vAlign w:val="center"/>
          </w:tcPr>
          <w:p w14:paraId="09B491B9">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15</w:t>
            </w:r>
          </w:p>
        </w:tc>
        <w:tc>
          <w:tcPr>
            <w:tcW w:w="1156" w:type="dxa"/>
            <w:noWrap w:val="0"/>
            <w:vAlign w:val="center"/>
          </w:tcPr>
          <w:p w14:paraId="79B2B16C">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48481F6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刑事辩护援助</w:t>
            </w:r>
          </w:p>
          <w:p w14:paraId="423BAE77">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0EAFE313">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5E8DB6F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w:t>
            </w:r>
            <w:r>
              <w:rPr>
                <w:rFonts w:hint="eastAsia" w:ascii="宋体" w:hAnsi="宋体" w:eastAsia="宋体"/>
                <w:sz w:val="18"/>
                <w:szCs w:val="18"/>
                <w:lang w:val="en-US" w:eastAsia="zh-CN"/>
              </w:rPr>
              <w:t>二十五</w:t>
            </w:r>
            <w:r>
              <w:rPr>
                <w:rFonts w:hint="eastAsia" w:ascii="宋体" w:hAnsi="宋体" w:eastAsia="宋体"/>
                <w:sz w:val="18"/>
                <w:szCs w:val="18"/>
                <w:lang w:eastAsia="zh-CN"/>
              </w:rPr>
              <w:t>条</w:t>
            </w:r>
            <w:r>
              <w:rPr>
                <w:rFonts w:hint="eastAsia" w:ascii="宋体" w:hAnsi="宋体" w:eastAsia="宋体"/>
                <w:sz w:val="18"/>
                <w:szCs w:val="18"/>
                <w:lang w:val="en-US" w:eastAsia="zh-CN"/>
              </w:rPr>
              <w:t>和《河北省高级人民法院 河北省人民检察院 河北省公安厅 河北省司法厅关于贯彻落实〈最高人民法院 最高人民检察院 公安部 司法部关于进一步深化刑事案件律师辩护全覆盖试点工作的意见〉的通知》(唐司字[2023]6号)。</w:t>
            </w:r>
          </w:p>
          <w:p w14:paraId="6272E3F9">
            <w:pPr>
              <w:tabs>
                <w:tab w:val="left" w:pos="7937"/>
              </w:tabs>
              <w:spacing w:line="280" w:lineRule="exact"/>
              <w:rPr>
                <w:rFonts w:hint="eastAsia" w:ascii="宋体" w:hAnsi="宋体" w:eastAsia="宋体"/>
                <w:sz w:val="18"/>
                <w:szCs w:val="18"/>
                <w:lang w:eastAsia="zh-CN"/>
              </w:rPr>
            </w:pPr>
          </w:p>
        </w:tc>
        <w:tc>
          <w:tcPr>
            <w:tcW w:w="2475" w:type="dxa"/>
            <w:noWrap w:val="0"/>
            <w:vAlign w:val="center"/>
          </w:tcPr>
          <w:p w14:paraId="4C548FBB">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416632D4">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3AD9D97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27ACE417">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12B36D4F">
            <w:pPr>
              <w:tabs>
                <w:tab w:val="left" w:pos="7937"/>
              </w:tabs>
              <w:spacing w:line="280" w:lineRule="exact"/>
              <w:rPr>
                <w:rFonts w:hint="eastAsia" w:ascii="宋体" w:hAnsi="宋体" w:eastAsia="宋体" w:cs="宋体"/>
                <w:kern w:val="2"/>
                <w:sz w:val="18"/>
                <w:szCs w:val="18"/>
                <w:lang w:val="en-US" w:eastAsia="zh-CN" w:bidi="ar-SA"/>
              </w:rPr>
            </w:pPr>
            <w:bookmarkStart w:id="0" w:name="_GoBack"/>
            <w:bookmarkEnd w:id="0"/>
            <w:r>
              <w:rPr>
                <w:rFonts w:hint="eastAsia" w:ascii="宋体" w:hAnsi="宋体" w:eastAsia="宋体" w:cs="宋体"/>
                <w:sz w:val="18"/>
                <w:szCs w:val="18"/>
              </w:rPr>
              <w:t>（五）法律法规规定的其他情</w:t>
            </w:r>
            <w:r>
              <w:rPr>
                <w:rFonts w:hint="eastAsia" w:ascii="宋体" w:hAnsi="宋体" w:eastAsia="宋体" w:cs="宋体"/>
                <w:sz w:val="18"/>
                <w:szCs w:val="18"/>
                <w:lang w:val="en-US" w:eastAsia="zh-CN"/>
              </w:rPr>
              <w:t>形</w:t>
            </w:r>
            <w:r>
              <w:rPr>
                <w:rFonts w:hint="eastAsia" w:ascii="宋体" w:hAnsi="宋体" w:eastAsia="宋体" w:cs="宋体"/>
                <w:sz w:val="18"/>
                <w:szCs w:val="18"/>
              </w:rPr>
              <w:t>形。</w:t>
            </w:r>
          </w:p>
        </w:tc>
        <w:tc>
          <w:tcPr>
            <w:tcW w:w="2235" w:type="dxa"/>
            <w:noWrap w:val="0"/>
            <w:vAlign w:val="center"/>
          </w:tcPr>
          <w:p w14:paraId="3B9373C9">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05F80544">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2D80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exact"/>
        </w:trPr>
        <w:tc>
          <w:tcPr>
            <w:tcW w:w="752" w:type="dxa"/>
            <w:noWrap w:val="0"/>
            <w:vAlign w:val="center"/>
          </w:tcPr>
          <w:p w14:paraId="6FEE8241">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16</w:t>
            </w:r>
          </w:p>
        </w:tc>
        <w:tc>
          <w:tcPr>
            <w:tcW w:w="1156" w:type="dxa"/>
            <w:noWrap w:val="0"/>
            <w:vAlign w:val="center"/>
          </w:tcPr>
          <w:p w14:paraId="4ED941ED">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44C1B459">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刑事代理援助</w:t>
            </w:r>
          </w:p>
          <w:p w14:paraId="37DEDDD2">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713AB8FE">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13B91B51">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第三十一条　</w:t>
            </w:r>
          </w:p>
          <w:p w14:paraId="71A8FBD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下列事项的当事人，因经济困难没有委托代理人的，可以向法律援助机构申请法律援助：</w:t>
            </w:r>
          </w:p>
          <w:p w14:paraId="21BC4A2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（一）依法请求国家赔偿；</w:t>
            </w:r>
          </w:p>
          <w:p w14:paraId="2148D75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（二）请求给予社会保险待遇或者社会救助；</w:t>
            </w:r>
          </w:p>
          <w:p w14:paraId="3040A52C">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（三）请求发给抚恤金；</w:t>
            </w:r>
          </w:p>
          <w:p w14:paraId="2A2546A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（四）请求给付赡养费、抚养费、扶养费；</w:t>
            </w:r>
          </w:p>
          <w:p w14:paraId="705B17BF">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（五）请求确认劳动关系或者支付劳动报酬；</w:t>
            </w:r>
          </w:p>
          <w:p w14:paraId="06A57E1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（六）请求认定公民无民事行为能力或者限制民事行为能力；</w:t>
            </w:r>
          </w:p>
          <w:p w14:paraId="4E1D281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（七）请求工伤事故、交通事故、食品药品安全事故、医疗事故人身损害赔偿；</w:t>
            </w:r>
          </w:p>
          <w:p w14:paraId="35747BF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（八）请求环境污染、生态破坏损害赔偿；</w:t>
            </w:r>
          </w:p>
          <w:p w14:paraId="22B97EF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（九）法律、法规、规章规定的其他情形。</w:t>
            </w:r>
          </w:p>
        </w:tc>
        <w:tc>
          <w:tcPr>
            <w:tcW w:w="2475" w:type="dxa"/>
            <w:noWrap w:val="0"/>
            <w:vAlign w:val="center"/>
          </w:tcPr>
          <w:p w14:paraId="51ED9903">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42A97B1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1CB35D6D">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78090AA5">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4DD4377E">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61EC7403">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0E4556B7">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59BABEDB">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7DA1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6" w:hRule="exact"/>
        </w:trPr>
        <w:tc>
          <w:tcPr>
            <w:tcW w:w="752" w:type="dxa"/>
            <w:noWrap w:val="0"/>
            <w:vAlign w:val="center"/>
          </w:tcPr>
          <w:p w14:paraId="73AFC92B">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17</w:t>
            </w:r>
          </w:p>
        </w:tc>
        <w:tc>
          <w:tcPr>
            <w:tcW w:w="1156" w:type="dxa"/>
            <w:noWrap w:val="0"/>
            <w:vAlign w:val="center"/>
          </w:tcPr>
          <w:p w14:paraId="47FD505F">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34BB75FB">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行政诉讼代理援助</w:t>
            </w:r>
          </w:p>
          <w:p w14:paraId="14571A9A">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1FEF7FE1">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429CEBC6">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val="en-US" w:eastAsia="zh-CN"/>
              </w:rPr>
              <w:t>《中华人民共和国法律援助法》</w:t>
            </w:r>
            <w:r>
              <w:rPr>
                <w:rFonts w:hint="eastAsia" w:ascii="宋体" w:hAnsi="宋体" w:eastAsia="宋体"/>
                <w:sz w:val="18"/>
                <w:szCs w:val="18"/>
                <w:lang w:eastAsia="zh-CN"/>
              </w:rPr>
              <w:t>第三十一条　</w:t>
            </w:r>
          </w:p>
          <w:p w14:paraId="06C741CA">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下列事项的当事人，因经济困难没有委托代理人的，可以向法律援助机构申请法律援助：</w:t>
            </w:r>
          </w:p>
          <w:p w14:paraId="1C46E4D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（一）依法请求国家赔偿；</w:t>
            </w:r>
          </w:p>
          <w:p w14:paraId="7525C2B4">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（二）请求给予社会保险待遇或者社会救助；</w:t>
            </w:r>
          </w:p>
          <w:p w14:paraId="25F43242">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（三）请求发给抚恤金；</w:t>
            </w:r>
          </w:p>
          <w:p w14:paraId="1F74202E">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（四）请求给付赡养费、抚养费、扶养费；</w:t>
            </w:r>
          </w:p>
          <w:p w14:paraId="5BDC7C33">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（五）请求确认劳动关系或者支付劳动报酬；</w:t>
            </w:r>
          </w:p>
          <w:p w14:paraId="6FEDA277">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（六）请求认定公民无民事行为能力或者限制民事行为能力；</w:t>
            </w:r>
          </w:p>
          <w:p w14:paraId="080AB790">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（七）请求工伤事故、交通事故、食品药品安全事故、医疗事故人身损害赔偿；</w:t>
            </w:r>
          </w:p>
          <w:p w14:paraId="544F760D">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（八）请求环境污染、生态破坏损害赔偿；</w:t>
            </w:r>
          </w:p>
          <w:p w14:paraId="45749358">
            <w:pPr>
              <w:tabs>
                <w:tab w:val="left" w:pos="7937"/>
              </w:tabs>
              <w:spacing w:line="280" w:lineRule="exact"/>
              <w:rPr>
                <w:rFonts w:hint="eastAsia" w:ascii="宋体" w:hAnsi="宋体" w:eastAsia="宋体"/>
                <w:sz w:val="18"/>
                <w:szCs w:val="18"/>
                <w:lang w:eastAsia="zh-CN"/>
              </w:rPr>
            </w:pPr>
            <w:r>
              <w:rPr>
                <w:rFonts w:hint="eastAsia" w:ascii="宋体" w:hAnsi="宋体" w:eastAsia="宋体"/>
                <w:sz w:val="18"/>
                <w:szCs w:val="18"/>
                <w:lang w:eastAsia="zh-CN"/>
              </w:rPr>
              <w:t>（九）法律、法规、规章规定的其他情形。</w:t>
            </w:r>
          </w:p>
        </w:tc>
        <w:tc>
          <w:tcPr>
            <w:tcW w:w="2475" w:type="dxa"/>
            <w:noWrap w:val="0"/>
            <w:vAlign w:val="center"/>
          </w:tcPr>
          <w:p w14:paraId="682EA66B">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37410BD2">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013F5A3E">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4C596B48">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406A2123">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030CE166">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748ED6F4">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7B5BA130">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45C3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1" w:hRule="exact"/>
        </w:trPr>
        <w:tc>
          <w:tcPr>
            <w:tcW w:w="752" w:type="dxa"/>
            <w:noWrap w:val="0"/>
            <w:vAlign w:val="center"/>
          </w:tcPr>
          <w:p w14:paraId="0DF5832C">
            <w:pPr>
              <w:tabs>
                <w:tab w:val="left" w:pos="7937"/>
              </w:tabs>
              <w:spacing w:line="280" w:lineRule="exact"/>
              <w:rPr>
                <w:rFonts w:hint="default" w:ascii="宋体" w:hAnsi="宋体" w:eastAsia="宋体"/>
                <w:kern w:val="2"/>
                <w:sz w:val="18"/>
                <w:szCs w:val="18"/>
                <w:lang w:val="en-US" w:eastAsia="zh-CN" w:bidi="ar-SA"/>
              </w:rPr>
            </w:pPr>
            <w:r>
              <w:rPr>
                <w:rFonts w:hint="eastAsia" w:ascii="宋体" w:hAnsi="宋体" w:eastAsia="宋体"/>
                <w:kern w:val="2"/>
                <w:sz w:val="18"/>
                <w:szCs w:val="18"/>
                <w:lang w:val="en-US" w:eastAsia="zh-CN" w:bidi="ar-SA"/>
              </w:rPr>
              <w:t>18</w:t>
            </w:r>
          </w:p>
        </w:tc>
        <w:tc>
          <w:tcPr>
            <w:tcW w:w="1156" w:type="dxa"/>
            <w:noWrap w:val="0"/>
            <w:vAlign w:val="center"/>
          </w:tcPr>
          <w:p w14:paraId="03121CDC">
            <w:pPr>
              <w:tabs>
                <w:tab w:val="left" w:pos="7937"/>
              </w:tabs>
              <w:spacing w:line="280" w:lineRule="exact"/>
              <w:rPr>
                <w:rFonts w:hint="eastAsia" w:ascii="宋体" w:hAnsi="宋体" w:eastAsia="宋体"/>
                <w:kern w:val="2"/>
                <w:sz w:val="18"/>
                <w:szCs w:val="18"/>
                <w:lang w:val="en-US" w:eastAsia="zh-CN" w:bidi="ar-SA"/>
              </w:rPr>
            </w:pPr>
            <w:r>
              <w:rPr>
                <w:rFonts w:hint="eastAsia" w:ascii="宋体" w:hAnsi="宋体" w:eastAsia="宋体"/>
                <w:sz w:val="18"/>
                <w:szCs w:val="18"/>
                <w:lang w:val="en-US" w:eastAsia="zh-CN"/>
              </w:rPr>
              <w:t>其他</w:t>
            </w:r>
          </w:p>
        </w:tc>
        <w:tc>
          <w:tcPr>
            <w:tcW w:w="1185" w:type="dxa"/>
            <w:noWrap w:val="0"/>
            <w:vAlign w:val="center"/>
          </w:tcPr>
          <w:p w14:paraId="5E751388">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法律咨询</w:t>
            </w:r>
          </w:p>
          <w:p w14:paraId="4960638D">
            <w:pPr>
              <w:tabs>
                <w:tab w:val="left" w:pos="7937"/>
              </w:tabs>
              <w:spacing w:line="280" w:lineRule="exact"/>
              <w:rPr>
                <w:rFonts w:hint="eastAsia" w:ascii="宋体" w:hAnsi="宋体" w:eastAsia="宋体"/>
                <w:sz w:val="18"/>
                <w:szCs w:val="18"/>
                <w:lang w:eastAsia="zh-CN"/>
              </w:rPr>
            </w:pPr>
          </w:p>
        </w:tc>
        <w:tc>
          <w:tcPr>
            <w:tcW w:w="1155" w:type="dxa"/>
            <w:noWrap w:val="0"/>
            <w:vAlign w:val="center"/>
          </w:tcPr>
          <w:p w14:paraId="30D57C6C">
            <w:pPr>
              <w:tabs>
                <w:tab w:val="left" w:pos="7937"/>
              </w:tabs>
              <w:spacing w:line="280" w:lineRule="exact"/>
              <w:rPr>
                <w:rFonts w:hint="eastAsia" w:ascii="宋体" w:hAnsi="宋体" w:eastAsia="宋体"/>
                <w:sz w:val="18"/>
                <w:szCs w:val="18"/>
                <w:lang w:val="en-US" w:eastAsia="zh-CN"/>
              </w:rPr>
            </w:pPr>
            <w:r>
              <w:rPr>
                <w:rFonts w:hint="eastAsia" w:ascii="宋体" w:hAnsi="宋体" w:eastAsia="宋体"/>
                <w:sz w:val="18"/>
                <w:szCs w:val="18"/>
                <w:lang w:val="en-US" w:eastAsia="zh-CN"/>
              </w:rPr>
              <w:t>滦州市司法局</w:t>
            </w:r>
          </w:p>
        </w:tc>
        <w:tc>
          <w:tcPr>
            <w:tcW w:w="3885" w:type="dxa"/>
            <w:noWrap w:val="0"/>
            <w:vAlign w:val="center"/>
          </w:tcPr>
          <w:p w14:paraId="6D7DAB35">
            <w:pPr>
              <w:tabs>
                <w:tab w:val="left" w:pos="7937"/>
              </w:tabs>
              <w:spacing w:line="280" w:lineRule="exact"/>
              <w:rPr>
                <w:rFonts w:hint="eastAsia" w:ascii="宋体" w:hAnsi="宋体" w:eastAsia="宋体"/>
                <w:sz w:val="18"/>
                <w:szCs w:val="18"/>
                <w:lang w:eastAsia="zh-CN"/>
              </w:rPr>
            </w:pPr>
            <w:r>
              <w:rPr>
                <w:rFonts w:hint="eastAsia" w:ascii="宋体" w:hAnsi="宋体" w:eastAsia="宋体" w:cs="Times New Roman"/>
                <w:sz w:val="18"/>
                <w:szCs w:val="18"/>
                <w:lang w:val="en-US" w:eastAsia="zh-CN"/>
              </w:rPr>
              <w:t>《中华人民共和国法律援助法》</w:t>
            </w:r>
            <w:r>
              <w:rPr>
                <w:rFonts w:hint="eastAsia" w:ascii="宋体" w:hAnsi="宋体" w:eastAsia="宋体" w:cs="Times New Roman"/>
                <w:sz w:val="18"/>
                <w:szCs w:val="18"/>
                <w:lang w:eastAsia="zh-CN"/>
              </w:rPr>
              <w:t>第</w:t>
            </w:r>
            <w:r>
              <w:rPr>
                <w:rFonts w:hint="eastAsia" w:ascii="宋体" w:hAnsi="宋体" w:eastAsia="宋体" w:cs="Times New Roman"/>
                <w:sz w:val="18"/>
                <w:szCs w:val="18"/>
                <w:lang w:val="en-US" w:eastAsia="zh-CN"/>
              </w:rPr>
              <w:t>二十三</w:t>
            </w:r>
            <w:r>
              <w:rPr>
                <w:rFonts w:hint="eastAsia" w:ascii="宋体" w:hAnsi="宋体" w:eastAsia="宋体" w:cs="Times New Roman"/>
                <w:sz w:val="18"/>
                <w:szCs w:val="18"/>
                <w:lang w:eastAsia="zh-CN"/>
              </w:rPr>
              <w:t>条　法律援助机构应当通过服务窗口、电话、网络等多种方式提供法律咨询服务；提示当事人享有依法申请法律援助的权利，并告知申请法律援助的条件和程序。</w:t>
            </w:r>
          </w:p>
        </w:tc>
        <w:tc>
          <w:tcPr>
            <w:tcW w:w="2475" w:type="dxa"/>
            <w:noWrap w:val="0"/>
            <w:vAlign w:val="center"/>
          </w:tcPr>
          <w:p w14:paraId="30977540">
            <w:pPr>
              <w:tabs>
                <w:tab w:val="left" w:pos="7937"/>
              </w:tabs>
              <w:spacing w:line="280" w:lineRule="exact"/>
              <w:rPr>
                <w:rFonts w:hint="eastAsia" w:ascii="宋体" w:hAnsi="宋体" w:eastAsia="宋体" w:cs="宋体"/>
                <w:sz w:val="18"/>
                <w:szCs w:val="18"/>
              </w:rPr>
            </w:pPr>
            <w:r>
              <w:rPr>
                <w:rFonts w:hint="eastAsia" w:ascii="宋体" w:hAnsi="宋体" w:eastAsia="宋体"/>
                <w:sz w:val="18"/>
                <w:szCs w:val="18"/>
                <w:lang w:val="en-US" w:eastAsia="zh-CN"/>
              </w:rPr>
              <w:t>《中华人民共和国法律援助法》</w:t>
            </w:r>
            <w:r>
              <w:rPr>
                <w:rFonts w:hint="eastAsia" w:ascii="宋体" w:hAnsi="宋体" w:eastAsia="宋体" w:cs="宋体"/>
                <w:sz w:val="18"/>
                <w:szCs w:val="18"/>
              </w:rPr>
              <w:t>第六十三条   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（一）无正当理由拒绝履行法律援助义务或者怠于履行法律援助义务；</w:t>
            </w:r>
          </w:p>
          <w:p w14:paraId="48652496">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（二）擅自终止提供法律援助；</w:t>
            </w:r>
          </w:p>
          <w:p w14:paraId="4197C209">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（三）收取受援人财物；</w:t>
            </w:r>
          </w:p>
          <w:p w14:paraId="682030D0">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（四）泄露法律援助过程中知悉的国家秘密、商业秘密和个人隐私；</w:t>
            </w:r>
          </w:p>
          <w:p w14:paraId="64F072A2">
            <w:pPr>
              <w:tabs>
                <w:tab w:val="left" w:pos="7937"/>
              </w:tabs>
              <w:spacing w:line="28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（五）法律法规规定的其他情形。</w:t>
            </w:r>
          </w:p>
        </w:tc>
        <w:tc>
          <w:tcPr>
            <w:tcW w:w="2235" w:type="dxa"/>
            <w:noWrap w:val="0"/>
            <w:vAlign w:val="center"/>
          </w:tcPr>
          <w:p w14:paraId="7CF3D79E">
            <w:pPr>
              <w:tabs>
                <w:tab w:val="left" w:pos="7937"/>
              </w:tabs>
              <w:spacing w:line="280" w:lineRule="exact"/>
              <w:rPr>
                <w:rFonts w:hint="eastAsia" w:ascii="宋体" w:hAnsi="宋体" w:eastAsia="宋体" w:cs="宋体"/>
                <w:sz w:val="18"/>
                <w:szCs w:val="18"/>
              </w:rPr>
            </w:pPr>
            <w:r>
              <w:rPr>
                <w:rFonts w:hint="eastAsia" w:ascii="宋体" w:hAnsi="宋体" w:eastAsia="宋体" w:cs="宋体"/>
                <w:sz w:val="18"/>
                <w:szCs w:val="18"/>
              </w:rPr>
              <w:t>律师、基层法律服务工作者有</w:t>
            </w:r>
            <w:r>
              <w:rPr>
                <w:rFonts w:hint="eastAsia" w:ascii="宋体" w:hAnsi="宋体" w:eastAsia="宋体" w:cs="宋体"/>
                <w:sz w:val="18"/>
                <w:szCs w:val="18"/>
                <w:lang w:val="en-US" w:eastAsia="zh-CN"/>
              </w:rPr>
              <w:t>上述</w:t>
            </w:r>
            <w:r>
              <w:rPr>
                <w:rFonts w:hint="eastAsia" w:ascii="宋体" w:hAnsi="宋体" w:eastAsia="宋体" w:cs="宋体"/>
                <w:sz w:val="18"/>
                <w:szCs w:val="18"/>
              </w:rPr>
              <w:t>情形之一的，由司法行政部门依法给予处罚</w:t>
            </w:r>
          </w:p>
          <w:p w14:paraId="23DEE6C9">
            <w:pPr>
              <w:tabs>
                <w:tab w:val="left" w:pos="7937"/>
              </w:tabs>
              <w:spacing w:line="280" w:lineRule="exact"/>
              <w:rPr>
                <w:rFonts w:hint="eastAsia" w:ascii="宋体" w:hAnsi="宋体" w:eastAsia="宋体"/>
                <w:kern w:val="2"/>
                <w:sz w:val="18"/>
                <w:szCs w:val="18"/>
                <w:lang w:val="en-US" w:eastAsia="zh-CN" w:bidi="ar-SA"/>
              </w:rPr>
            </w:pPr>
          </w:p>
        </w:tc>
        <w:tc>
          <w:tcPr>
            <w:tcW w:w="972" w:type="dxa"/>
            <w:noWrap w:val="0"/>
            <w:vAlign w:val="center"/>
          </w:tcPr>
          <w:p w14:paraId="45F7DD40">
            <w:pPr>
              <w:keepNext w:val="0"/>
              <w:keepLines w:val="0"/>
              <w:pageBreakBefore w:val="0"/>
              <w:widowControl w:val="0"/>
              <w:kinsoku/>
              <w:wordWrap/>
              <w:overflowPunct/>
              <w:topLinePunct w:val="0"/>
              <w:autoSpaceDE/>
              <w:autoSpaceDN w:val="0"/>
              <w:bidi w:val="0"/>
              <w:adjustRightInd/>
              <w:snapToGrid/>
              <w:spacing w:before="0" w:after="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bl>
    <w:p w14:paraId="696EEE5F">
      <w:pPr>
        <w:keepNext w:val="0"/>
        <w:keepLines w:val="0"/>
        <w:pageBreakBefore w:val="0"/>
        <w:widowControl w:val="0"/>
        <w:kinsoku/>
        <w:wordWrap/>
        <w:overflowPunct/>
        <w:topLinePunct w:val="0"/>
        <w:autoSpaceDE/>
        <w:autoSpaceDN/>
        <w:bidi w:val="0"/>
        <w:adjustRightInd/>
        <w:snapToGrid/>
        <w:spacing w:before="0" w:after="0" w:line="400" w:lineRule="exact"/>
        <w:ind w:right="0" w:rightChars="0"/>
        <w:jc w:val="both"/>
        <w:textAlignment w:val="auto"/>
        <w:outlineLvl w:val="9"/>
        <w:rPr>
          <w:rFonts w:hint="eastAsia" w:ascii="仿宋_GB2312"/>
          <w:lang w:val="en-US" w:eastAsia="zh-CN"/>
        </w:rPr>
      </w:pPr>
    </w:p>
    <w:p w14:paraId="448A8098"/>
    <w:sectPr>
      <w:headerReference r:id="rId3" w:type="first"/>
      <w:footerReference r:id="rId5" w:type="first"/>
      <w:footerReference r:id="rId4" w:type="default"/>
      <w:pgSz w:w="16838" w:h="11906" w:orient="landscape"/>
      <w:pgMar w:top="1587" w:right="1701" w:bottom="1587" w:left="1587" w:header="851" w:footer="992" w:gutter="0"/>
      <w:pgNumType w:fmt="numberInDash"/>
      <w:cols w:space="720" w:num="1"/>
      <w:titlePg/>
      <w:rtlGutter w:val="0"/>
      <w:docGrid w:type="linesAndChars" w:linePitch="579"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39F1E">
    <w:pPr>
      <w:pStyle w:val="2"/>
      <w:framePr w:wrap="around" w:vAnchor="text" w:hAnchor="margin" w:xAlign="center" w:yAlign="inline"/>
      <w:widowControl w:val="0"/>
      <w:snapToGrid w:val="0"/>
      <w:jc w:val="left"/>
      <w:rPr>
        <w:rStyle w:val="7"/>
      </w:rPr>
    </w:pPr>
    <w:r>
      <w:fldChar w:fldCharType="begin"/>
    </w:r>
    <w:r>
      <w:rPr>
        <w:rStyle w:val="7"/>
      </w:rPr>
      <w:instrText xml:space="preserve">PAGE  </w:instrText>
    </w:r>
    <w:r>
      <w:fldChar w:fldCharType="separate"/>
    </w:r>
    <w:r>
      <w:rPr>
        <w:rStyle w:val="7"/>
      </w:rPr>
      <w:t>- 2 -</w:t>
    </w:r>
    <w:r>
      <w:fldChar w:fldCharType="end"/>
    </w:r>
  </w:p>
  <w:p w14:paraId="2383EE6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5664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38F4A">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19D659"/>
    <w:multiLevelType w:val="singleLevel"/>
    <w:tmpl w:val="9219D659"/>
    <w:lvl w:ilvl="0" w:tentative="0">
      <w:start w:val="1"/>
      <w:numFmt w:val="chineseCounting"/>
      <w:suff w:val="nothing"/>
      <w:lvlText w:val="（%1）"/>
      <w:lvlJc w:val="left"/>
      <w:rPr>
        <w:rFonts w:hint="eastAsia"/>
      </w:rPr>
    </w:lvl>
  </w:abstractNum>
  <w:abstractNum w:abstractNumId="1">
    <w:nsid w:val="527823AF"/>
    <w:multiLevelType w:val="singleLevel"/>
    <w:tmpl w:val="527823A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1793"/>
    <w:rsid w:val="00753A59"/>
    <w:rsid w:val="089E104E"/>
    <w:rsid w:val="285724F7"/>
    <w:rsid w:val="2DE87A9A"/>
    <w:rsid w:val="3AAD6028"/>
    <w:rsid w:val="57A80528"/>
    <w:rsid w:val="7E961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qFormat/>
    <w:uiPriority w:val="0"/>
  </w:style>
  <w:style w:type="paragraph" w:customStyle="1" w:styleId="8">
    <w:name w:val=" Char"/>
    <w:basedOn w:val="1"/>
    <w:qFormat/>
    <w:uiPriority w:val="0"/>
    <w:pPr>
      <w:snapToGrid w:val="0"/>
      <w:spacing w:afterLines="50" w:line="360" w:lineRule="auto"/>
      <w:ind w:firstLine="4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7621</Words>
  <Characters>7679</Characters>
  <Lines>0</Lines>
  <Paragraphs>0</Paragraphs>
  <TotalTime>16</TotalTime>
  <ScaleCrop>false</ScaleCrop>
  <LinksUpToDate>false</LinksUpToDate>
  <CharactersWithSpaces>7739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2025-02-10T02:25:00Z</dcterms:created>
  <dc:creator>Administrator</dc:creator>
  <cp:lastModifiedBy>Administrator</cp:lastModifiedBy>
  <dcterms:modified xsi:type="dcterms:W3CDTF">2026-04-01T02:31:12Z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eyJoZGlkIjoiNzgyZTJkMzRiNWVmMWI2NDQ2MTc3N2I3NjU2YmZjZGMiLCJ1c2VySWQiOiI1ODIxODg5MzEifQ==</vt:lpwstr>
  </property>
  <property fmtid="{D5CDD505-2E9C-101B-9397-08002B2CF9AE}" pid="4" name="ICV">
    <vt:lpwstr>203C18AADA604EEB9B63AE19265B4AC3</vt:lpwstr>
  </property>
</Properties>
</file>