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5564CB">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eastAsia" w:asciiTheme="majorEastAsia" w:hAnsiTheme="majorEastAsia" w:eastAsiaTheme="majorEastAsia" w:cstheme="majorEastAsia"/>
          <w:b/>
          <w:bCs/>
          <w:sz w:val="32"/>
          <w:szCs w:val="32"/>
          <w:lang w:val="en-US" w:eastAsia="zh-CN"/>
        </w:rPr>
      </w:pPr>
      <w:r>
        <w:rPr>
          <w:rFonts w:hint="eastAsia" w:asciiTheme="majorEastAsia" w:hAnsiTheme="majorEastAsia" w:eastAsiaTheme="majorEastAsia" w:cstheme="majorEastAsia"/>
          <w:b/>
          <w:bCs/>
          <w:sz w:val="32"/>
          <w:szCs w:val="32"/>
          <w:lang w:val="en-US" w:eastAsia="zh-CN"/>
        </w:rPr>
        <w:t>滦州市医疗保障局权责清单（试行版）</w:t>
      </w:r>
    </w:p>
    <w:p w14:paraId="7CBB88C2">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楷体_GB2312" w:hAnsi="楷体_GB2312" w:eastAsia="楷体_GB2312"/>
          <w:sz w:val="28"/>
          <w:szCs w:val="24"/>
          <w:lang w:val="en-US" w:eastAsia="zh-CN"/>
        </w:rPr>
      </w:pPr>
      <w:r>
        <w:rPr>
          <w:rFonts w:hint="eastAsia" w:ascii="楷体_GB2312" w:hAnsi="楷体_GB2312" w:eastAsia="楷体_GB2312"/>
          <w:sz w:val="24"/>
          <w:szCs w:val="24"/>
          <w:lang w:val="en-US" w:eastAsia="zh-CN"/>
        </w:rPr>
        <w:t>（共五类、十七项）</w:t>
      </w:r>
    </w:p>
    <w:tbl>
      <w:tblPr>
        <w:tblStyle w:val="5"/>
        <w:tblW w:w="157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3"/>
        <w:gridCol w:w="1236"/>
        <w:gridCol w:w="1176"/>
        <w:gridCol w:w="1128"/>
        <w:gridCol w:w="3948"/>
        <w:gridCol w:w="3744"/>
        <w:gridCol w:w="3144"/>
        <w:gridCol w:w="687"/>
      </w:tblGrid>
      <w:tr w14:paraId="7FC75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exact"/>
          <w:jc w:val="center"/>
        </w:trPr>
        <w:tc>
          <w:tcPr>
            <w:tcW w:w="713" w:type="dxa"/>
            <w:vAlign w:val="center"/>
          </w:tcPr>
          <w:p w14:paraId="237508BB">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center"/>
              <w:textAlignment w:val="center"/>
              <w:outlineLvl w:val="9"/>
              <w:rPr>
                <w:rFonts w:hint="eastAsia" w:ascii="仿宋_GB2312"/>
                <w:sz w:val="24"/>
                <w:szCs w:val="24"/>
                <w:vertAlign w:val="baseline"/>
                <w:lang w:val="en-US" w:eastAsia="zh-CN"/>
              </w:rPr>
            </w:pPr>
            <w:r>
              <w:rPr>
                <w:rFonts w:hint="default" w:ascii="黑体" w:hAnsi="黑体" w:eastAsia="黑体"/>
                <w:b w:val="0"/>
                <w:i w:val="0"/>
                <w:snapToGrid/>
                <w:color w:val="000000"/>
                <w:spacing w:val="-15"/>
                <w:sz w:val="24"/>
                <w:szCs w:val="24"/>
                <w:u w:val="none"/>
                <w:lang w:eastAsia="zh-CN"/>
              </w:rPr>
              <w:t>序号</w:t>
            </w:r>
          </w:p>
        </w:tc>
        <w:tc>
          <w:tcPr>
            <w:tcW w:w="1236" w:type="dxa"/>
            <w:vAlign w:val="center"/>
          </w:tcPr>
          <w:p w14:paraId="0372A612">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center"/>
              <w:textAlignment w:val="center"/>
              <w:outlineLvl w:val="9"/>
              <w:rPr>
                <w:rFonts w:hint="eastAsia" w:ascii="仿宋_GB2312"/>
                <w:sz w:val="24"/>
                <w:szCs w:val="24"/>
                <w:vertAlign w:val="baseline"/>
                <w:lang w:val="en-US" w:eastAsia="zh-CN"/>
              </w:rPr>
            </w:pPr>
            <w:r>
              <w:rPr>
                <w:rFonts w:hint="default" w:ascii="黑体" w:hAnsi="黑体" w:eastAsia="黑体"/>
                <w:b w:val="0"/>
                <w:i w:val="0"/>
                <w:snapToGrid/>
                <w:color w:val="000000"/>
                <w:spacing w:val="-15"/>
                <w:sz w:val="24"/>
                <w:szCs w:val="24"/>
                <w:u w:val="none"/>
                <w:lang w:eastAsia="zh-CN"/>
              </w:rPr>
              <w:t>权力类型</w:t>
            </w:r>
          </w:p>
        </w:tc>
        <w:tc>
          <w:tcPr>
            <w:tcW w:w="1176" w:type="dxa"/>
            <w:vAlign w:val="center"/>
          </w:tcPr>
          <w:p w14:paraId="423F7052">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center"/>
              <w:textAlignment w:val="center"/>
              <w:outlineLvl w:val="9"/>
              <w:rPr>
                <w:rFonts w:hint="eastAsia" w:ascii="仿宋_GB2312"/>
                <w:sz w:val="24"/>
                <w:szCs w:val="24"/>
                <w:vertAlign w:val="baseline"/>
                <w:lang w:val="en-US" w:eastAsia="zh-CN"/>
              </w:rPr>
            </w:pPr>
            <w:r>
              <w:rPr>
                <w:rFonts w:hint="default" w:ascii="黑体" w:hAnsi="黑体" w:eastAsia="黑体"/>
                <w:b w:val="0"/>
                <w:i w:val="0"/>
                <w:snapToGrid/>
                <w:color w:val="000000"/>
                <w:sz w:val="24"/>
                <w:szCs w:val="24"/>
                <w:u w:val="none"/>
                <w:lang w:eastAsia="zh-CN"/>
              </w:rPr>
              <w:t>权力事项</w:t>
            </w:r>
          </w:p>
        </w:tc>
        <w:tc>
          <w:tcPr>
            <w:tcW w:w="1128" w:type="dxa"/>
            <w:vAlign w:val="center"/>
          </w:tcPr>
          <w:p w14:paraId="2F6C853A">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center"/>
              <w:textAlignment w:val="center"/>
              <w:outlineLvl w:val="9"/>
              <w:rPr>
                <w:rFonts w:hint="eastAsia" w:ascii="仿宋_GB2312"/>
                <w:sz w:val="24"/>
                <w:szCs w:val="24"/>
                <w:vertAlign w:val="baseline"/>
                <w:lang w:val="en-US" w:eastAsia="zh-CN"/>
              </w:rPr>
            </w:pPr>
            <w:r>
              <w:rPr>
                <w:rFonts w:hint="default" w:ascii="黑体" w:hAnsi="黑体" w:eastAsia="黑体"/>
                <w:b w:val="0"/>
                <w:i w:val="0"/>
                <w:snapToGrid/>
                <w:color w:val="000000"/>
                <w:spacing w:val="-12"/>
                <w:sz w:val="24"/>
                <w:szCs w:val="24"/>
                <w:u w:val="none"/>
                <w:lang w:eastAsia="zh-CN"/>
              </w:rPr>
              <w:t>行政主体</w:t>
            </w:r>
          </w:p>
        </w:tc>
        <w:tc>
          <w:tcPr>
            <w:tcW w:w="3948" w:type="dxa"/>
            <w:vAlign w:val="center"/>
          </w:tcPr>
          <w:p w14:paraId="318CB5CE">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center"/>
              <w:textAlignment w:val="center"/>
              <w:outlineLvl w:val="9"/>
              <w:rPr>
                <w:rFonts w:hint="eastAsia" w:ascii="仿宋_GB2312"/>
                <w:sz w:val="24"/>
                <w:szCs w:val="24"/>
                <w:vertAlign w:val="baseline"/>
                <w:lang w:val="en-US" w:eastAsia="zh-CN"/>
              </w:rPr>
            </w:pPr>
            <w:r>
              <w:rPr>
                <w:rFonts w:hint="default" w:ascii="黑体" w:hAnsi="黑体" w:eastAsia="黑体"/>
                <w:b w:val="0"/>
                <w:i w:val="0"/>
                <w:snapToGrid/>
                <w:color w:val="000000"/>
                <w:sz w:val="24"/>
                <w:szCs w:val="24"/>
                <w:u w:val="none"/>
                <w:lang w:eastAsia="zh-CN"/>
              </w:rPr>
              <w:t>实施依据</w:t>
            </w:r>
          </w:p>
        </w:tc>
        <w:tc>
          <w:tcPr>
            <w:tcW w:w="3744" w:type="dxa"/>
            <w:vAlign w:val="center"/>
          </w:tcPr>
          <w:p w14:paraId="20D55212">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center"/>
              <w:textAlignment w:val="center"/>
              <w:outlineLvl w:val="9"/>
              <w:rPr>
                <w:rFonts w:hint="eastAsia" w:ascii="仿宋_GB2312"/>
                <w:sz w:val="24"/>
                <w:szCs w:val="24"/>
                <w:vertAlign w:val="baseline"/>
                <w:lang w:val="en-US" w:eastAsia="zh-CN"/>
              </w:rPr>
            </w:pPr>
            <w:r>
              <w:rPr>
                <w:rFonts w:hint="default" w:ascii="黑体" w:hAnsi="黑体" w:eastAsia="黑体"/>
                <w:b w:val="0"/>
                <w:i w:val="0"/>
                <w:snapToGrid/>
                <w:color w:val="000000"/>
                <w:sz w:val="24"/>
                <w:szCs w:val="24"/>
                <w:u w:val="none"/>
                <w:lang w:eastAsia="zh-CN"/>
              </w:rPr>
              <w:t>责任事项</w:t>
            </w:r>
          </w:p>
        </w:tc>
        <w:tc>
          <w:tcPr>
            <w:tcW w:w="3144" w:type="dxa"/>
            <w:vAlign w:val="center"/>
          </w:tcPr>
          <w:p w14:paraId="38A002D2">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center"/>
              <w:textAlignment w:val="center"/>
              <w:outlineLvl w:val="9"/>
              <w:rPr>
                <w:rFonts w:hint="eastAsia" w:ascii="仿宋_GB2312"/>
                <w:sz w:val="24"/>
                <w:szCs w:val="24"/>
                <w:vertAlign w:val="baseline"/>
                <w:lang w:val="en-US" w:eastAsia="zh-CN"/>
              </w:rPr>
            </w:pPr>
            <w:r>
              <w:rPr>
                <w:rFonts w:hint="default" w:ascii="黑体" w:hAnsi="黑体" w:eastAsia="黑体"/>
                <w:b w:val="0"/>
                <w:i w:val="0"/>
                <w:snapToGrid/>
                <w:color w:val="000000"/>
                <w:sz w:val="24"/>
                <w:szCs w:val="24"/>
                <w:u w:val="none"/>
                <w:lang w:eastAsia="zh-CN"/>
              </w:rPr>
              <w:t>追责情形</w:t>
            </w:r>
          </w:p>
        </w:tc>
        <w:tc>
          <w:tcPr>
            <w:tcW w:w="687" w:type="dxa"/>
            <w:vAlign w:val="center"/>
          </w:tcPr>
          <w:p w14:paraId="6B215574">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center"/>
              <w:textAlignment w:val="center"/>
              <w:outlineLvl w:val="9"/>
              <w:rPr>
                <w:rFonts w:hint="eastAsia" w:ascii="仿宋_GB2312"/>
                <w:sz w:val="24"/>
                <w:szCs w:val="24"/>
                <w:vertAlign w:val="baseline"/>
                <w:lang w:val="en-US" w:eastAsia="zh-CN"/>
              </w:rPr>
            </w:pPr>
            <w:r>
              <w:rPr>
                <w:rFonts w:hint="default" w:ascii="黑体" w:hAnsi="黑体" w:eastAsia="黑体"/>
                <w:b w:val="0"/>
                <w:i w:val="0"/>
                <w:snapToGrid/>
                <w:color w:val="000000"/>
                <w:spacing w:val="-15"/>
                <w:sz w:val="24"/>
                <w:szCs w:val="24"/>
                <w:u w:val="none"/>
                <w:lang w:eastAsia="zh-CN"/>
              </w:rPr>
              <w:t>备注</w:t>
            </w:r>
          </w:p>
        </w:tc>
      </w:tr>
      <w:tr w14:paraId="7D9B3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7" w:hRule="exact"/>
          <w:jc w:val="center"/>
        </w:trPr>
        <w:tc>
          <w:tcPr>
            <w:tcW w:w="713" w:type="dxa"/>
            <w:vAlign w:val="center"/>
          </w:tcPr>
          <w:p w14:paraId="7F7878AD">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center"/>
              <w:textAlignment w:val="center"/>
              <w:outlineLvl w:val="9"/>
              <w:rPr>
                <w:rFonts w:hint="eastAsia" w:ascii="仿宋_GB2312" w:hAnsi="仿宋_GB2312" w:eastAsia="仿宋_GB2312"/>
                <w:b w:val="0"/>
                <w:i w:val="0"/>
                <w:snapToGrid/>
                <w:color w:val="000000"/>
                <w:sz w:val="22"/>
                <w:szCs w:val="22"/>
                <w:u w:val="none"/>
                <w:lang w:val="en-US" w:eastAsia="zh-CN"/>
              </w:rPr>
            </w:pPr>
            <w:r>
              <w:rPr>
                <w:rFonts w:hint="eastAsia" w:ascii="仿宋_GB2312" w:hAnsi="仿宋_GB2312" w:eastAsia="仿宋_GB2312"/>
                <w:b w:val="0"/>
                <w:i w:val="0"/>
                <w:snapToGrid/>
                <w:color w:val="000000"/>
                <w:sz w:val="22"/>
                <w:szCs w:val="22"/>
                <w:u w:val="none"/>
                <w:lang w:val="en-US" w:eastAsia="zh-CN"/>
              </w:rPr>
              <w:t>1</w:t>
            </w:r>
          </w:p>
        </w:tc>
        <w:tc>
          <w:tcPr>
            <w:tcW w:w="1236" w:type="dxa"/>
            <w:vAlign w:val="center"/>
          </w:tcPr>
          <w:p w14:paraId="643056BD">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center"/>
              <w:textAlignment w:val="center"/>
              <w:outlineLvl w:val="9"/>
              <w:rPr>
                <w:rFonts w:hint="eastAsia" w:ascii="仿宋_GB2312" w:hAnsi="仿宋_GB2312" w:eastAsia="仿宋_GB2312"/>
                <w:b w:val="0"/>
                <w:i w:val="0"/>
                <w:snapToGrid/>
                <w:color w:val="000000"/>
                <w:spacing w:val="-5"/>
                <w:sz w:val="22"/>
                <w:szCs w:val="22"/>
                <w:u w:val="none"/>
                <w:lang w:val="en-US" w:eastAsia="zh-CN"/>
              </w:rPr>
            </w:pPr>
            <w:r>
              <w:rPr>
                <w:rFonts w:hint="eastAsia" w:ascii="仿宋_GB2312" w:hAnsi="仿宋_GB2312" w:eastAsia="仿宋_GB2312"/>
                <w:b w:val="0"/>
                <w:i w:val="0"/>
                <w:snapToGrid/>
                <w:color w:val="000000"/>
                <w:spacing w:val="-5"/>
                <w:sz w:val="22"/>
                <w:szCs w:val="22"/>
                <w:u w:val="none"/>
                <w:lang w:val="en-US" w:eastAsia="zh-CN"/>
              </w:rPr>
              <w:t>行政处罚</w:t>
            </w:r>
          </w:p>
        </w:tc>
        <w:tc>
          <w:tcPr>
            <w:tcW w:w="1176" w:type="dxa"/>
            <w:vAlign w:val="center"/>
          </w:tcPr>
          <w:p w14:paraId="1900F163">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eastAsia="zh-CN"/>
              </w:rPr>
            </w:pPr>
            <w:r>
              <w:rPr>
                <w:rFonts w:hint="eastAsia" w:ascii="仿宋_GB2312" w:hAnsi="仿宋_GB2312" w:eastAsia="仿宋_GB2312"/>
                <w:b w:val="0"/>
                <w:i w:val="0"/>
                <w:snapToGrid/>
                <w:color w:val="000000"/>
                <w:sz w:val="22"/>
                <w:szCs w:val="22"/>
                <w:u w:val="none"/>
                <w:lang w:val="en-US" w:eastAsia="zh-CN"/>
              </w:rPr>
              <w:t>对用人单位不办理医疗保险和生育保险登记、未按规定变更登记或注销登记以及伪造、变造登记证明的处罚</w:t>
            </w:r>
          </w:p>
        </w:tc>
        <w:tc>
          <w:tcPr>
            <w:tcW w:w="1128" w:type="dxa"/>
            <w:vAlign w:val="center"/>
          </w:tcPr>
          <w:p w14:paraId="54978693">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eastAsia="zh-CN"/>
              </w:rPr>
            </w:pPr>
            <w:r>
              <w:rPr>
                <w:rFonts w:hint="eastAsia" w:ascii="仿宋_GB2312" w:hAnsi="仿宋_GB2312"/>
                <w:b w:val="0"/>
                <w:i w:val="0"/>
                <w:snapToGrid/>
                <w:color w:val="000000"/>
                <w:sz w:val="22"/>
                <w:szCs w:val="22"/>
                <w:u w:val="none"/>
                <w:lang w:val="en-US" w:eastAsia="zh-CN"/>
              </w:rPr>
              <w:t>滦州市医疗保障局</w:t>
            </w:r>
          </w:p>
        </w:tc>
        <w:tc>
          <w:tcPr>
            <w:tcW w:w="3948" w:type="dxa"/>
            <w:vAlign w:val="center"/>
          </w:tcPr>
          <w:p w14:paraId="1B75BBDD">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eastAsia="zh-CN"/>
              </w:rPr>
            </w:pPr>
            <w:r>
              <w:rPr>
                <w:rFonts w:hint="eastAsia" w:ascii="仿宋_GB2312" w:hAnsi="仿宋_GB2312" w:eastAsia="仿宋_GB2312"/>
                <w:b w:val="0"/>
                <w:i w:val="0"/>
                <w:snapToGrid/>
                <w:color w:val="000000"/>
                <w:sz w:val="22"/>
                <w:szCs w:val="22"/>
                <w:u w:val="none"/>
                <w:lang w:val="en-US" w:eastAsia="zh-CN"/>
              </w:rPr>
              <w:t>《中华人民共和国社会保险法》）第八十四条：用人单位不办理社会保险登记的，由社会保险行政部门责令限期改正；逾期不改正的，对用人单位处应缴社会保险费数额一倍以上三倍以下的罚款，对其直接负责的主管人员和其他直接责任人员处五百元以上三千元以下的罚款。</w:t>
            </w:r>
          </w:p>
        </w:tc>
        <w:tc>
          <w:tcPr>
            <w:tcW w:w="3744" w:type="dxa"/>
            <w:vAlign w:val="center"/>
          </w:tcPr>
          <w:p w14:paraId="38775A4F">
            <w:pPr>
              <w:keepNext w:val="0"/>
              <w:keepLines w:val="0"/>
              <w:pageBreakBefore w:val="0"/>
              <w:widowControl w:val="0"/>
              <w:kinsoku/>
              <w:wordWrap/>
              <w:overflowPunct/>
              <w:topLinePunct w:val="0"/>
              <w:autoSpaceDE/>
              <w:autoSpaceDN w:val="0"/>
              <w:bidi w:val="0"/>
              <w:adjustRightInd/>
              <w:snapToGrid/>
              <w:spacing w:before="0" w:beforeLines="0" w:after="0" w:afterLines="0" w:line="26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eastAsia="zh-CN"/>
              </w:rPr>
            </w:pPr>
            <w:r>
              <w:rPr>
                <w:rFonts w:hint="eastAsia" w:ascii="仿宋_GB2312" w:hAnsi="仿宋_GB2312" w:eastAsia="仿宋_GB2312"/>
                <w:b w:val="0"/>
                <w:i w:val="0"/>
                <w:snapToGrid/>
                <w:color w:val="000000"/>
                <w:sz w:val="22"/>
                <w:szCs w:val="22"/>
                <w:u w:val="none"/>
                <w:lang w:eastAsia="zh-CN"/>
              </w:rPr>
              <w:t>1、立案责任：发现用人单位不办理医疗保险和生育保险登记、未按规定变更登记或注销登记以及伪造、变造登记证明的违法行为，予以审查，决定是否立案。</w:t>
            </w:r>
          </w:p>
          <w:p w14:paraId="4DF2544E">
            <w:pPr>
              <w:keepNext w:val="0"/>
              <w:keepLines w:val="0"/>
              <w:pageBreakBefore w:val="0"/>
              <w:widowControl w:val="0"/>
              <w:kinsoku/>
              <w:wordWrap/>
              <w:overflowPunct/>
              <w:topLinePunct w:val="0"/>
              <w:autoSpaceDE/>
              <w:autoSpaceDN w:val="0"/>
              <w:bidi w:val="0"/>
              <w:adjustRightInd/>
              <w:snapToGrid/>
              <w:spacing w:before="0" w:beforeLines="0" w:after="0" w:afterLines="0" w:line="26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eastAsia="zh-CN"/>
              </w:rPr>
            </w:pPr>
            <w:r>
              <w:rPr>
                <w:rFonts w:hint="eastAsia" w:ascii="仿宋_GB2312" w:hAnsi="仿宋_GB2312" w:eastAsia="仿宋_GB2312"/>
                <w:b w:val="0"/>
                <w:i w:val="0"/>
                <w:snapToGrid/>
                <w:color w:val="000000"/>
                <w:sz w:val="22"/>
                <w:szCs w:val="22"/>
                <w:u w:val="none"/>
                <w:lang w:eastAsia="zh-CN"/>
              </w:rPr>
              <w:t>2、调查责任：</w:t>
            </w:r>
            <w:r>
              <w:rPr>
                <w:rFonts w:hint="eastAsia" w:ascii="仿宋_GB2312" w:hAnsi="仿宋_GB2312"/>
                <w:b w:val="0"/>
                <w:i w:val="0"/>
                <w:snapToGrid/>
                <w:color w:val="000000"/>
                <w:sz w:val="22"/>
                <w:szCs w:val="22"/>
                <w:u w:val="none"/>
                <w:lang w:eastAsia="zh-CN"/>
              </w:rPr>
              <w:t>医疗保障部门</w:t>
            </w:r>
            <w:r>
              <w:rPr>
                <w:rFonts w:hint="eastAsia" w:ascii="仿宋_GB2312" w:hAnsi="仿宋_GB2312" w:eastAsia="仿宋_GB2312"/>
                <w:b w:val="0"/>
                <w:i w:val="0"/>
                <w:snapToGrid/>
                <w:color w:val="000000"/>
                <w:sz w:val="22"/>
                <w:szCs w:val="22"/>
                <w:u w:val="none"/>
                <w:lang w:eastAsia="zh-CN"/>
              </w:rPr>
              <w:t>对立案的案件，指定专人负责，及时组织调查取证，与当事人有直接利害关系的应当回避。执法人员不得少于两人，调查时应出示执法证件，允许当事人辩解陈述。执法人员应保守有关秘密。</w:t>
            </w:r>
          </w:p>
          <w:p w14:paraId="1D7D407C">
            <w:pPr>
              <w:keepNext w:val="0"/>
              <w:keepLines w:val="0"/>
              <w:pageBreakBefore w:val="0"/>
              <w:widowControl w:val="0"/>
              <w:kinsoku/>
              <w:wordWrap/>
              <w:overflowPunct/>
              <w:topLinePunct w:val="0"/>
              <w:autoSpaceDE/>
              <w:autoSpaceDN w:val="0"/>
              <w:bidi w:val="0"/>
              <w:adjustRightInd/>
              <w:snapToGrid/>
              <w:spacing w:before="0" w:beforeLines="0" w:after="0" w:afterLines="0" w:line="26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eastAsia="zh-CN"/>
              </w:rPr>
            </w:pPr>
            <w:r>
              <w:rPr>
                <w:rFonts w:hint="eastAsia" w:ascii="仿宋_GB2312" w:hAnsi="仿宋_GB2312" w:eastAsia="仿宋_GB2312"/>
                <w:b w:val="0"/>
                <w:i w:val="0"/>
                <w:snapToGrid/>
                <w:color w:val="000000"/>
                <w:sz w:val="22"/>
                <w:szCs w:val="22"/>
                <w:u w:val="none"/>
                <w:lang w:eastAsia="zh-CN"/>
              </w:rPr>
              <w:t>3、审查责任：审理案件调查报告，对案件违法事实、证据、调查取证程序、法律适用、处罚种类和幅度、当事人陈述和申辩理由等方面进行审查，提出处理意见（主要证据不足时，以适当的方式补充调查）。</w:t>
            </w:r>
          </w:p>
          <w:p w14:paraId="4D6BE17E">
            <w:pPr>
              <w:keepNext w:val="0"/>
              <w:keepLines w:val="0"/>
              <w:pageBreakBefore w:val="0"/>
              <w:widowControl w:val="0"/>
              <w:kinsoku/>
              <w:wordWrap/>
              <w:overflowPunct/>
              <w:topLinePunct w:val="0"/>
              <w:autoSpaceDE/>
              <w:autoSpaceDN w:val="0"/>
              <w:bidi w:val="0"/>
              <w:adjustRightInd/>
              <w:snapToGrid/>
              <w:spacing w:before="0" w:beforeLines="0" w:after="0" w:afterLines="0" w:line="26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eastAsia="zh-CN"/>
              </w:rPr>
            </w:pPr>
            <w:r>
              <w:rPr>
                <w:rFonts w:hint="eastAsia" w:ascii="仿宋_GB2312" w:hAnsi="仿宋_GB2312" w:eastAsia="仿宋_GB2312"/>
                <w:b w:val="0"/>
                <w:i w:val="0"/>
                <w:snapToGrid/>
                <w:color w:val="000000"/>
                <w:sz w:val="22"/>
                <w:szCs w:val="22"/>
                <w:u w:val="none"/>
                <w:lang w:eastAsia="zh-CN"/>
              </w:rPr>
              <w:t>4、告知责任：作出行政处罚决定前，应制作《行政处罚告知书》送达当事人，告知违法事实及其享有的陈述、申辩等权利。符合听证规定的，制作并送达《行政处罚听证告知书》。</w:t>
            </w:r>
          </w:p>
          <w:p w14:paraId="41228FD1">
            <w:pPr>
              <w:keepNext w:val="0"/>
              <w:keepLines w:val="0"/>
              <w:pageBreakBefore w:val="0"/>
              <w:widowControl w:val="0"/>
              <w:kinsoku/>
              <w:wordWrap/>
              <w:overflowPunct/>
              <w:topLinePunct w:val="0"/>
              <w:autoSpaceDE/>
              <w:autoSpaceDN w:val="0"/>
              <w:bidi w:val="0"/>
              <w:adjustRightInd/>
              <w:snapToGrid/>
              <w:spacing w:before="0" w:beforeLines="0" w:after="0" w:afterLines="0" w:line="26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eastAsia="zh-CN"/>
              </w:rPr>
            </w:pPr>
            <w:r>
              <w:rPr>
                <w:rFonts w:hint="eastAsia" w:ascii="仿宋_GB2312" w:hAnsi="仿宋_GB2312" w:eastAsia="仿宋_GB2312"/>
                <w:b w:val="0"/>
                <w:i w:val="0"/>
                <w:snapToGrid/>
                <w:color w:val="000000"/>
                <w:sz w:val="22"/>
                <w:szCs w:val="22"/>
                <w:u w:val="none"/>
                <w:lang w:eastAsia="zh-CN"/>
              </w:rPr>
              <w:t>5、决定责任：制作行政处罚决定书，载明行政处罚</w:t>
            </w:r>
            <w:r>
              <w:rPr>
                <w:rFonts w:hint="eastAsia" w:ascii="仿宋_GB2312" w:hAnsi="仿宋_GB2312"/>
                <w:b w:val="0"/>
                <w:i w:val="0"/>
                <w:snapToGrid/>
                <w:color w:val="000000"/>
                <w:sz w:val="22"/>
                <w:szCs w:val="22"/>
                <w:u w:val="none"/>
                <w:lang w:eastAsia="zh-CN"/>
              </w:rPr>
              <w:t>种类、依据、履行方式、期限、救济途径</w:t>
            </w:r>
            <w:r>
              <w:rPr>
                <w:rFonts w:hint="eastAsia" w:ascii="仿宋_GB2312" w:hAnsi="仿宋_GB2312" w:eastAsia="仿宋_GB2312"/>
                <w:b w:val="0"/>
                <w:i w:val="0"/>
                <w:snapToGrid/>
                <w:color w:val="000000"/>
                <w:sz w:val="22"/>
                <w:szCs w:val="22"/>
                <w:u w:val="none"/>
                <w:lang w:eastAsia="zh-CN"/>
              </w:rPr>
              <w:t>等内容。</w:t>
            </w:r>
          </w:p>
          <w:p w14:paraId="6304230C">
            <w:pPr>
              <w:keepNext w:val="0"/>
              <w:keepLines w:val="0"/>
              <w:pageBreakBefore w:val="0"/>
              <w:widowControl w:val="0"/>
              <w:kinsoku/>
              <w:wordWrap/>
              <w:overflowPunct/>
              <w:topLinePunct w:val="0"/>
              <w:autoSpaceDE/>
              <w:autoSpaceDN w:val="0"/>
              <w:bidi w:val="0"/>
              <w:adjustRightInd/>
              <w:snapToGrid/>
              <w:spacing w:before="0" w:beforeLines="0" w:after="0" w:afterLines="0" w:line="26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eastAsia="zh-CN"/>
              </w:rPr>
            </w:pPr>
            <w:r>
              <w:rPr>
                <w:rFonts w:hint="eastAsia" w:ascii="仿宋_GB2312" w:hAnsi="仿宋_GB2312" w:eastAsia="仿宋_GB2312"/>
                <w:b w:val="0"/>
                <w:i w:val="0"/>
                <w:snapToGrid/>
                <w:color w:val="000000"/>
                <w:sz w:val="22"/>
                <w:szCs w:val="22"/>
                <w:u w:val="none"/>
                <w:lang w:eastAsia="zh-CN"/>
              </w:rPr>
              <w:t>6、送达责任：行政处罚决定书按法律规定的方式送达当事人。</w:t>
            </w:r>
          </w:p>
          <w:p w14:paraId="7CC61F20">
            <w:pPr>
              <w:keepNext w:val="0"/>
              <w:keepLines w:val="0"/>
              <w:pageBreakBefore w:val="0"/>
              <w:widowControl w:val="0"/>
              <w:kinsoku/>
              <w:wordWrap/>
              <w:overflowPunct/>
              <w:topLinePunct w:val="0"/>
              <w:autoSpaceDE/>
              <w:autoSpaceDN w:val="0"/>
              <w:bidi w:val="0"/>
              <w:adjustRightInd/>
              <w:snapToGrid/>
              <w:spacing w:before="0" w:beforeLines="0" w:after="0" w:afterLines="0" w:line="26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eastAsia="zh-CN"/>
              </w:rPr>
            </w:pPr>
            <w:r>
              <w:rPr>
                <w:rFonts w:hint="eastAsia" w:ascii="仿宋_GB2312" w:hAnsi="仿宋_GB2312" w:eastAsia="仿宋_GB2312"/>
                <w:b w:val="0"/>
                <w:i w:val="0"/>
                <w:snapToGrid/>
                <w:color w:val="000000"/>
                <w:sz w:val="22"/>
                <w:szCs w:val="22"/>
                <w:u w:val="none"/>
                <w:lang w:eastAsia="zh-CN"/>
              </w:rPr>
              <w:t>7、执行责任：依照生效的行政处罚决定，</w:t>
            </w:r>
            <w:r>
              <w:rPr>
                <w:rFonts w:hint="eastAsia" w:ascii="仿宋_GB2312" w:hAnsi="仿宋_GB2312"/>
                <w:b w:val="0"/>
                <w:i w:val="0"/>
                <w:snapToGrid/>
                <w:color w:val="000000"/>
                <w:sz w:val="22"/>
                <w:szCs w:val="22"/>
                <w:u w:val="none"/>
                <w:lang w:val="en-US" w:eastAsia="zh-CN"/>
              </w:rPr>
              <w:t>予以处罚。</w:t>
            </w:r>
          </w:p>
          <w:p w14:paraId="171DDFAF">
            <w:pPr>
              <w:keepNext w:val="0"/>
              <w:keepLines w:val="0"/>
              <w:pageBreakBefore w:val="0"/>
              <w:widowControl w:val="0"/>
              <w:kinsoku/>
              <w:wordWrap/>
              <w:overflowPunct/>
              <w:topLinePunct w:val="0"/>
              <w:autoSpaceDE/>
              <w:autoSpaceDN w:val="0"/>
              <w:bidi w:val="0"/>
              <w:adjustRightInd/>
              <w:snapToGrid/>
              <w:spacing w:before="0" w:beforeLines="0" w:after="0" w:afterLines="0" w:line="26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eastAsia="zh-CN"/>
              </w:rPr>
            </w:pPr>
            <w:r>
              <w:rPr>
                <w:rFonts w:hint="eastAsia" w:ascii="仿宋_GB2312" w:hAnsi="仿宋_GB2312" w:eastAsia="仿宋_GB2312"/>
                <w:b w:val="0"/>
                <w:i w:val="0"/>
                <w:snapToGrid/>
                <w:color w:val="000000"/>
                <w:sz w:val="22"/>
                <w:szCs w:val="22"/>
                <w:u w:val="none"/>
                <w:lang w:eastAsia="zh-CN"/>
              </w:rPr>
              <w:t>8、其他法律法规规章文件规定应履行的责任。</w:t>
            </w:r>
          </w:p>
        </w:tc>
        <w:tc>
          <w:tcPr>
            <w:tcW w:w="3144" w:type="dxa"/>
            <w:vAlign w:val="center"/>
          </w:tcPr>
          <w:p w14:paraId="2F6902FE">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eastAsia="zh-CN"/>
              </w:rPr>
            </w:pPr>
            <w:r>
              <w:rPr>
                <w:rFonts w:hint="eastAsia" w:ascii="仿宋_GB2312" w:hAnsi="仿宋_GB2312" w:eastAsia="仿宋_GB2312"/>
                <w:b w:val="0"/>
                <w:i w:val="0"/>
                <w:snapToGrid/>
                <w:color w:val="000000"/>
                <w:sz w:val="22"/>
                <w:szCs w:val="22"/>
                <w:u w:val="none"/>
                <w:lang w:eastAsia="zh-CN"/>
              </w:rPr>
              <w:t>因不履行或不正确履行行政职责，有下列情形的，行政机关及相关工作人员应承担相应责任：</w:t>
            </w:r>
          </w:p>
          <w:p w14:paraId="463E5321">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eastAsia="zh-CN"/>
              </w:rPr>
            </w:pPr>
            <w:r>
              <w:rPr>
                <w:rFonts w:hint="eastAsia" w:ascii="仿宋_GB2312" w:hAnsi="仿宋_GB2312" w:eastAsia="仿宋_GB2312"/>
                <w:b w:val="0"/>
                <w:i w:val="0"/>
                <w:snapToGrid/>
                <w:color w:val="000000"/>
                <w:sz w:val="22"/>
                <w:szCs w:val="22"/>
                <w:u w:val="none"/>
                <w:lang w:eastAsia="zh-CN"/>
              </w:rPr>
              <w:t>1、没有法律和事实依据实施行政处罚的；</w:t>
            </w:r>
          </w:p>
          <w:p w14:paraId="5B941DF4">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eastAsia="zh-CN"/>
              </w:rPr>
            </w:pPr>
            <w:r>
              <w:rPr>
                <w:rFonts w:hint="eastAsia" w:ascii="仿宋_GB2312" w:hAnsi="仿宋_GB2312" w:eastAsia="仿宋_GB2312"/>
                <w:b w:val="0"/>
                <w:i w:val="0"/>
                <w:snapToGrid/>
                <w:color w:val="000000"/>
                <w:sz w:val="22"/>
                <w:szCs w:val="22"/>
                <w:u w:val="none"/>
                <w:lang w:eastAsia="zh-CN"/>
              </w:rPr>
              <w:t>2、行政处罚显失公正的；</w:t>
            </w:r>
          </w:p>
          <w:p w14:paraId="556A741E">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eastAsia="zh-CN"/>
              </w:rPr>
            </w:pPr>
            <w:r>
              <w:rPr>
                <w:rFonts w:hint="eastAsia" w:ascii="仿宋_GB2312" w:hAnsi="仿宋_GB2312" w:eastAsia="仿宋_GB2312"/>
                <w:b w:val="0"/>
                <w:i w:val="0"/>
                <w:snapToGrid/>
                <w:color w:val="000000"/>
                <w:sz w:val="22"/>
                <w:szCs w:val="22"/>
                <w:u w:val="none"/>
                <w:lang w:eastAsia="zh-CN"/>
              </w:rPr>
              <w:t>3、执法人员玩忽职守，对应当予以制止和处罚的违法行为不予制止、处罚，致使</w:t>
            </w:r>
            <w:r>
              <w:rPr>
                <w:rFonts w:hint="eastAsia" w:ascii="仿宋_GB2312" w:hAnsi="仿宋_GB2312"/>
                <w:b w:val="0"/>
                <w:i w:val="0"/>
                <w:snapToGrid/>
                <w:color w:val="000000"/>
                <w:sz w:val="22"/>
                <w:szCs w:val="22"/>
                <w:u w:val="none"/>
                <w:lang w:eastAsia="zh-CN"/>
              </w:rPr>
              <w:t>医疗保障基金损失的</w:t>
            </w:r>
            <w:r>
              <w:rPr>
                <w:rFonts w:hint="eastAsia" w:ascii="仿宋_GB2312" w:hAnsi="仿宋_GB2312" w:eastAsia="仿宋_GB2312"/>
                <w:b w:val="0"/>
                <w:i w:val="0"/>
                <w:snapToGrid/>
                <w:color w:val="000000"/>
                <w:sz w:val="22"/>
                <w:szCs w:val="22"/>
                <w:u w:val="none"/>
                <w:lang w:eastAsia="zh-CN"/>
              </w:rPr>
              <w:t>；</w:t>
            </w:r>
          </w:p>
          <w:p w14:paraId="6B5F2CFB">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eastAsia="zh-CN"/>
              </w:rPr>
            </w:pPr>
            <w:r>
              <w:rPr>
                <w:rFonts w:hint="eastAsia" w:ascii="仿宋_GB2312" w:hAnsi="仿宋_GB2312" w:eastAsia="仿宋_GB2312"/>
                <w:b w:val="0"/>
                <w:i w:val="0"/>
                <w:snapToGrid/>
                <w:color w:val="000000"/>
                <w:sz w:val="22"/>
                <w:szCs w:val="22"/>
                <w:u w:val="none"/>
                <w:lang w:eastAsia="zh-CN"/>
              </w:rPr>
              <w:t>4、不具备行政执法资格实施行政处罚的；</w:t>
            </w:r>
          </w:p>
          <w:p w14:paraId="38C389FC">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eastAsia="zh-CN"/>
              </w:rPr>
            </w:pPr>
            <w:r>
              <w:rPr>
                <w:rFonts w:hint="eastAsia" w:ascii="仿宋_GB2312" w:hAnsi="仿宋_GB2312" w:eastAsia="仿宋_GB2312"/>
                <w:b w:val="0"/>
                <w:i w:val="0"/>
                <w:snapToGrid/>
                <w:color w:val="000000"/>
                <w:sz w:val="22"/>
                <w:szCs w:val="22"/>
                <w:u w:val="none"/>
                <w:lang w:eastAsia="zh-CN"/>
              </w:rPr>
              <w:t>5、应当依法移送追究刑事责任，而未依法移送有权机关的；</w:t>
            </w:r>
          </w:p>
          <w:p w14:paraId="4679EDC9">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eastAsia="zh-CN"/>
              </w:rPr>
            </w:pPr>
            <w:r>
              <w:rPr>
                <w:rFonts w:hint="eastAsia" w:ascii="仿宋_GB2312" w:hAnsi="仿宋_GB2312"/>
                <w:b w:val="0"/>
                <w:i w:val="0"/>
                <w:snapToGrid/>
                <w:color w:val="000000"/>
                <w:sz w:val="22"/>
                <w:szCs w:val="22"/>
                <w:u w:val="none"/>
                <w:lang w:val="en-US" w:eastAsia="zh-CN"/>
              </w:rPr>
              <w:t>6</w:t>
            </w:r>
            <w:r>
              <w:rPr>
                <w:rFonts w:hint="eastAsia" w:ascii="仿宋_GB2312" w:hAnsi="仿宋_GB2312" w:eastAsia="仿宋_GB2312"/>
                <w:b w:val="0"/>
                <w:i w:val="0"/>
                <w:snapToGrid/>
                <w:color w:val="000000"/>
                <w:sz w:val="22"/>
                <w:szCs w:val="22"/>
                <w:u w:val="none"/>
                <w:lang w:eastAsia="zh-CN"/>
              </w:rPr>
              <w:t>、擅自改变行政处罚种类、幅度的；</w:t>
            </w:r>
          </w:p>
          <w:p w14:paraId="094F6682">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eastAsia="zh-CN"/>
              </w:rPr>
            </w:pPr>
            <w:r>
              <w:rPr>
                <w:rFonts w:hint="eastAsia" w:ascii="仿宋_GB2312" w:hAnsi="仿宋_GB2312"/>
                <w:b w:val="0"/>
                <w:i w:val="0"/>
                <w:snapToGrid/>
                <w:color w:val="000000"/>
                <w:sz w:val="22"/>
                <w:szCs w:val="22"/>
                <w:u w:val="none"/>
                <w:lang w:val="en-US" w:eastAsia="zh-CN"/>
              </w:rPr>
              <w:t>7</w:t>
            </w:r>
            <w:r>
              <w:rPr>
                <w:rFonts w:hint="eastAsia" w:ascii="仿宋_GB2312" w:hAnsi="仿宋_GB2312" w:eastAsia="仿宋_GB2312"/>
                <w:b w:val="0"/>
                <w:i w:val="0"/>
                <w:snapToGrid/>
                <w:color w:val="000000"/>
                <w:sz w:val="22"/>
                <w:szCs w:val="22"/>
                <w:u w:val="none"/>
                <w:lang w:eastAsia="zh-CN"/>
              </w:rPr>
              <w:t>、违反法定的行政处罚程序的；</w:t>
            </w:r>
          </w:p>
          <w:p w14:paraId="2CC22894">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eastAsia="zh-CN"/>
              </w:rPr>
            </w:pPr>
            <w:r>
              <w:rPr>
                <w:rFonts w:hint="eastAsia" w:ascii="仿宋_GB2312" w:hAnsi="仿宋_GB2312"/>
                <w:b w:val="0"/>
                <w:i w:val="0"/>
                <w:snapToGrid/>
                <w:color w:val="000000"/>
                <w:sz w:val="22"/>
                <w:szCs w:val="22"/>
                <w:u w:val="none"/>
                <w:lang w:val="en-US" w:eastAsia="zh-CN"/>
              </w:rPr>
              <w:t>8</w:t>
            </w:r>
            <w:r>
              <w:rPr>
                <w:rFonts w:hint="eastAsia" w:ascii="仿宋_GB2312" w:hAnsi="仿宋_GB2312" w:eastAsia="仿宋_GB2312"/>
                <w:b w:val="0"/>
                <w:i w:val="0"/>
                <w:snapToGrid/>
                <w:color w:val="000000"/>
                <w:sz w:val="22"/>
                <w:szCs w:val="22"/>
                <w:u w:val="none"/>
                <w:lang w:eastAsia="zh-CN"/>
              </w:rPr>
              <w:t>、</w:t>
            </w:r>
            <w:r>
              <w:rPr>
                <w:rFonts w:hint="eastAsia" w:ascii="仿宋_GB2312" w:hAnsi="仿宋_GB2312"/>
                <w:b w:val="0"/>
                <w:i w:val="0"/>
                <w:snapToGrid/>
                <w:color w:val="000000"/>
                <w:sz w:val="22"/>
                <w:szCs w:val="22"/>
                <w:u w:val="none"/>
                <w:lang w:eastAsia="zh-CN"/>
              </w:rPr>
              <w:t>委托不符合法定条件的组织实施行政处罚的；</w:t>
            </w:r>
          </w:p>
          <w:p w14:paraId="18FA1DB0">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eastAsia="zh-CN"/>
              </w:rPr>
            </w:pPr>
            <w:r>
              <w:rPr>
                <w:rFonts w:hint="eastAsia" w:ascii="仿宋_GB2312" w:hAnsi="仿宋_GB2312"/>
                <w:b w:val="0"/>
                <w:i w:val="0"/>
                <w:snapToGrid/>
                <w:color w:val="000000"/>
                <w:sz w:val="22"/>
                <w:szCs w:val="22"/>
                <w:u w:val="none"/>
                <w:lang w:val="en-US" w:eastAsia="zh-CN"/>
              </w:rPr>
              <w:t>9</w:t>
            </w:r>
            <w:r>
              <w:rPr>
                <w:rFonts w:hint="eastAsia" w:ascii="仿宋_GB2312" w:hAnsi="仿宋_GB2312" w:eastAsia="仿宋_GB2312"/>
                <w:b w:val="0"/>
                <w:i w:val="0"/>
                <w:snapToGrid/>
                <w:color w:val="000000"/>
                <w:sz w:val="22"/>
                <w:szCs w:val="22"/>
                <w:u w:val="none"/>
                <w:lang w:eastAsia="zh-CN"/>
              </w:rPr>
              <w:t>、在行政处罚过程中发生腐败行为的；</w:t>
            </w:r>
          </w:p>
          <w:p w14:paraId="4FA9EE51">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eastAsia="zh-CN"/>
              </w:rPr>
            </w:pPr>
            <w:r>
              <w:rPr>
                <w:rFonts w:hint="eastAsia" w:ascii="仿宋_GB2312" w:hAnsi="仿宋_GB2312" w:eastAsia="仿宋_GB2312"/>
                <w:b w:val="0"/>
                <w:i w:val="0"/>
                <w:snapToGrid/>
                <w:color w:val="000000"/>
                <w:sz w:val="22"/>
                <w:szCs w:val="22"/>
                <w:u w:val="none"/>
                <w:lang w:eastAsia="zh-CN"/>
              </w:rPr>
              <w:t>1</w:t>
            </w:r>
            <w:r>
              <w:rPr>
                <w:rFonts w:hint="eastAsia" w:ascii="仿宋_GB2312" w:hAnsi="仿宋_GB2312"/>
                <w:b w:val="0"/>
                <w:i w:val="0"/>
                <w:snapToGrid/>
                <w:color w:val="000000"/>
                <w:sz w:val="22"/>
                <w:szCs w:val="22"/>
                <w:u w:val="none"/>
                <w:lang w:val="en-US" w:eastAsia="zh-CN"/>
              </w:rPr>
              <w:t>0</w:t>
            </w:r>
            <w:r>
              <w:rPr>
                <w:rFonts w:hint="eastAsia" w:ascii="仿宋_GB2312" w:hAnsi="仿宋_GB2312" w:eastAsia="仿宋_GB2312"/>
                <w:b w:val="0"/>
                <w:i w:val="0"/>
                <w:snapToGrid/>
                <w:color w:val="000000"/>
                <w:sz w:val="22"/>
                <w:szCs w:val="22"/>
                <w:u w:val="none"/>
                <w:lang w:eastAsia="zh-CN"/>
              </w:rPr>
              <w:t>、其他违反法律法规规章文件规定的行为。</w:t>
            </w:r>
          </w:p>
        </w:tc>
        <w:tc>
          <w:tcPr>
            <w:tcW w:w="687" w:type="dxa"/>
            <w:vAlign w:val="center"/>
          </w:tcPr>
          <w:p w14:paraId="067641BF">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center"/>
              <w:textAlignment w:val="center"/>
              <w:outlineLvl w:val="9"/>
              <w:rPr>
                <w:rFonts w:hint="eastAsia" w:ascii="仿宋_GB2312" w:hAnsi="仿宋_GB2312" w:eastAsia="仿宋_GB2312"/>
                <w:b w:val="0"/>
                <w:i w:val="0"/>
                <w:snapToGrid/>
                <w:color w:val="000000"/>
                <w:sz w:val="24"/>
                <w:szCs w:val="24"/>
                <w:u w:val="none"/>
                <w:lang w:eastAsia="zh-CN"/>
              </w:rPr>
            </w:pPr>
          </w:p>
        </w:tc>
      </w:tr>
      <w:tr w14:paraId="4541A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45" w:hRule="exact"/>
          <w:jc w:val="center"/>
        </w:trPr>
        <w:tc>
          <w:tcPr>
            <w:tcW w:w="713" w:type="dxa"/>
            <w:vAlign w:val="center"/>
          </w:tcPr>
          <w:p w14:paraId="20699B35">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center"/>
              <w:textAlignment w:val="center"/>
              <w:outlineLvl w:val="9"/>
              <w:rPr>
                <w:rFonts w:hint="eastAsia" w:ascii="仿宋_GB2312" w:hAnsi="仿宋_GB2312" w:eastAsia="仿宋_GB2312"/>
                <w:b w:val="0"/>
                <w:i w:val="0"/>
                <w:snapToGrid/>
                <w:color w:val="000000"/>
                <w:sz w:val="22"/>
                <w:szCs w:val="22"/>
                <w:u w:val="none"/>
                <w:lang w:val="en-US" w:eastAsia="zh-CN"/>
              </w:rPr>
            </w:pPr>
            <w:r>
              <w:rPr>
                <w:rFonts w:hint="eastAsia" w:ascii="仿宋_GB2312" w:hAnsi="仿宋_GB2312" w:eastAsia="仿宋_GB2312"/>
                <w:b w:val="0"/>
                <w:i w:val="0"/>
                <w:snapToGrid/>
                <w:color w:val="000000"/>
                <w:sz w:val="22"/>
                <w:szCs w:val="22"/>
                <w:u w:val="none"/>
                <w:lang w:val="en-US" w:eastAsia="zh-CN"/>
              </w:rPr>
              <w:t>2</w:t>
            </w:r>
          </w:p>
        </w:tc>
        <w:tc>
          <w:tcPr>
            <w:tcW w:w="1236" w:type="dxa"/>
            <w:vAlign w:val="center"/>
          </w:tcPr>
          <w:p w14:paraId="164C25D6">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center"/>
              <w:textAlignment w:val="center"/>
              <w:outlineLvl w:val="9"/>
              <w:rPr>
                <w:rFonts w:hint="eastAsia" w:ascii="仿宋_GB2312" w:hAnsi="仿宋_GB2312" w:eastAsia="仿宋_GB2312"/>
                <w:b w:val="0"/>
                <w:i w:val="0"/>
                <w:snapToGrid/>
                <w:color w:val="000000"/>
                <w:spacing w:val="-5"/>
                <w:sz w:val="22"/>
                <w:szCs w:val="22"/>
                <w:u w:val="none"/>
                <w:lang w:val="en-US" w:eastAsia="zh-CN"/>
              </w:rPr>
            </w:pPr>
            <w:r>
              <w:rPr>
                <w:rFonts w:hint="eastAsia" w:ascii="仿宋_GB2312" w:hAnsi="仿宋_GB2312" w:eastAsia="仿宋_GB2312"/>
                <w:b w:val="0"/>
                <w:i w:val="0"/>
                <w:snapToGrid/>
                <w:color w:val="000000"/>
                <w:spacing w:val="-5"/>
                <w:sz w:val="22"/>
                <w:szCs w:val="22"/>
                <w:u w:val="none"/>
                <w:lang w:val="en-US" w:eastAsia="zh-CN"/>
              </w:rPr>
              <w:t>行政处罚</w:t>
            </w:r>
          </w:p>
        </w:tc>
        <w:tc>
          <w:tcPr>
            <w:tcW w:w="1176" w:type="dxa"/>
            <w:vAlign w:val="center"/>
          </w:tcPr>
          <w:p w14:paraId="01448E4D">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val="en-US" w:eastAsia="zh-CN"/>
              </w:rPr>
            </w:pPr>
            <w:r>
              <w:rPr>
                <w:rFonts w:hint="eastAsia" w:ascii="仿宋_GB2312" w:hAnsi="仿宋_GB2312" w:eastAsia="仿宋_GB2312"/>
                <w:b w:val="0"/>
                <w:i w:val="0"/>
                <w:snapToGrid/>
                <w:color w:val="000000"/>
                <w:sz w:val="22"/>
                <w:szCs w:val="22"/>
                <w:u w:val="none"/>
                <w:lang w:val="en-US" w:eastAsia="zh-CN"/>
              </w:rPr>
              <w:t>对医疗保障经办机构骗取医疗保障基金支出的处罚</w:t>
            </w:r>
          </w:p>
        </w:tc>
        <w:tc>
          <w:tcPr>
            <w:tcW w:w="1128" w:type="dxa"/>
            <w:vAlign w:val="center"/>
          </w:tcPr>
          <w:p w14:paraId="773BD5D0">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center"/>
              <w:textAlignment w:val="center"/>
              <w:outlineLvl w:val="9"/>
              <w:rPr>
                <w:rFonts w:hint="eastAsia" w:ascii="仿宋_GB2312" w:hAnsi="仿宋_GB2312" w:eastAsia="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滦州市医疗保障局</w:t>
            </w:r>
          </w:p>
        </w:tc>
        <w:tc>
          <w:tcPr>
            <w:tcW w:w="3948" w:type="dxa"/>
            <w:vAlign w:val="center"/>
          </w:tcPr>
          <w:p w14:paraId="4E52D3CB">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val="en-US" w:eastAsia="zh-CN"/>
              </w:rPr>
            </w:pPr>
            <w:r>
              <w:rPr>
                <w:rFonts w:hint="eastAsia" w:ascii="仿宋_GB2312" w:hAnsi="仿宋_GB2312" w:eastAsia="仿宋_GB2312"/>
                <w:b w:val="0"/>
                <w:i w:val="0"/>
                <w:snapToGrid/>
                <w:color w:val="000000"/>
                <w:sz w:val="22"/>
                <w:szCs w:val="22"/>
                <w:u w:val="none"/>
                <w:lang w:val="en-US" w:eastAsia="zh-CN"/>
              </w:rPr>
              <w:t>1.《中华人民共和国社会保险法》第八十七条：社会保险经办机构以及医疗机构、药品经营单位等社会保险服务机构以欺诈、伪造证明材料或者其他手段骗取社会保险基金支出的，由社会保险行政部门责令退回骗取的社会保险金，处骗取金额二倍以上五倍以下的罚款。</w:t>
            </w:r>
          </w:p>
          <w:p w14:paraId="2F038F06">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val="en-US" w:eastAsia="zh-CN"/>
              </w:rPr>
            </w:pPr>
            <w:r>
              <w:rPr>
                <w:rFonts w:hint="eastAsia" w:ascii="仿宋_GB2312" w:hAnsi="仿宋_GB2312" w:eastAsia="仿宋_GB2312"/>
                <w:b w:val="0"/>
                <w:i w:val="0"/>
                <w:snapToGrid/>
                <w:color w:val="000000"/>
                <w:sz w:val="22"/>
                <w:szCs w:val="22"/>
                <w:u w:val="none"/>
                <w:lang w:val="en-US" w:eastAsia="zh-CN"/>
              </w:rPr>
              <w:t>2.《中华人民共和国基本医疗卫生与健康促进法》第一百零四条：违反本法规定，以欺诈、伪造证明材料或者其他手段骗取基本医疗保险待遇，或者基本医疗保险经办机构以及医疗机构、药品经营单位等以欺诈、伪造证明材料或者其他手段骗取基本医疗保险基金支出的，由县级以上人民政府医疗保障主管部门依照有关社会保险的法律、行政法规规定给予行政处罚。</w:t>
            </w:r>
          </w:p>
          <w:p w14:paraId="6704D096">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val="en-US" w:eastAsia="zh-CN"/>
              </w:rPr>
            </w:pPr>
            <w:r>
              <w:rPr>
                <w:rFonts w:hint="eastAsia" w:ascii="仿宋_GB2312" w:hAnsi="仿宋_GB2312" w:eastAsia="仿宋_GB2312"/>
                <w:b w:val="0"/>
                <w:i w:val="0"/>
                <w:snapToGrid/>
                <w:color w:val="000000"/>
                <w:sz w:val="22"/>
                <w:szCs w:val="22"/>
                <w:u w:val="none"/>
                <w:lang w:val="en-US" w:eastAsia="zh-CN"/>
              </w:rPr>
              <w:t>3.《医疗保障基金使用监督管理条例》第三十七条：医疗保障经办机构通过伪造、变造、隐匿、涂改、销毁医学文书、医学证明、会计凭证、电子信息等有关资料或者虚构医药服务项目等方式，骗取医疗保障基金支出的，由医疗保障行政部门责令退回，处骗取金额2倍以上5倍以下的罚款，对直接负责的主管人员和其他直接责任人员依法给予处分。</w:t>
            </w:r>
          </w:p>
          <w:p w14:paraId="6B46FAFB">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val="en-US" w:eastAsia="zh-CN"/>
              </w:rPr>
            </w:pPr>
            <w:r>
              <w:rPr>
                <w:rFonts w:hint="eastAsia" w:ascii="仿宋_GB2312" w:hAnsi="仿宋_GB2312" w:eastAsia="仿宋_GB2312"/>
                <w:b w:val="0"/>
                <w:i w:val="0"/>
                <w:snapToGrid/>
                <w:color w:val="000000"/>
                <w:sz w:val="22"/>
                <w:szCs w:val="22"/>
                <w:u w:val="none"/>
                <w:lang w:val="en-US" w:eastAsia="zh-CN"/>
              </w:rPr>
              <w:t>4.《社会救助暂行办法》第六十八条：采取虚报、隐瞒、伪造等手段，骗取社会救助资金、物资或者服务的，由有关部门决定停止社会救助，责令退回非法获取的救助资金、物资，可以处非法获取的救助款额或者物资价值1倍以上3倍以下的罚款。</w:t>
            </w:r>
          </w:p>
        </w:tc>
        <w:tc>
          <w:tcPr>
            <w:tcW w:w="3744" w:type="dxa"/>
            <w:vAlign w:val="center"/>
          </w:tcPr>
          <w:p w14:paraId="4C1A1863">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val="en-US" w:eastAsia="zh-CN"/>
              </w:rPr>
            </w:pPr>
            <w:r>
              <w:rPr>
                <w:rFonts w:hint="eastAsia" w:ascii="仿宋_GB2312" w:hAnsi="仿宋_GB2312" w:eastAsia="仿宋_GB2312"/>
                <w:b w:val="0"/>
                <w:i w:val="0"/>
                <w:snapToGrid/>
                <w:color w:val="000000"/>
                <w:sz w:val="22"/>
                <w:szCs w:val="22"/>
                <w:u w:val="none"/>
                <w:lang w:val="en-US" w:eastAsia="zh-CN"/>
              </w:rPr>
              <w:t>1、立案责任：发现参保人将本人的基本医疗保险凭证出借给他人就医或者出借给医疗机构使用的违法行为，予以审查，决定是否立案。</w:t>
            </w:r>
          </w:p>
          <w:p w14:paraId="713B26D1">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val="en-US" w:eastAsia="zh-CN"/>
              </w:rPr>
            </w:pPr>
            <w:r>
              <w:rPr>
                <w:rFonts w:hint="eastAsia" w:ascii="仿宋_GB2312" w:hAnsi="仿宋_GB2312" w:eastAsia="仿宋_GB2312"/>
                <w:b w:val="0"/>
                <w:i w:val="0"/>
                <w:snapToGrid/>
                <w:color w:val="000000"/>
                <w:sz w:val="22"/>
                <w:szCs w:val="22"/>
                <w:u w:val="none"/>
                <w:lang w:val="en-US" w:eastAsia="zh-CN"/>
              </w:rPr>
              <w:t>2、调查责任：医疗保障部门对立案的案件，指定专人负责，及时组织调查取证，与当事人有直接利害关系的应当回避。执法人员不得少于两人，调查时应出示执法证件，允许当事人辩解陈述。执法人员应保守有关秘密。</w:t>
            </w:r>
          </w:p>
          <w:p w14:paraId="4374DACA">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val="en-US" w:eastAsia="zh-CN"/>
              </w:rPr>
            </w:pPr>
            <w:r>
              <w:rPr>
                <w:rFonts w:hint="eastAsia" w:ascii="仿宋_GB2312" w:hAnsi="仿宋_GB2312" w:eastAsia="仿宋_GB2312"/>
                <w:b w:val="0"/>
                <w:i w:val="0"/>
                <w:snapToGrid/>
                <w:color w:val="000000"/>
                <w:sz w:val="22"/>
                <w:szCs w:val="22"/>
                <w:u w:val="none"/>
                <w:lang w:val="en-US" w:eastAsia="zh-CN"/>
              </w:rPr>
              <w:t>3、审查责任：审理案件调查报告，对案件违法事实、证据、调查取证程序、法律适用、处罚种类和幅度、当事人陈述和申辩理由等方面进行审查，提出处理意见（主要证据不足时，以适当的方式补充调查）。</w:t>
            </w:r>
          </w:p>
          <w:p w14:paraId="6E479E33">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val="en-US" w:eastAsia="zh-CN"/>
              </w:rPr>
            </w:pPr>
            <w:r>
              <w:rPr>
                <w:rFonts w:hint="eastAsia" w:ascii="仿宋_GB2312" w:hAnsi="仿宋_GB2312" w:eastAsia="仿宋_GB2312"/>
                <w:b w:val="0"/>
                <w:i w:val="0"/>
                <w:snapToGrid/>
                <w:color w:val="000000"/>
                <w:sz w:val="22"/>
                <w:szCs w:val="22"/>
                <w:u w:val="none"/>
                <w:lang w:val="en-US" w:eastAsia="zh-CN"/>
              </w:rPr>
              <w:t>4、告知责任：作出行政处罚决定前，应制作《行政处罚告知书》送达当事人，告知违法事实及其享有的陈述、申辩等权利。符合听证规定的，制作并送达《行政处罚听证告知书》。</w:t>
            </w:r>
          </w:p>
          <w:p w14:paraId="7A819FE8">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val="en-US" w:eastAsia="zh-CN"/>
              </w:rPr>
            </w:pPr>
            <w:r>
              <w:rPr>
                <w:rFonts w:hint="eastAsia" w:ascii="仿宋_GB2312" w:hAnsi="仿宋_GB2312" w:eastAsia="仿宋_GB2312"/>
                <w:b w:val="0"/>
                <w:i w:val="0"/>
                <w:snapToGrid/>
                <w:color w:val="000000"/>
                <w:sz w:val="22"/>
                <w:szCs w:val="22"/>
                <w:u w:val="none"/>
                <w:lang w:val="en-US" w:eastAsia="zh-CN"/>
              </w:rPr>
              <w:t>5、决定责任：制作行政处罚决定书，载明行政处罚</w:t>
            </w:r>
            <w:r>
              <w:rPr>
                <w:rFonts w:hint="eastAsia" w:ascii="仿宋_GB2312" w:hAnsi="仿宋_GB2312"/>
                <w:b w:val="0"/>
                <w:i w:val="0"/>
                <w:snapToGrid/>
                <w:color w:val="000000"/>
                <w:sz w:val="22"/>
                <w:szCs w:val="22"/>
                <w:u w:val="none"/>
                <w:lang w:val="en-US" w:eastAsia="zh-CN"/>
              </w:rPr>
              <w:t>种类、依据、履行方式、期限、救济途径</w:t>
            </w:r>
            <w:r>
              <w:rPr>
                <w:rFonts w:hint="eastAsia" w:ascii="仿宋_GB2312" w:hAnsi="仿宋_GB2312" w:eastAsia="仿宋_GB2312"/>
                <w:b w:val="0"/>
                <w:i w:val="0"/>
                <w:snapToGrid/>
                <w:color w:val="000000"/>
                <w:sz w:val="22"/>
                <w:szCs w:val="22"/>
                <w:u w:val="none"/>
                <w:lang w:val="en-US" w:eastAsia="zh-CN"/>
              </w:rPr>
              <w:t>等内容。</w:t>
            </w:r>
          </w:p>
          <w:p w14:paraId="2EFEDB37">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val="en-US" w:eastAsia="zh-CN"/>
              </w:rPr>
            </w:pPr>
            <w:r>
              <w:rPr>
                <w:rFonts w:hint="eastAsia" w:ascii="仿宋_GB2312" w:hAnsi="仿宋_GB2312" w:eastAsia="仿宋_GB2312"/>
                <w:b w:val="0"/>
                <w:i w:val="0"/>
                <w:snapToGrid/>
                <w:color w:val="000000"/>
                <w:sz w:val="22"/>
                <w:szCs w:val="22"/>
                <w:u w:val="none"/>
                <w:lang w:val="en-US" w:eastAsia="zh-CN"/>
              </w:rPr>
              <w:t>6、送达责任：行政处罚决定书按法律规定的方式送达当事人。</w:t>
            </w:r>
          </w:p>
          <w:p w14:paraId="35619DB4">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val="en-US" w:eastAsia="zh-CN"/>
              </w:rPr>
            </w:pPr>
            <w:r>
              <w:rPr>
                <w:rFonts w:hint="eastAsia" w:ascii="仿宋_GB2312" w:hAnsi="仿宋_GB2312" w:eastAsia="仿宋_GB2312"/>
                <w:b w:val="0"/>
                <w:i w:val="0"/>
                <w:snapToGrid/>
                <w:color w:val="000000"/>
                <w:sz w:val="22"/>
                <w:szCs w:val="22"/>
                <w:u w:val="none"/>
                <w:lang w:val="en-US" w:eastAsia="zh-CN"/>
              </w:rPr>
              <w:t>7、执行责任：依照生效的行政处罚决定，</w:t>
            </w:r>
            <w:r>
              <w:rPr>
                <w:rFonts w:hint="eastAsia" w:ascii="仿宋_GB2312" w:hAnsi="仿宋_GB2312"/>
                <w:b w:val="0"/>
                <w:i w:val="0"/>
                <w:snapToGrid/>
                <w:color w:val="000000"/>
                <w:sz w:val="22"/>
                <w:szCs w:val="22"/>
                <w:u w:val="none"/>
                <w:lang w:val="en-US" w:eastAsia="zh-CN"/>
              </w:rPr>
              <w:t>予以处罚。</w:t>
            </w:r>
          </w:p>
          <w:p w14:paraId="4F880E3F">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val="en-US" w:eastAsia="zh-CN"/>
              </w:rPr>
            </w:pPr>
            <w:r>
              <w:rPr>
                <w:rFonts w:hint="eastAsia" w:ascii="仿宋_GB2312" w:hAnsi="仿宋_GB2312" w:eastAsia="仿宋_GB2312"/>
                <w:b w:val="0"/>
                <w:i w:val="0"/>
                <w:snapToGrid/>
                <w:color w:val="000000"/>
                <w:sz w:val="22"/>
                <w:szCs w:val="22"/>
                <w:u w:val="none"/>
                <w:lang w:val="en-US" w:eastAsia="zh-CN"/>
              </w:rPr>
              <w:t>8、其他法律法规规章文件规定应履行的责任。</w:t>
            </w:r>
          </w:p>
        </w:tc>
        <w:tc>
          <w:tcPr>
            <w:tcW w:w="3144" w:type="dxa"/>
            <w:vAlign w:val="center"/>
          </w:tcPr>
          <w:p w14:paraId="43601DAD">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val="en-US" w:eastAsia="zh-CN"/>
              </w:rPr>
            </w:pPr>
            <w:r>
              <w:rPr>
                <w:rFonts w:hint="eastAsia" w:ascii="仿宋_GB2312" w:hAnsi="仿宋_GB2312" w:eastAsia="仿宋_GB2312"/>
                <w:b w:val="0"/>
                <w:i w:val="0"/>
                <w:snapToGrid/>
                <w:color w:val="000000"/>
                <w:sz w:val="22"/>
                <w:szCs w:val="22"/>
                <w:u w:val="none"/>
                <w:lang w:val="en-US" w:eastAsia="zh-CN"/>
              </w:rPr>
              <w:t>因不履行或不正确履行行政职责，有下列情形的，行政机关及相关工作人员应承担相应责任：</w:t>
            </w:r>
          </w:p>
          <w:p w14:paraId="5208EF10">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val="en-US" w:eastAsia="zh-CN"/>
              </w:rPr>
            </w:pPr>
            <w:r>
              <w:rPr>
                <w:rFonts w:hint="eastAsia" w:ascii="仿宋_GB2312" w:hAnsi="仿宋_GB2312" w:eastAsia="仿宋_GB2312"/>
                <w:b w:val="0"/>
                <w:i w:val="0"/>
                <w:snapToGrid/>
                <w:color w:val="000000"/>
                <w:sz w:val="22"/>
                <w:szCs w:val="22"/>
                <w:u w:val="none"/>
                <w:lang w:val="en-US" w:eastAsia="zh-CN"/>
              </w:rPr>
              <w:t>1、没有法律和事实依据实施行政处罚的；</w:t>
            </w:r>
          </w:p>
          <w:p w14:paraId="4E8425BB">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val="en-US" w:eastAsia="zh-CN"/>
              </w:rPr>
            </w:pPr>
            <w:r>
              <w:rPr>
                <w:rFonts w:hint="eastAsia" w:ascii="仿宋_GB2312" w:hAnsi="仿宋_GB2312" w:eastAsia="仿宋_GB2312"/>
                <w:b w:val="0"/>
                <w:i w:val="0"/>
                <w:snapToGrid/>
                <w:color w:val="000000"/>
                <w:sz w:val="22"/>
                <w:szCs w:val="22"/>
                <w:u w:val="none"/>
                <w:lang w:val="en-US" w:eastAsia="zh-CN"/>
              </w:rPr>
              <w:t>2、行政处罚显失公正的；</w:t>
            </w:r>
          </w:p>
          <w:p w14:paraId="4AA6829D">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val="en-US" w:eastAsia="zh-CN"/>
              </w:rPr>
            </w:pPr>
            <w:r>
              <w:rPr>
                <w:rFonts w:hint="eastAsia" w:ascii="仿宋_GB2312" w:hAnsi="仿宋_GB2312" w:eastAsia="仿宋_GB2312"/>
                <w:b w:val="0"/>
                <w:i w:val="0"/>
                <w:snapToGrid/>
                <w:color w:val="000000"/>
                <w:sz w:val="22"/>
                <w:szCs w:val="22"/>
                <w:u w:val="none"/>
                <w:lang w:val="en-US" w:eastAsia="zh-CN"/>
              </w:rPr>
              <w:t>3、执法人员玩忽职守，对应当予以制止和处罚的违法行为不予制止、处罚，致使医疗保障基金损失的；</w:t>
            </w:r>
          </w:p>
          <w:p w14:paraId="5F937BE9">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val="en-US" w:eastAsia="zh-CN"/>
              </w:rPr>
            </w:pPr>
            <w:r>
              <w:rPr>
                <w:rFonts w:hint="eastAsia" w:ascii="仿宋_GB2312" w:hAnsi="仿宋_GB2312" w:eastAsia="仿宋_GB2312"/>
                <w:b w:val="0"/>
                <w:i w:val="0"/>
                <w:snapToGrid/>
                <w:color w:val="000000"/>
                <w:sz w:val="22"/>
                <w:szCs w:val="22"/>
                <w:u w:val="none"/>
                <w:lang w:val="en-US" w:eastAsia="zh-CN"/>
              </w:rPr>
              <w:t>4、不具备行政执法资格实施行政处罚的；</w:t>
            </w:r>
          </w:p>
          <w:p w14:paraId="05EB4B46">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eastAsia="zh-CN"/>
              </w:rPr>
            </w:pPr>
            <w:r>
              <w:rPr>
                <w:rFonts w:hint="eastAsia" w:ascii="仿宋_GB2312" w:hAnsi="仿宋_GB2312" w:eastAsia="仿宋_GB2312"/>
                <w:b w:val="0"/>
                <w:i w:val="0"/>
                <w:snapToGrid/>
                <w:color w:val="000000"/>
                <w:sz w:val="22"/>
                <w:szCs w:val="22"/>
                <w:u w:val="none"/>
                <w:lang w:eastAsia="zh-CN"/>
              </w:rPr>
              <w:t>5、应当依法移送追究刑事责任，而未依法移送有权机关的；</w:t>
            </w:r>
          </w:p>
          <w:p w14:paraId="694149D1">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eastAsia="zh-CN"/>
              </w:rPr>
            </w:pPr>
            <w:r>
              <w:rPr>
                <w:rFonts w:hint="eastAsia" w:ascii="仿宋_GB2312" w:hAnsi="仿宋_GB2312"/>
                <w:b w:val="0"/>
                <w:i w:val="0"/>
                <w:snapToGrid/>
                <w:color w:val="000000"/>
                <w:sz w:val="22"/>
                <w:szCs w:val="22"/>
                <w:u w:val="none"/>
                <w:lang w:val="en-US" w:eastAsia="zh-CN"/>
              </w:rPr>
              <w:t>6</w:t>
            </w:r>
            <w:r>
              <w:rPr>
                <w:rFonts w:hint="eastAsia" w:ascii="仿宋_GB2312" w:hAnsi="仿宋_GB2312" w:eastAsia="仿宋_GB2312"/>
                <w:b w:val="0"/>
                <w:i w:val="0"/>
                <w:snapToGrid/>
                <w:color w:val="000000"/>
                <w:sz w:val="22"/>
                <w:szCs w:val="22"/>
                <w:u w:val="none"/>
                <w:lang w:eastAsia="zh-CN"/>
              </w:rPr>
              <w:t>、擅自改变行政处罚种类、幅度的；</w:t>
            </w:r>
          </w:p>
          <w:p w14:paraId="5C930405">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eastAsia="zh-CN"/>
              </w:rPr>
            </w:pPr>
            <w:r>
              <w:rPr>
                <w:rFonts w:hint="eastAsia" w:ascii="仿宋_GB2312" w:hAnsi="仿宋_GB2312"/>
                <w:b w:val="0"/>
                <w:i w:val="0"/>
                <w:snapToGrid/>
                <w:color w:val="000000"/>
                <w:sz w:val="22"/>
                <w:szCs w:val="22"/>
                <w:u w:val="none"/>
                <w:lang w:val="en-US" w:eastAsia="zh-CN"/>
              </w:rPr>
              <w:t>7</w:t>
            </w:r>
            <w:r>
              <w:rPr>
                <w:rFonts w:hint="eastAsia" w:ascii="仿宋_GB2312" w:hAnsi="仿宋_GB2312" w:eastAsia="仿宋_GB2312"/>
                <w:b w:val="0"/>
                <w:i w:val="0"/>
                <w:snapToGrid/>
                <w:color w:val="000000"/>
                <w:sz w:val="22"/>
                <w:szCs w:val="22"/>
                <w:u w:val="none"/>
                <w:lang w:eastAsia="zh-CN"/>
              </w:rPr>
              <w:t>、违反法定的行政处罚程序的；</w:t>
            </w:r>
          </w:p>
          <w:p w14:paraId="742C18C8">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eastAsia="zh-CN"/>
              </w:rPr>
            </w:pPr>
            <w:r>
              <w:rPr>
                <w:rFonts w:hint="eastAsia" w:ascii="仿宋_GB2312" w:hAnsi="仿宋_GB2312"/>
                <w:b w:val="0"/>
                <w:i w:val="0"/>
                <w:snapToGrid/>
                <w:color w:val="000000"/>
                <w:sz w:val="22"/>
                <w:szCs w:val="22"/>
                <w:u w:val="none"/>
                <w:lang w:val="en-US" w:eastAsia="zh-CN"/>
              </w:rPr>
              <w:t>8</w:t>
            </w:r>
            <w:r>
              <w:rPr>
                <w:rFonts w:hint="eastAsia" w:ascii="仿宋_GB2312" w:hAnsi="仿宋_GB2312" w:eastAsia="仿宋_GB2312"/>
                <w:b w:val="0"/>
                <w:i w:val="0"/>
                <w:snapToGrid/>
                <w:color w:val="000000"/>
                <w:sz w:val="22"/>
                <w:szCs w:val="22"/>
                <w:u w:val="none"/>
                <w:lang w:eastAsia="zh-CN"/>
              </w:rPr>
              <w:t>、</w:t>
            </w:r>
            <w:r>
              <w:rPr>
                <w:rFonts w:hint="eastAsia" w:ascii="仿宋_GB2312" w:hAnsi="仿宋_GB2312"/>
                <w:b w:val="0"/>
                <w:i w:val="0"/>
                <w:snapToGrid/>
                <w:color w:val="000000"/>
                <w:sz w:val="22"/>
                <w:szCs w:val="22"/>
                <w:u w:val="none"/>
                <w:lang w:eastAsia="zh-CN"/>
              </w:rPr>
              <w:t>委托不符合法定条件的组织实施行政处罚的；</w:t>
            </w:r>
          </w:p>
          <w:p w14:paraId="42625DDD">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eastAsia="zh-CN"/>
              </w:rPr>
            </w:pPr>
            <w:r>
              <w:rPr>
                <w:rFonts w:hint="eastAsia" w:ascii="仿宋_GB2312" w:hAnsi="仿宋_GB2312"/>
                <w:b w:val="0"/>
                <w:i w:val="0"/>
                <w:snapToGrid/>
                <w:color w:val="000000"/>
                <w:sz w:val="22"/>
                <w:szCs w:val="22"/>
                <w:u w:val="none"/>
                <w:lang w:val="en-US" w:eastAsia="zh-CN"/>
              </w:rPr>
              <w:t>9</w:t>
            </w:r>
            <w:r>
              <w:rPr>
                <w:rFonts w:hint="eastAsia" w:ascii="仿宋_GB2312" w:hAnsi="仿宋_GB2312" w:eastAsia="仿宋_GB2312"/>
                <w:b w:val="0"/>
                <w:i w:val="0"/>
                <w:snapToGrid/>
                <w:color w:val="000000"/>
                <w:sz w:val="22"/>
                <w:szCs w:val="22"/>
                <w:u w:val="none"/>
                <w:lang w:eastAsia="zh-CN"/>
              </w:rPr>
              <w:t>、在行政处罚过程中发生腐败行为的；</w:t>
            </w:r>
          </w:p>
          <w:p w14:paraId="64AD78D7">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val="en-US" w:eastAsia="zh-CN"/>
              </w:rPr>
            </w:pPr>
            <w:r>
              <w:rPr>
                <w:rFonts w:hint="eastAsia" w:ascii="仿宋_GB2312" w:hAnsi="仿宋_GB2312" w:eastAsia="仿宋_GB2312"/>
                <w:b w:val="0"/>
                <w:i w:val="0"/>
                <w:snapToGrid/>
                <w:color w:val="000000"/>
                <w:sz w:val="22"/>
                <w:szCs w:val="22"/>
                <w:u w:val="none"/>
                <w:lang w:eastAsia="zh-CN"/>
              </w:rPr>
              <w:t>1</w:t>
            </w:r>
            <w:r>
              <w:rPr>
                <w:rFonts w:hint="eastAsia" w:ascii="仿宋_GB2312" w:hAnsi="仿宋_GB2312"/>
                <w:b w:val="0"/>
                <w:i w:val="0"/>
                <w:snapToGrid/>
                <w:color w:val="000000"/>
                <w:sz w:val="22"/>
                <w:szCs w:val="22"/>
                <w:u w:val="none"/>
                <w:lang w:val="en-US" w:eastAsia="zh-CN"/>
              </w:rPr>
              <w:t>0</w:t>
            </w:r>
            <w:r>
              <w:rPr>
                <w:rFonts w:hint="eastAsia" w:ascii="仿宋_GB2312" w:hAnsi="仿宋_GB2312" w:eastAsia="仿宋_GB2312"/>
                <w:b w:val="0"/>
                <w:i w:val="0"/>
                <w:snapToGrid/>
                <w:color w:val="000000"/>
                <w:sz w:val="22"/>
                <w:szCs w:val="22"/>
                <w:u w:val="none"/>
                <w:lang w:eastAsia="zh-CN"/>
              </w:rPr>
              <w:t>、其他违反法律法规规章文件规定的行为。</w:t>
            </w:r>
          </w:p>
        </w:tc>
        <w:tc>
          <w:tcPr>
            <w:tcW w:w="687" w:type="dxa"/>
            <w:vAlign w:val="center"/>
          </w:tcPr>
          <w:p w14:paraId="200D87D5">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center"/>
              <w:textAlignment w:val="center"/>
              <w:outlineLvl w:val="9"/>
              <w:rPr>
                <w:rFonts w:hint="eastAsia" w:ascii="仿宋_GB2312" w:hAnsi="仿宋_GB2312" w:eastAsia="仿宋_GB2312"/>
                <w:b w:val="0"/>
                <w:i w:val="0"/>
                <w:snapToGrid/>
                <w:color w:val="000000"/>
                <w:sz w:val="22"/>
                <w:szCs w:val="22"/>
                <w:u w:val="none"/>
                <w:lang w:eastAsia="zh-CN"/>
              </w:rPr>
            </w:pPr>
          </w:p>
        </w:tc>
      </w:tr>
      <w:tr w14:paraId="36BFD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0" w:hRule="exact"/>
          <w:jc w:val="center"/>
        </w:trPr>
        <w:tc>
          <w:tcPr>
            <w:tcW w:w="713" w:type="dxa"/>
            <w:vAlign w:val="center"/>
          </w:tcPr>
          <w:p w14:paraId="6E4B1F72">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center"/>
              <w:textAlignment w:val="center"/>
              <w:outlineLvl w:val="9"/>
              <w:rPr>
                <w:rFonts w:hint="eastAsia" w:ascii="仿宋_GB2312" w:hAnsi="仿宋_GB2312" w:eastAsia="仿宋_GB2312"/>
                <w:b w:val="0"/>
                <w:i w:val="0"/>
                <w:snapToGrid/>
                <w:color w:val="000000"/>
                <w:sz w:val="22"/>
                <w:szCs w:val="22"/>
                <w:u w:val="none"/>
                <w:lang w:eastAsia="zh-CN"/>
              </w:rPr>
            </w:pPr>
            <w:r>
              <w:rPr>
                <w:rFonts w:hint="eastAsia" w:ascii="仿宋_GB2312" w:hAnsi="仿宋_GB2312"/>
                <w:b w:val="0"/>
                <w:i w:val="0"/>
                <w:snapToGrid/>
                <w:color w:val="000000"/>
                <w:sz w:val="22"/>
                <w:szCs w:val="22"/>
                <w:u w:val="none"/>
                <w:lang w:val="en-US" w:eastAsia="zh-CN"/>
              </w:rPr>
              <w:t>3</w:t>
            </w:r>
          </w:p>
        </w:tc>
        <w:tc>
          <w:tcPr>
            <w:tcW w:w="1236" w:type="dxa"/>
            <w:vAlign w:val="center"/>
          </w:tcPr>
          <w:p w14:paraId="42A8D1C3">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center"/>
              <w:textAlignment w:val="center"/>
              <w:outlineLvl w:val="9"/>
              <w:rPr>
                <w:rFonts w:hint="eastAsia" w:ascii="仿宋_GB2312" w:hAnsi="仿宋_GB2312" w:eastAsia="仿宋_GB2312"/>
                <w:b w:val="0"/>
                <w:i w:val="0"/>
                <w:snapToGrid/>
                <w:color w:val="000000"/>
                <w:spacing w:val="-5"/>
                <w:sz w:val="22"/>
                <w:szCs w:val="22"/>
                <w:u w:val="none"/>
                <w:lang w:eastAsia="zh-CN"/>
              </w:rPr>
            </w:pPr>
            <w:r>
              <w:rPr>
                <w:rFonts w:hint="eastAsia" w:ascii="仿宋_GB2312" w:hAnsi="仿宋_GB2312"/>
                <w:b w:val="0"/>
                <w:i w:val="0"/>
                <w:snapToGrid/>
                <w:color w:val="000000"/>
                <w:spacing w:val="-5"/>
                <w:sz w:val="22"/>
                <w:szCs w:val="22"/>
                <w:u w:val="none"/>
                <w:lang w:eastAsia="zh-CN"/>
              </w:rPr>
              <w:t>行政处罚</w:t>
            </w:r>
          </w:p>
        </w:tc>
        <w:tc>
          <w:tcPr>
            <w:tcW w:w="1176" w:type="dxa"/>
            <w:vAlign w:val="center"/>
          </w:tcPr>
          <w:p w14:paraId="69D4FEC9">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eastAsia="zh-CN"/>
              </w:rPr>
            </w:pPr>
            <w:r>
              <w:rPr>
                <w:rFonts w:hint="eastAsia" w:ascii="仿宋_GB2312" w:hAnsi="仿宋_GB2312" w:eastAsia="仿宋_GB2312"/>
                <w:b w:val="0"/>
                <w:i w:val="0"/>
                <w:snapToGrid/>
                <w:color w:val="000000"/>
                <w:sz w:val="22"/>
                <w:szCs w:val="22"/>
                <w:u w:val="none"/>
                <w:lang w:eastAsia="zh-CN"/>
              </w:rPr>
              <w:t>对定点医药机构骗取医疗保障基金支出的处罚</w:t>
            </w:r>
          </w:p>
        </w:tc>
        <w:tc>
          <w:tcPr>
            <w:tcW w:w="1128" w:type="dxa"/>
            <w:vAlign w:val="center"/>
          </w:tcPr>
          <w:p w14:paraId="3DDCCCEF">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center"/>
              <w:textAlignment w:val="center"/>
              <w:outlineLvl w:val="9"/>
              <w:rPr>
                <w:rFonts w:hint="eastAsia" w:ascii="仿宋_GB2312" w:hAnsi="仿宋_GB2312" w:eastAsia="仿宋_GB2312"/>
                <w:b w:val="0"/>
                <w:i w:val="0"/>
                <w:snapToGrid/>
                <w:color w:val="000000"/>
                <w:sz w:val="22"/>
                <w:szCs w:val="22"/>
                <w:u w:val="none"/>
                <w:lang w:eastAsia="zh-CN"/>
              </w:rPr>
            </w:pPr>
            <w:r>
              <w:rPr>
                <w:rFonts w:hint="eastAsia" w:ascii="仿宋_GB2312" w:hAnsi="仿宋_GB2312"/>
                <w:b w:val="0"/>
                <w:i w:val="0"/>
                <w:snapToGrid/>
                <w:color w:val="000000"/>
                <w:sz w:val="22"/>
                <w:szCs w:val="22"/>
                <w:u w:val="none"/>
                <w:lang w:val="en-US" w:eastAsia="zh-CN"/>
              </w:rPr>
              <w:t>滦州市医疗保障局</w:t>
            </w:r>
          </w:p>
        </w:tc>
        <w:tc>
          <w:tcPr>
            <w:tcW w:w="3948" w:type="dxa"/>
            <w:vAlign w:val="center"/>
          </w:tcPr>
          <w:p w14:paraId="75B547EC">
            <w:pPr>
              <w:keepNext w:val="0"/>
              <w:keepLines w:val="0"/>
              <w:pageBreakBefore w:val="0"/>
              <w:widowControl w:val="0"/>
              <w:kinsoku/>
              <w:wordWrap/>
              <w:overflowPunct/>
              <w:topLinePunct w:val="0"/>
              <w:autoSpaceDE/>
              <w:autoSpaceDN w:val="0"/>
              <w:bidi w:val="0"/>
              <w:adjustRightInd/>
              <w:snapToGrid/>
              <w:spacing w:before="0" w:beforeLines="0" w:after="0" w:afterLines="0" w:line="26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18"/>
                <w:szCs w:val="18"/>
                <w:u w:val="none"/>
                <w:lang w:eastAsia="zh-CN"/>
              </w:rPr>
            </w:pPr>
            <w:r>
              <w:rPr>
                <w:rFonts w:hint="eastAsia" w:ascii="仿宋_GB2312" w:hAnsi="仿宋_GB2312" w:eastAsia="仿宋_GB2312"/>
                <w:b w:val="0"/>
                <w:i w:val="0"/>
                <w:snapToGrid/>
                <w:color w:val="000000"/>
                <w:sz w:val="18"/>
                <w:szCs w:val="18"/>
                <w:u w:val="none"/>
                <w:lang w:eastAsia="zh-CN"/>
              </w:rPr>
              <w:t>1.《中华人民共和国社会保险法》第八十七条：社会保险经办机构以及医疗机构、药品经营单位等社会保险服务机构以欺诈、伪造证明材料或者其他手段骗取社会保险基金支出的，由社会保险行政部门责令退回骗取的社会保险金，处骗取金额二倍以上五倍以下的罚款。</w:t>
            </w:r>
          </w:p>
          <w:p w14:paraId="475E1935">
            <w:pPr>
              <w:keepNext w:val="0"/>
              <w:keepLines w:val="0"/>
              <w:pageBreakBefore w:val="0"/>
              <w:widowControl w:val="0"/>
              <w:kinsoku/>
              <w:wordWrap/>
              <w:overflowPunct/>
              <w:topLinePunct w:val="0"/>
              <w:autoSpaceDE/>
              <w:autoSpaceDN w:val="0"/>
              <w:bidi w:val="0"/>
              <w:adjustRightInd/>
              <w:snapToGrid/>
              <w:spacing w:before="0" w:beforeLines="0" w:after="0" w:afterLines="0" w:line="26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18"/>
                <w:szCs w:val="18"/>
                <w:u w:val="none"/>
                <w:lang w:eastAsia="zh-CN"/>
              </w:rPr>
            </w:pPr>
            <w:r>
              <w:rPr>
                <w:rFonts w:hint="eastAsia" w:ascii="仿宋_GB2312" w:hAnsi="仿宋_GB2312" w:eastAsia="仿宋_GB2312"/>
                <w:b w:val="0"/>
                <w:i w:val="0"/>
                <w:snapToGrid/>
                <w:color w:val="000000"/>
                <w:sz w:val="18"/>
                <w:szCs w:val="18"/>
                <w:u w:val="none"/>
                <w:lang w:eastAsia="zh-CN"/>
              </w:rPr>
              <w:t>2.《中华人民共和国基本医疗卫生与健康促进法》第一百零四条：违反本法规定，以欺诈、伪造证明材料或者其他手段骗取基本医疗保险待遇，或者基本医疗保险经办机构以及医疗机构、药品经营单位等以欺诈、伪造证明材料或者其他手段骗取基本医疗保险基金支出的，由县级以上人民政府医疗保障主管部门依照有关社会保险的法律、行政法规规定给予行政处罚。</w:t>
            </w:r>
          </w:p>
          <w:p w14:paraId="228BBBCC">
            <w:pPr>
              <w:keepNext w:val="0"/>
              <w:keepLines w:val="0"/>
              <w:pageBreakBefore w:val="0"/>
              <w:widowControl w:val="0"/>
              <w:kinsoku/>
              <w:wordWrap/>
              <w:overflowPunct/>
              <w:topLinePunct w:val="0"/>
              <w:autoSpaceDE/>
              <w:autoSpaceDN w:val="0"/>
              <w:bidi w:val="0"/>
              <w:adjustRightInd/>
              <w:snapToGrid/>
              <w:spacing w:before="0" w:beforeLines="0" w:after="0" w:afterLines="0" w:line="26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18"/>
                <w:szCs w:val="18"/>
                <w:u w:val="none"/>
                <w:lang w:eastAsia="zh-CN"/>
              </w:rPr>
            </w:pPr>
            <w:r>
              <w:rPr>
                <w:rFonts w:hint="eastAsia" w:ascii="仿宋_GB2312" w:hAnsi="仿宋_GB2312" w:eastAsia="仿宋_GB2312"/>
                <w:b w:val="0"/>
                <w:i w:val="0"/>
                <w:snapToGrid/>
                <w:color w:val="000000"/>
                <w:sz w:val="18"/>
                <w:szCs w:val="18"/>
                <w:u w:val="none"/>
                <w:lang w:eastAsia="zh-CN"/>
              </w:rPr>
              <w:t>3.《医疗保障基金使用监督管理条例》第四十条：定点医药机构通过下列方式骗取医疗保障基金支出的，由医疗保障行政部门责令退回，处骗取金额2倍以上5倍以下的罚款；责令定点医药机构暂停相关责任部门6个月以上1年以下涉及医疗保障基金使用的医药服务，直至由医疗保障经办机构解除服务协议；有执业资格的，由有关主管部门依法吊销执业资格：（一）诱导、协助他人冒名或者虚假就医、购药，提供虚假证明材料，或者串通他人虚开费用单据；（二）伪造、变造、隐匿、涂改、销毁医学文书、医学证明、会计凭证、电子信息等有关资料；（三）虚构医药服务项目；（四）其他骗取医疗保障基金支出的行为。定点医药机构以骗取医疗保障基金为目的，实施了本条例第三十八条规定行为之一，造成医疗保障基金损失的，按照本条规定处理。</w:t>
            </w:r>
          </w:p>
          <w:p w14:paraId="75894899">
            <w:pPr>
              <w:keepNext w:val="0"/>
              <w:keepLines w:val="0"/>
              <w:pageBreakBefore w:val="0"/>
              <w:widowControl w:val="0"/>
              <w:kinsoku/>
              <w:wordWrap/>
              <w:overflowPunct/>
              <w:topLinePunct w:val="0"/>
              <w:autoSpaceDE/>
              <w:autoSpaceDN w:val="0"/>
              <w:bidi w:val="0"/>
              <w:adjustRightInd/>
              <w:snapToGrid/>
              <w:spacing w:before="0" w:beforeLines="0" w:after="0" w:afterLines="0" w:line="26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18"/>
                <w:szCs w:val="18"/>
                <w:u w:val="none"/>
                <w:lang w:eastAsia="zh-CN"/>
              </w:rPr>
            </w:pPr>
            <w:r>
              <w:rPr>
                <w:rFonts w:hint="eastAsia" w:ascii="仿宋_GB2312" w:hAnsi="仿宋_GB2312" w:eastAsia="仿宋_GB2312"/>
                <w:b w:val="0"/>
                <w:i w:val="0"/>
                <w:snapToGrid/>
                <w:color w:val="000000"/>
                <w:sz w:val="18"/>
                <w:szCs w:val="18"/>
                <w:u w:val="none"/>
                <w:lang w:eastAsia="zh-CN"/>
              </w:rPr>
              <w:t>4.《社会救助暂行办法》第六十八条：采取虚报、隐瞒、伪造等手段，骗取社会救助资金、物资或者服务的，由有关部门决定停止社会救助，责令退回非法获取的救助资金、物资，可以处非法获取的救助款额或者物资价值1倍以上3倍以下的罚款。</w:t>
            </w:r>
          </w:p>
          <w:p w14:paraId="20217E8F">
            <w:pPr>
              <w:keepNext w:val="0"/>
              <w:keepLines w:val="0"/>
              <w:pageBreakBefore w:val="0"/>
              <w:widowControl w:val="0"/>
              <w:kinsoku/>
              <w:wordWrap/>
              <w:overflowPunct/>
              <w:topLinePunct w:val="0"/>
              <w:autoSpaceDE/>
              <w:autoSpaceDN w:val="0"/>
              <w:bidi w:val="0"/>
              <w:adjustRightInd/>
              <w:snapToGrid/>
              <w:spacing w:before="0" w:beforeLines="0" w:after="0" w:afterLines="0" w:line="26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1"/>
                <w:szCs w:val="21"/>
                <w:u w:val="none"/>
                <w:lang w:eastAsia="zh-CN"/>
              </w:rPr>
            </w:pPr>
            <w:r>
              <w:rPr>
                <w:rFonts w:hint="eastAsia" w:ascii="仿宋_GB2312" w:hAnsi="仿宋_GB2312" w:eastAsia="仿宋_GB2312"/>
                <w:b w:val="0"/>
                <w:i w:val="0"/>
                <w:snapToGrid/>
                <w:color w:val="000000"/>
                <w:sz w:val="18"/>
                <w:szCs w:val="18"/>
                <w:u w:val="none"/>
                <w:lang w:eastAsia="zh-CN"/>
              </w:rPr>
              <w:t>5.《实施〈中华人民共和国社会保险法〉若干规定》第二十五条：医疗机构、药品经营单位等社会保险服务机构以欺诈、伪造证明材料或者其他手段骗取社会保险基金支出的，由社会保险行政部门责令退回骗取的社会保险金，处骗取金额二倍以上五倍以下的罚款。</w:t>
            </w:r>
          </w:p>
        </w:tc>
        <w:tc>
          <w:tcPr>
            <w:tcW w:w="3744" w:type="dxa"/>
            <w:vAlign w:val="center"/>
          </w:tcPr>
          <w:p w14:paraId="5477A634">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val="en-US" w:eastAsia="zh-CN"/>
              </w:rPr>
            </w:pPr>
            <w:r>
              <w:rPr>
                <w:rFonts w:hint="eastAsia" w:ascii="仿宋_GB2312" w:hAnsi="仿宋_GB2312" w:eastAsia="仿宋_GB2312"/>
                <w:b w:val="0"/>
                <w:i w:val="0"/>
                <w:snapToGrid/>
                <w:color w:val="000000"/>
                <w:sz w:val="22"/>
                <w:szCs w:val="22"/>
                <w:u w:val="none"/>
                <w:lang w:val="en-US" w:eastAsia="zh-CN"/>
              </w:rPr>
              <w:t>1、立案责任：发现</w:t>
            </w:r>
            <w:r>
              <w:rPr>
                <w:rFonts w:hint="eastAsia" w:ascii="仿宋_GB2312" w:hAnsi="仿宋_GB2312" w:eastAsia="仿宋_GB2312"/>
                <w:b w:val="0"/>
                <w:i w:val="0"/>
                <w:snapToGrid/>
                <w:color w:val="000000"/>
                <w:sz w:val="22"/>
                <w:szCs w:val="22"/>
                <w:u w:val="none"/>
                <w:lang w:eastAsia="zh-CN"/>
              </w:rPr>
              <w:t>医疗保险经办机构以及医疗机构、药品经营单位等医疗保险服务机构以欺诈、伪造证明材料或者其他手段骗取医疗保险、生育保险基金支出</w:t>
            </w:r>
            <w:r>
              <w:rPr>
                <w:rFonts w:hint="eastAsia" w:ascii="仿宋_GB2312" w:hAnsi="仿宋_GB2312" w:eastAsia="仿宋_GB2312"/>
                <w:b w:val="0"/>
                <w:i w:val="0"/>
                <w:snapToGrid/>
                <w:color w:val="000000"/>
                <w:sz w:val="22"/>
                <w:szCs w:val="22"/>
                <w:u w:val="none"/>
                <w:lang w:val="en-US" w:eastAsia="zh-CN"/>
              </w:rPr>
              <w:t>的违法行为，予以审查，决定是否立案。</w:t>
            </w:r>
          </w:p>
          <w:p w14:paraId="23269007">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val="en-US" w:eastAsia="zh-CN"/>
              </w:rPr>
            </w:pPr>
            <w:r>
              <w:rPr>
                <w:rFonts w:hint="eastAsia" w:ascii="仿宋_GB2312" w:hAnsi="仿宋_GB2312" w:eastAsia="仿宋_GB2312"/>
                <w:b w:val="0"/>
                <w:i w:val="0"/>
                <w:snapToGrid/>
                <w:color w:val="000000"/>
                <w:sz w:val="22"/>
                <w:szCs w:val="22"/>
                <w:u w:val="none"/>
                <w:lang w:val="en-US" w:eastAsia="zh-CN"/>
              </w:rPr>
              <w:t>2、调查责任：医疗保障部门对立案的案件，指定专人负责，及时组织调查取证，与当事人有直接利害关系的应当回避。执法人员不得少于两人，调查时应出示执法证件，允许当事人辩解陈述。执法人员应保守有关秘密。</w:t>
            </w:r>
          </w:p>
          <w:p w14:paraId="4176E764">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val="en-US" w:eastAsia="zh-CN"/>
              </w:rPr>
            </w:pPr>
            <w:r>
              <w:rPr>
                <w:rFonts w:hint="eastAsia" w:ascii="仿宋_GB2312" w:hAnsi="仿宋_GB2312" w:eastAsia="仿宋_GB2312"/>
                <w:b w:val="0"/>
                <w:i w:val="0"/>
                <w:snapToGrid/>
                <w:color w:val="000000"/>
                <w:sz w:val="22"/>
                <w:szCs w:val="22"/>
                <w:u w:val="none"/>
                <w:lang w:val="en-US" w:eastAsia="zh-CN"/>
              </w:rPr>
              <w:t>3、审查责任：审理案件调查报告，对案件违法事实、证据、调查取证程序、法律适用、处罚种类和幅度、当事人陈述和申辩理由等方面进行审查，提出处理意见（主要证据不足时，以适当的方式补充调查）。</w:t>
            </w:r>
          </w:p>
          <w:p w14:paraId="35FAF800">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val="en-US" w:eastAsia="zh-CN"/>
              </w:rPr>
            </w:pPr>
            <w:r>
              <w:rPr>
                <w:rFonts w:hint="eastAsia" w:ascii="仿宋_GB2312" w:hAnsi="仿宋_GB2312" w:eastAsia="仿宋_GB2312"/>
                <w:b w:val="0"/>
                <w:i w:val="0"/>
                <w:snapToGrid/>
                <w:color w:val="000000"/>
                <w:sz w:val="22"/>
                <w:szCs w:val="22"/>
                <w:u w:val="none"/>
                <w:lang w:val="en-US" w:eastAsia="zh-CN"/>
              </w:rPr>
              <w:t>4、告知责任：作出行政处罚决定前，应制作《行政处罚告知书》送达当事人，告知违法事实及其享有的陈述、申辩等权利。符合听证规定的，制作并送达《行政处罚听证告知书》。</w:t>
            </w:r>
          </w:p>
          <w:p w14:paraId="32BD5D34">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val="en-US" w:eastAsia="zh-CN"/>
              </w:rPr>
            </w:pPr>
            <w:r>
              <w:rPr>
                <w:rFonts w:hint="eastAsia" w:ascii="仿宋_GB2312" w:hAnsi="仿宋_GB2312" w:eastAsia="仿宋_GB2312"/>
                <w:b w:val="0"/>
                <w:i w:val="0"/>
                <w:snapToGrid/>
                <w:color w:val="000000"/>
                <w:sz w:val="22"/>
                <w:szCs w:val="22"/>
                <w:u w:val="none"/>
                <w:lang w:val="en-US" w:eastAsia="zh-CN"/>
              </w:rPr>
              <w:t>5、决定责任：制作行政处罚决定书，载明行政处罚</w:t>
            </w:r>
            <w:r>
              <w:rPr>
                <w:rFonts w:hint="eastAsia" w:ascii="仿宋_GB2312" w:hAnsi="仿宋_GB2312"/>
                <w:b w:val="0"/>
                <w:i w:val="0"/>
                <w:snapToGrid/>
                <w:color w:val="000000"/>
                <w:sz w:val="22"/>
                <w:szCs w:val="22"/>
                <w:u w:val="none"/>
                <w:lang w:val="en-US" w:eastAsia="zh-CN"/>
              </w:rPr>
              <w:t>种类、依据、履行方式、期限、救济途径</w:t>
            </w:r>
            <w:r>
              <w:rPr>
                <w:rFonts w:hint="eastAsia" w:ascii="仿宋_GB2312" w:hAnsi="仿宋_GB2312" w:eastAsia="仿宋_GB2312"/>
                <w:b w:val="0"/>
                <w:i w:val="0"/>
                <w:snapToGrid/>
                <w:color w:val="000000"/>
                <w:sz w:val="22"/>
                <w:szCs w:val="22"/>
                <w:u w:val="none"/>
                <w:lang w:val="en-US" w:eastAsia="zh-CN"/>
              </w:rPr>
              <w:t>等内容。</w:t>
            </w:r>
          </w:p>
          <w:p w14:paraId="655C074C">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val="en-US" w:eastAsia="zh-CN"/>
              </w:rPr>
            </w:pPr>
            <w:r>
              <w:rPr>
                <w:rFonts w:hint="eastAsia" w:ascii="仿宋_GB2312" w:hAnsi="仿宋_GB2312" w:eastAsia="仿宋_GB2312"/>
                <w:b w:val="0"/>
                <w:i w:val="0"/>
                <w:snapToGrid/>
                <w:color w:val="000000"/>
                <w:sz w:val="22"/>
                <w:szCs w:val="22"/>
                <w:u w:val="none"/>
                <w:lang w:val="en-US" w:eastAsia="zh-CN"/>
              </w:rPr>
              <w:t>6、送达责任：行政处罚决定书按法律规定的方式送达当事人。</w:t>
            </w:r>
          </w:p>
          <w:p w14:paraId="41DA0CDD">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val="en-US" w:eastAsia="zh-CN"/>
              </w:rPr>
            </w:pPr>
            <w:r>
              <w:rPr>
                <w:rFonts w:hint="eastAsia" w:ascii="仿宋_GB2312" w:hAnsi="仿宋_GB2312" w:eastAsia="仿宋_GB2312"/>
                <w:b w:val="0"/>
                <w:i w:val="0"/>
                <w:snapToGrid/>
                <w:color w:val="000000"/>
                <w:sz w:val="22"/>
                <w:szCs w:val="22"/>
                <w:u w:val="none"/>
                <w:lang w:val="en-US" w:eastAsia="zh-CN"/>
              </w:rPr>
              <w:t>7、执行责任：依照生效的行政处罚决定，</w:t>
            </w:r>
            <w:r>
              <w:rPr>
                <w:rFonts w:hint="eastAsia" w:ascii="仿宋_GB2312" w:hAnsi="仿宋_GB2312"/>
                <w:b w:val="0"/>
                <w:i w:val="0"/>
                <w:snapToGrid/>
                <w:color w:val="000000"/>
                <w:sz w:val="22"/>
                <w:szCs w:val="22"/>
                <w:u w:val="none"/>
                <w:lang w:val="en-US" w:eastAsia="zh-CN"/>
              </w:rPr>
              <w:t>予以处罚。</w:t>
            </w:r>
          </w:p>
          <w:p w14:paraId="6D38101E">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eastAsia="仿宋_GB2312"/>
                <w:b w:val="0"/>
                <w:i w:val="0"/>
                <w:snapToGrid/>
                <w:color w:val="000000"/>
                <w:sz w:val="22"/>
                <w:szCs w:val="22"/>
                <w:u w:val="none"/>
                <w:lang w:eastAsia="zh-CN"/>
              </w:rPr>
            </w:pPr>
            <w:r>
              <w:rPr>
                <w:rFonts w:hint="eastAsia" w:ascii="仿宋_GB2312" w:hAnsi="仿宋_GB2312" w:eastAsia="仿宋_GB2312"/>
                <w:b w:val="0"/>
                <w:i w:val="0"/>
                <w:snapToGrid/>
                <w:color w:val="000000"/>
                <w:sz w:val="22"/>
                <w:szCs w:val="22"/>
                <w:u w:val="none"/>
                <w:lang w:val="en-US" w:eastAsia="zh-CN"/>
              </w:rPr>
              <w:t>8、其他法律法规规章文件规定应履行的责任。</w:t>
            </w:r>
          </w:p>
        </w:tc>
        <w:tc>
          <w:tcPr>
            <w:tcW w:w="3144" w:type="dxa"/>
            <w:vAlign w:val="center"/>
          </w:tcPr>
          <w:p w14:paraId="1944CF3B">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val="en-US" w:eastAsia="zh-CN"/>
              </w:rPr>
            </w:pPr>
            <w:r>
              <w:rPr>
                <w:rFonts w:hint="eastAsia" w:ascii="仿宋_GB2312" w:hAnsi="仿宋_GB2312" w:eastAsia="仿宋_GB2312"/>
                <w:b w:val="0"/>
                <w:i w:val="0"/>
                <w:snapToGrid/>
                <w:color w:val="000000"/>
                <w:sz w:val="22"/>
                <w:szCs w:val="22"/>
                <w:u w:val="none"/>
                <w:lang w:val="en-US" w:eastAsia="zh-CN"/>
              </w:rPr>
              <w:t>因不履行或不正确履行行政职责，有下列情形的，行政机关及相关工作人员应承担相应责任：</w:t>
            </w:r>
          </w:p>
          <w:p w14:paraId="7EDB0F1E">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val="en-US" w:eastAsia="zh-CN"/>
              </w:rPr>
            </w:pPr>
            <w:r>
              <w:rPr>
                <w:rFonts w:hint="eastAsia" w:ascii="仿宋_GB2312" w:hAnsi="仿宋_GB2312" w:eastAsia="仿宋_GB2312"/>
                <w:b w:val="0"/>
                <w:i w:val="0"/>
                <w:snapToGrid/>
                <w:color w:val="000000"/>
                <w:sz w:val="22"/>
                <w:szCs w:val="22"/>
                <w:u w:val="none"/>
                <w:lang w:val="en-US" w:eastAsia="zh-CN"/>
              </w:rPr>
              <w:t>1、没有法律和事实依据实施行政处罚的；</w:t>
            </w:r>
          </w:p>
          <w:p w14:paraId="334F3D27">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val="en-US" w:eastAsia="zh-CN"/>
              </w:rPr>
            </w:pPr>
            <w:r>
              <w:rPr>
                <w:rFonts w:hint="eastAsia" w:ascii="仿宋_GB2312" w:hAnsi="仿宋_GB2312" w:eastAsia="仿宋_GB2312"/>
                <w:b w:val="0"/>
                <w:i w:val="0"/>
                <w:snapToGrid/>
                <w:color w:val="000000"/>
                <w:sz w:val="22"/>
                <w:szCs w:val="22"/>
                <w:u w:val="none"/>
                <w:lang w:val="en-US" w:eastAsia="zh-CN"/>
              </w:rPr>
              <w:t>2、行政处罚显失公正的；</w:t>
            </w:r>
          </w:p>
          <w:p w14:paraId="7111D1A2">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val="en-US" w:eastAsia="zh-CN"/>
              </w:rPr>
            </w:pPr>
            <w:r>
              <w:rPr>
                <w:rFonts w:hint="eastAsia" w:ascii="仿宋_GB2312" w:hAnsi="仿宋_GB2312" w:eastAsia="仿宋_GB2312"/>
                <w:b w:val="0"/>
                <w:i w:val="0"/>
                <w:snapToGrid/>
                <w:color w:val="000000"/>
                <w:sz w:val="22"/>
                <w:szCs w:val="22"/>
                <w:u w:val="none"/>
                <w:lang w:val="en-US" w:eastAsia="zh-CN"/>
              </w:rPr>
              <w:t>3、执法人员玩忽职守，对应当予以制止和处罚的违法行为不予制止、处罚，致使医疗保障基金损失的；</w:t>
            </w:r>
          </w:p>
          <w:p w14:paraId="41B7A462">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val="en-US" w:eastAsia="zh-CN"/>
              </w:rPr>
            </w:pPr>
            <w:r>
              <w:rPr>
                <w:rFonts w:hint="eastAsia" w:ascii="仿宋_GB2312" w:hAnsi="仿宋_GB2312" w:eastAsia="仿宋_GB2312"/>
                <w:b w:val="0"/>
                <w:i w:val="0"/>
                <w:snapToGrid/>
                <w:color w:val="000000"/>
                <w:sz w:val="22"/>
                <w:szCs w:val="22"/>
                <w:u w:val="none"/>
                <w:lang w:val="en-US" w:eastAsia="zh-CN"/>
              </w:rPr>
              <w:t>4、不具备行政执法资格实施行政处罚的；</w:t>
            </w:r>
          </w:p>
          <w:p w14:paraId="6EAFA009">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eastAsia="zh-CN"/>
              </w:rPr>
            </w:pPr>
            <w:r>
              <w:rPr>
                <w:rFonts w:hint="eastAsia" w:ascii="仿宋_GB2312" w:hAnsi="仿宋_GB2312" w:eastAsia="仿宋_GB2312"/>
                <w:b w:val="0"/>
                <w:i w:val="0"/>
                <w:snapToGrid/>
                <w:color w:val="000000"/>
                <w:sz w:val="22"/>
                <w:szCs w:val="22"/>
                <w:u w:val="none"/>
                <w:lang w:eastAsia="zh-CN"/>
              </w:rPr>
              <w:t>5、应当依法移送追究刑事责任，而未依法移送有权机关的；</w:t>
            </w:r>
          </w:p>
          <w:p w14:paraId="7E9C0542">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eastAsia="zh-CN"/>
              </w:rPr>
            </w:pPr>
            <w:r>
              <w:rPr>
                <w:rFonts w:hint="eastAsia" w:ascii="仿宋_GB2312" w:hAnsi="仿宋_GB2312"/>
                <w:b w:val="0"/>
                <w:i w:val="0"/>
                <w:snapToGrid/>
                <w:color w:val="000000"/>
                <w:sz w:val="22"/>
                <w:szCs w:val="22"/>
                <w:u w:val="none"/>
                <w:lang w:val="en-US" w:eastAsia="zh-CN"/>
              </w:rPr>
              <w:t>6</w:t>
            </w:r>
            <w:r>
              <w:rPr>
                <w:rFonts w:hint="eastAsia" w:ascii="仿宋_GB2312" w:hAnsi="仿宋_GB2312" w:eastAsia="仿宋_GB2312"/>
                <w:b w:val="0"/>
                <w:i w:val="0"/>
                <w:snapToGrid/>
                <w:color w:val="000000"/>
                <w:sz w:val="22"/>
                <w:szCs w:val="22"/>
                <w:u w:val="none"/>
                <w:lang w:eastAsia="zh-CN"/>
              </w:rPr>
              <w:t>、擅自改变行政处罚种类、幅度的；</w:t>
            </w:r>
          </w:p>
          <w:p w14:paraId="7C9D4D15">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eastAsia="zh-CN"/>
              </w:rPr>
            </w:pPr>
            <w:r>
              <w:rPr>
                <w:rFonts w:hint="eastAsia" w:ascii="仿宋_GB2312" w:hAnsi="仿宋_GB2312"/>
                <w:b w:val="0"/>
                <w:i w:val="0"/>
                <w:snapToGrid/>
                <w:color w:val="000000"/>
                <w:sz w:val="22"/>
                <w:szCs w:val="22"/>
                <w:u w:val="none"/>
                <w:lang w:val="en-US" w:eastAsia="zh-CN"/>
              </w:rPr>
              <w:t>7</w:t>
            </w:r>
            <w:r>
              <w:rPr>
                <w:rFonts w:hint="eastAsia" w:ascii="仿宋_GB2312" w:hAnsi="仿宋_GB2312" w:eastAsia="仿宋_GB2312"/>
                <w:b w:val="0"/>
                <w:i w:val="0"/>
                <w:snapToGrid/>
                <w:color w:val="000000"/>
                <w:sz w:val="22"/>
                <w:szCs w:val="22"/>
                <w:u w:val="none"/>
                <w:lang w:eastAsia="zh-CN"/>
              </w:rPr>
              <w:t>、违反法定的行政处罚程序的；</w:t>
            </w:r>
          </w:p>
          <w:p w14:paraId="0DCC650A">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eastAsia="zh-CN"/>
              </w:rPr>
            </w:pPr>
            <w:r>
              <w:rPr>
                <w:rFonts w:hint="eastAsia" w:ascii="仿宋_GB2312" w:hAnsi="仿宋_GB2312"/>
                <w:b w:val="0"/>
                <w:i w:val="0"/>
                <w:snapToGrid/>
                <w:color w:val="000000"/>
                <w:sz w:val="22"/>
                <w:szCs w:val="22"/>
                <w:u w:val="none"/>
                <w:lang w:val="en-US" w:eastAsia="zh-CN"/>
              </w:rPr>
              <w:t>8</w:t>
            </w:r>
            <w:r>
              <w:rPr>
                <w:rFonts w:hint="eastAsia" w:ascii="仿宋_GB2312" w:hAnsi="仿宋_GB2312" w:eastAsia="仿宋_GB2312"/>
                <w:b w:val="0"/>
                <w:i w:val="0"/>
                <w:snapToGrid/>
                <w:color w:val="000000"/>
                <w:sz w:val="22"/>
                <w:szCs w:val="22"/>
                <w:u w:val="none"/>
                <w:lang w:eastAsia="zh-CN"/>
              </w:rPr>
              <w:t>、</w:t>
            </w:r>
            <w:r>
              <w:rPr>
                <w:rFonts w:hint="eastAsia" w:ascii="仿宋_GB2312" w:hAnsi="仿宋_GB2312"/>
                <w:b w:val="0"/>
                <w:i w:val="0"/>
                <w:snapToGrid/>
                <w:color w:val="000000"/>
                <w:sz w:val="22"/>
                <w:szCs w:val="22"/>
                <w:u w:val="none"/>
                <w:lang w:eastAsia="zh-CN"/>
              </w:rPr>
              <w:t>委托不符合法定条件的组织实施行政处罚的；</w:t>
            </w:r>
          </w:p>
          <w:p w14:paraId="09699AE7">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eastAsia="zh-CN"/>
              </w:rPr>
            </w:pPr>
            <w:r>
              <w:rPr>
                <w:rFonts w:hint="eastAsia" w:ascii="仿宋_GB2312" w:hAnsi="仿宋_GB2312"/>
                <w:b w:val="0"/>
                <w:i w:val="0"/>
                <w:snapToGrid/>
                <w:color w:val="000000"/>
                <w:sz w:val="22"/>
                <w:szCs w:val="22"/>
                <w:u w:val="none"/>
                <w:lang w:val="en-US" w:eastAsia="zh-CN"/>
              </w:rPr>
              <w:t>9</w:t>
            </w:r>
            <w:r>
              <w:rPr>
                <w:rFonts w:hint="eastAsia" w:ascii="仿宋_GB2312" w:hAnsi="仿宋_GB2312" w:eastAsia="仿宋_GB2312"/>
                <w:b w:val="0"/>
                <w:i w:val="0"/>
                <w:snapToGrid/>
                <w:color w:val="000000"/>
                <w:sz w:val="22"/>
                <w:szCs w:val="22"/>
                <w:u w:val="none"/>
                <w:lang w:eastAsia="zh-CN"/>
              </w:rPr>
              <w:t>、在行政处罚过程中发生腐败行为的；</w:t>
            </w:r>
          </w:p>
          <w:p w14:paraId="06971F24">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eastAsia="仿宋_GB2312"/>
                <w:b w:val="0"/>
                <w:i w:val="0"/>
                <w:snapToGrid/>
                <w:color w:val="000000"/>
                <w:sz w:val="22"/>
                <w:szCs w:val="22"/>
                <w:u w:val="none"/>
                <w:lang w:eastAsia="zh-CN"/>
              </w:rPr>
            </w:pPr>
            <w:r>
              <w:rPr>
                <w:rFonts w:hint="eastAsia" w:ascii="仿宋_GB2312" w:hAnsi="仿宋_GB2312" w:eastAsia="仿宋_GB2312"/>
                <w:b w:val="0"/>
                <w:i w:val="0"/>
                <w:snapToGrid/>
                <w:color w:val="000000"/>
                <w:sz w:val="22"/>
                <w:szCs w:val="22"/>
                <w:u w:val="none"/>
                <w:lang w:eastAsia="zh-CN"/>
              </w:rPr>
              <w:t>1</w:t>
            </w:r>
            <w:r>
              <w:rPr>
                <w:rFonts w:hint="eastAsia" w:ascii="仿宋_GB2312" w:hAnsi="仿宋_GB2312"/>
                <w:b w:val="0"/>
                <w:i w:val="0"/>
                <w:snapToGrid/>
                <w:color w:val="000000"/>
                <w:sz w:val="22"/>
                <w:szCs w:val="22"/>
                <w:u w:val="none"/>
                <w:lang w:val="en-US" w:eastAsia="zh-CN"/>
              </w:rPr>
              <w:t>0</w:t>
            </w:r>
            <w:r>
              <w:rPr>
                <w:rFonts w:hint="eastAsia" w:ascii="仿宋_GB2312" w:hAnsi="仿宋_GB2312" w:eastAsia="仿宋_GB2312"/>
                <w:b w:val="0"/>
                <w:i w:val="0"/>
                <w:snapToGrid/>
                <w:color w:val="000000"/>
                <w:sz w:val="22"/>
                <w:szCs w:val="22"/>
                <w:u w:val="none"/>
                <w:lang w:eastAsia="zh-CN"/>
              </w:rPr>
              <w:t>、其他违反法律法规规章文件规定的行为。</w:t>
            </w:r>
          </w:p>
        </w:tc>
        <w:tc>
          <w:tcPr>
            <w:tcW w:w="687" w:type="dxa"/>
            <w:vAlign w:val="center"/>
          </w:tcPr>
          <w:p w14:paraId="7ED31BC0">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center"/>
              <w:textAlignment w:val="center"/>
              <w:outlineLvl w:val="9"/>
              <w:rPr>
                <w:rFonts w:hint="eastAsia" w:ascii="仿宋_GB2312" w:hAnsi="仿宋_GB2312" w:eastAsia="仿宋_GB2312"/>
                <w:b w:val="0"/>
                <w:i w:val="0"/>
                <w:snapToGrid/>
                <w:color w:val="000000"/>
                <w:sz w:val="22"/>
                <w:szCs w:val="22"/>
                <w:u w:val="none"/>
                <w:lang w:eastAsia="zh-CN"/>
              </w:rPr>
            </w:pPr>
          </w:p>
        </w:tc>
      </w:tr>
      <w:tr w14:paraId="29142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33" w:hRule="exact"/>
          <w:jc w:val="center"/>
        </w:trPr>
        <w:tc>
          <w:tcPr>
            <w:tcW w:w="713" w:type="dxa"/>
            <w:vAlign w:val="center"/>
          </w:tcPr>
          <w:p w14:paraId="385F9098">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center"/>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4</w:t>
            </w:r>
          </w:p>
        </w:tc>
        <w:tc>
          <w:tcPr>
            <w:tcW w:w="1236" w:type="dxa"/>
            <w:vAlign w:val="center"/>
          </w:tcPr>
          <w:p w14:paraId="65ECE1F6">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center"/>
              <w:textAlignment w:val="center"/>
              <w:outlineLvl w:val="9"/>
              <w:rPr>
                <w:rFonts w:hint="eastAsia" w:ascii="仿宋_GB2312" w:hAnsi="仿宋_GB2312"/>
                <w:b w:val="0"/>
                <w:i w:val="0"/>
                <w:snapToGrid/>
                <w:color w:val="000000"/>
                <w:spacing w:val="-5"/>
                <w:sz w:val="22"/>
                <w:szCs w:val="22"/>
                <w:u w:val="none"/>
                <w:lang w:eastAsia="zh-CN"/>
              </w:rPr>
            </w:pPr>
            <w:r>
              <w:rPr>
                <w:rFonts w:hint="eastAsia" w:ascii="仿宋_GB2312" w:hAnsi="仿宋_GB2312"/>
                <w:b w:val="0"/>
                <w:i w:val="0"/>
                <w:snapToGrid/>
                <w:color w:val="000000"/>
                <w:spacing w:val="-5"/>
                <w:sz w:val="22"/>
                <w:szCs w:val="22"/>
                <w:u w:val="none"/>
                <w:lang w:eastAsia="zh-CN"/>
              </w:rPr>
              <w:t>行政处罚</w:t>
            </w:r>
          </w:p>
        </w:tc>
        <w:tc>
          <w:tcPr>
            <w:tcW w:w="1176" w:type="dxa"/>
            <w:vAlign w:val="center"/>
          </w:tcPr>
          <w:p w14:paraId="082907A0">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eastAsia="zh-CN"/>
              </w:rPr>
            </w:pPr>
            <w:r>
              <w:rPr>
                <w:rFonts w:hint="eastAsia" w:ascii="仿宋_GB2312" w:hAnsi="仿宋_GB2312" w:eastAsia="仿宋_GB2312"/>
                <w:b w:val="0"/>
                <w:i w:val="0"/>
                <w:snapToGrid/>
                <w:color w:val="000000"/>
                <w:sz w:val="22"/>
                <w:szCs w:val="22"/>
                <w:u w:val="none"/>
                <w:lang w:eastAsia="zh-CN"/>
              </w:rPr>
              <w:t>对定点医药机构基金使用一般违法行为的处罚</w:t>
            </w:r>
          </w:p>
        </w:tc>
        <w:tc>
          <w:tcPr>
            <w:tcW w:w="1128" w:type="dxa"/>
            <w:vAlign w:val="center"/>
          </w:tcPr>
          <w:p w14:paraId="53002E3E">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center"/>
              <w:textAlignment w:val="center"/>
              <w:outlineLvl w:val="9"/>
              <w:rPr>
                <w:rFonts w:hint="eastAsia" w:ascii="仿宋_GB2312" w:hAnsi="仿宋_GB2312"/>
                <w:b w:val="0"/>
                <w:i w:val="0"/>
                <w:snapToGrid/>
                <w:color w:val="000000"/>
                <w:sz w:val="22"/>
                <w:szCs w:val="22"/>
                <w:u w:val="none"/>
                <w:lang w:eastAsia="zh-CN"/>
              </w:rPr>
            </w:pPr>
            <w:r>
              <w:rPr>
                <w:rFonts w:hint="eastAsia" w:ascii="仿宋_GB2312" w:hAnsi="仿宋_GB2312"/>
                <w:b w:val="0"/>
                <w:i w:val="0"/>
                <w:snapToGrid/>
                <w:color w:val="000000"/>
                <w:sz w:val="22"/>
                <w:szCs w:val="22"/>
                <w:u w:val="none"/>
                <w:lang w:val="en-US" w:eastAsia="zh-CN"/>
              </w:rPr>
              <w:t>滦州市医疗保障局</w:t>
            </w:r>
          </w:p>
        </w:tc>
        <w:tc>
          <w:tcPr>
            <w:tcW w:w="3948" w:type="dxa"/>
            <w:vAlign w:val="center"/>
          </w:tcPr>
          <w:p w14:paraId="0097532C">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eastAsia="仿宋_GB2312"/>
                <w:b w:val="0"/>
                <w:i w:val="0"/>
                <w:snapToGrid/>
                <w:color w:val="000000"/>
                <w:sz w:val="21"/>
                <w:szCs w:val="21"/>
                <w:u w:val="none"/>
                <w:lang w:val="en-US" w:eastAsia="zh-CN"/>
              </w:rPr>
            </w:pPr>
            <w:r>
              <w:rPr>
                <w:rFonts w:hint="eastAsia" w:ascii="仿宋_GB2312" w:hAnsi="仿宋_GB2312"/>
                <w:b w:val="0"/>
                <w:i w:val="0"/>
                <w:snapToGrid/>
                <w:color w:val="000000"/>
                <w:sz w:val="22"/>
                <w:szCs w:val="22"/>
                <w:u w:val="none"/>
                <w:lang w:val="en-US" w:eastAsia="zh-CN"/>
              </w:rPr>
              <w:t>《医疗保障基金使用监督管理条例》第三十八条：定点医药机构有下列情形之一的，由医疗保障行政部门责令改正，并可以约谈有关负责人；造成医疗保障基金损失的，责令退回，处造成损失金额1倍以上2倍以下的罚款；拒不改正或者造成严重后果的，责令定点医药机构暂停相关责任部门6个月以上1年以下涉及医疗保障基金使用的医药服务；违反其他法律、行政法规的，由有关主管部门依法处理：（一）分解住院、挂床住院；（二）违反诊疗规范过度诊疗、过度检查、分解处方、超量开药、重复开药或者提供其他不必要的医药服务；（三）重复收费、超标准收费、分解项目收费；（四）串换药品、医用耗材、诊疗项目和服务设施；（五）为参保人员利用其享受医疗保障待遇的机会转卖药品，接受返还现金、实物或者获得其他非法利益提供便利；（六）将不属于医疗保障基金支付范围的医药费用纳入医疗保障基金结算；（七）造成医疗保障基金损失的其他违法行为。</w:t>
            </w:r>
          </w:p>
        </w:tc>
        <w:tc>
          <w:tcPr>
            <w:tcW w:w="3744" w:type="dxa"/>
            <w:vAlign w:val="center"/>
          </w:tcPr>
          <w:p w14:paraId="31540348">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val="en-US" w:eastAsia="zh-CN"/>
              </w:rPr>
            </w:pPr>
            <w:r>
              <w:rPr>
                <w:rFonts w:hint="eastAsia" w:ascii="仿宋_GB2312" w:hAnsi="仿宋_GB2312" w:eastAsia="仿宋_GB2312"/>
                <w:b w:val="0"/>
                <w:i w:val="0"/>
                <w:snapToGrid/>
                <w:color w:val="000000"/>
                <w:sz w:val="22"/>
                <w:szCs w:val="22"/>
                <w:u w:val="none"/>
                <w:lang w:val="en-US" w:eastAsia="zh-CN"/>
              </w:rPr>
              <w:t>1、立案责任：发现</w:t>
            </w:r>
            <w:r>
              <w:rPr>
                <w:rFonts w:hint="eastAsia" w:ascii="仿宋_GB2312" w:hAnsi="仿宋_GB2312" w:eastAsia="仿宋_GB2312"/>
                <w:b w:val="0"/>
                <w:i w:val="0"/>
                <w:snapToGrid/>
                <w:color w:val="000000"/>
                <w:sz w:val="22"/>
                <w:szCs w:val="22"/>
                <w:u w:val="none"/>
                <w:lang w:eastAsia="zh-CN"/>
              </w:rPr>
              <w:t>以欺诈、伪造证明材料或者其他手段骗取医疗保险、生育保险待遇</w:t>
            </w:r>
            <w:r>
              <w:rPr>
                <w:rFonts w:hint="eastAsia" w:ascii="仿宋_GB2312" w:hAnsi="仿宋_GB2312" w:eastAsia="仿宋_GB2312"/>
                <w:b w:val="0"/>
                <w:i w:val="0"/>
                <w:snapToGrid/>
                <w:color w:val="000000"/>
                <w:sz w:val="22"/>
                <w:szCs w:val="22"/>
                <w:u w:val="none"/>
                <w:lang w:val="en-US" w:eastAsia="zh-CN"/>
              </w:rPr>
              <w:t>的违法行为，予以审查，决定是否立案。</w:t>
            </w:r>
          </w:p>
          <w:p w14:paraId="6B9FBB58">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val="en-US" w:eastAsia="zh-CN"/>
              </w:rPr>
            </w:pPr>
            <w:r>
              <w:rPr>
                <w:rFonts w:hint="eastAsia" w:ascii="仿宋_GB2312" w:hAnsi="仿宋_GB2312" w:eastAsia="仿宋_GB2312"/>
                <w:b w:val="0"/>
                <w:i w:val="0"/>
                <w:snapToGrid/>
                <w:color w:val="000000"/>
                <w:sz w:val="22"/>
                <w:szCs w:val="22"/>
                <w:u w:val="none"/>
                <w:lang w:val="en-US" w:eastAsia="zh-CN"/>
              </w:rPr>
              <w:t>2、调查责任：医疗保障部门对立案的案件，指定专人负责，及时组织调查取证，与当事人有直接利害关系的应当回避。执法人员不得少于两人，调查时应出示执法证件，允许当事人辩解陈述。执法人员应保守有关秘密。</w:t>
            </w:r>
          </w:p>
          <w:p w14:paraId="192A9888">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val="en-US" w:eastAsia="zh-CN"/>
              </w:rPr>
            </w:pPr>
            <w:r>
              <w:rPr>
                <w:rFonts w:hint="eastAsia" w:ascii="仿宋_GB2312" w:hAnsi="仿宋_GB2312" w:eastAsia="仿宋_GB2312"/>
                <w:b w:val="0"/>
                <w:i w:val="0"/>
                <w:snapToGrid/>
                <w:color w:val="000000"/>
                <w:sz w:val="22"/>
                <w:szCs w:val="22"/>
                <w:u w:val="none"/>
                <w:lang w:val="en-US" w:eastAsia="zh-CN"/>
              </w:rPr>
              <w:t>3、审查责任：审理案件调查报告，对案件违法事实、证据、调查取证程序、法律适用、处罚种类和幅度、当事人陈述和申辩理由等方面进行审查，提出处理意见（主要证据不足时，以适当的方式补充调查）。</w:t>
            </w:r>
          </w:p>
          <w:p w14:paraId="0807B9A9">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val="en-US" w:eastAsia="zh-CN"/>
              </w:rPr>
            </w:pPr>
            <w:r>
              <w:rPr>
                <w:rFonts w:hint="eastAsia" w:ascii="仿宋_GB2312" w:hAnsi="仿宋_GB2312" w:eastAsia="仿宋_GB2312"/>
                <w:b w:val="0"/>
                <w:i w:val="0"/>
                <w:snapToGrid/>
                <w:color w:val="000000"/>
                <w:sz w:val="22"/>
                <w:szCs w:val="22"/>
                <w:u w:val="none"/>
                <w:lang w:val="en-US" w:eastAsia="zh-CN"/>
              </w:rPr>
              <w:t>4、告知责任：作出行政处罚决定前，应制作《行政处罚告知书》送达当事人，告知违法事实及其享有的陈述、申辩等权利。符合听证规定的，制作并送达《行政处罚听证告知书》。</w:t>
            </w:r>
          </w:p>
          <w:p w14:paraId="2B23FD2E">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val="en-US" w:eastAsia="zh-CN"/>
              </w:rPr>
            </w:pPr>
            <w:r>
              <w:rPr>
                <w:rFonts w:hint="eastAsia" w:ascii="仿宋_GB2312" w:hAnsi="仿宋_GB2312" w:eastAsia="仿宋_GB2312"/>
                <w:b w:val="0"/>
                <w:i w:val="0"/>
                <w:snapToGrid/>
                <w:color w:val="000000"/>
                <w:sz w:val="22"/>
                <w:szCs w:val="22"/>
                <w:u w:val="none"/>
                <w:lang w:val="en-US" w:eastAsia="zh-CN"/>
              </w:rPr>
              <w:t>5、决定责任：制作行政处罚决定书，载明行政处罚</w:t>
            </w:r>
            <w:r>
              <w:rPr>
                <w:rFonts w:hint="eastAsia" w:ascii="仿宋_GB2312" w:hAnsi="仿宋_GB2312"/>
                <w:b w:val="0"/>
                <w:i w:val="0"/>
                <w:snapToGrid/>
                <w:color w:val="000000"/>
                <w:sz w:val="22"/>
                <w:szCs w:val="22"/>
                <w:u w:val="none"/>
                <w:lang w:val="en-US" w:eastAsia="zh-CN"/>
              </w:rPr>
              <w:t>种类、依据、履行方式、期限、救济途径</w:t>
            </w:r>
            <w:r>
              <w:rPr>
                <w:rFonts w:hint="eastAsia" w:ascii="仿宋_GB2312" w:hAnsi="仿宋_GB2312" w:eastAsia="仿宋_GB2312"/>
                <w:b w:val="0"/>
                <w:i w:val="0"/>
                <w:snapToGrid/>
                <w:color w:val="000000"/>
                <w:sz w:val="22"/>
                <w:szCs w:val="22"/>
                <w:u w:val="none"/>
                <w:lang w:val="en-US" w:eastAsia="zh-CN"/>
              </w:rPr>
              <w:t>等内容。</w:t>
            </w:r>
          </w:p>
          <w:p w14:paraId="7BE51F6A">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val="en-US" w:eastAsia="zh-CN"/>
              </w:rPr>
            </w:pPr>
            <w:r>
              <w:rPr>
                <w:rFonts w:hint="eastAsia" w:ascii="仿宋_GB2312" w:hAnsi="仿宋_GB2312" w:eastAsia="仿宋_GB2312"/>
                <w:b w:val="0"/>
                <w:i w:val="0"/>
                <w:snapToGrid/>
                <w:color w:val="000000"/>
                <w:sz w:val="22"/>
                <w:szCs w:val="22"/>
                <w:u w:val="none"/>
                <w:lang w:val="en-US" w:eastAsia="zh-CN"/>
              </w:rPr>
              <w:t>6、送达责任：行政处罚决定书按法律规定的方式送达当事人。</w:t>
            </w:r>
          </w:p>
          <w:p w14:paraId="5F071270">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val="en-US" w:eastAsia="zh-CN"/>
              </w:rPr>
            </w:pPr>
            <w:r>
              <w:rPr>
                <w:rFonts w:hint="eastAsia" w:ascii="仿宋_GB2312" w:hAnsi="仿宋_GB2312" w:eastAsia="仿宋_GB2312"/>
                <w:b w:val="0"/>
                <w:i w:val="0"/>
                <w:snapToGrid/>
                <w:color w:val="000000"/>
                <w:sz w:val="22"/>
                <w:szCs w:val="22"/>
                <w:u w:val="none"/>
                <w:lang w:val="en-US" w:eastAsia="zh-CN"/>
              </w:rPr>
              <w:t>7、执行责任：依照生效的行政处罚决定，</w:t>
            </w:r>
            <w:r>
              <w:rPr>
                <w:rFonts w:hint="eastAsia" w:ascii="仿宋_GB2312" w:hAnsi="仿宋_GB2312"/>
                <w:b w:val="0"/>
                <w:i w:val="0"/>
                <w:snapToGrid/>
                <w:color w:val="000000"/>
                <w:sz w:val="22"/>
                <w:szCs w:val="22"/>
                <w:u w:val="none"/>
                <w:lang w:val="en-US" w:eastAsia="zh-CN"/>
              </w:rPr>
              <w:t>予以处罚。</w:t>
            </w:r>
          </w:p>
          <w:p w14:paraId="0D11F894">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eastAsia="仿宋_GB2312"/>
                <w:b w:val="0"/>
                <w:i w:val="0"/>
                <w:snapToGrid/>
                <w:color w:val="000000"/>
                <w:sz w:val="22"/>
                <w:szCs w:val="22"/>
                <w:u w:val="none"/>
                <w:lang w:val="en-US" w:eastAsia="zh-CN"/>
              </w:rPr>
              <w:t>8、其他法律法规规章文件规定应履行的责任。</w:t>
            </w:r>
          </w:p>
        </w:tc>
        <w:tc>
          <w:tcPr>
            <w:tcW w:w="3144" w:type="dxa"/>
            <w:vAlign w:val="center"/>
          </w:tcPr>
          <w:p w14:paraId="511B8165">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val="en-US" w:eastAsia="zh-CN"/>
              </w:rPr>
            </w:pPr>
            <w:r>
              <w:rPr>
                <w:rFonts w:hint="eastAsia" w:ascii="仿宋_GB2312" w:hAnsi="仿宋_GB2312" w:eastAsia="仿宋_GB2312"/>
                <w:b w:val="0"/>
                <w:i w:val="0"/>
                <w:snapToGrid/>
                <w:color w:val="000000"/>
                <w:sz w:val="22"/>
                <w:szCs w:val="22"/>
                <w:u w:val="none"/>
                <w:lang w:val="en-US" w:eastAsia="zh-CN"/>
              </w:rPr>
              <w:t>因不履行或不正确履行行政职责，有下列情形的，行政机关及相关工作人员应承担相应责任：</w:t>
            </w:r>
          </w:p>
          <w:p w14:paraId="19C43E98">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val="en-US" w:eastAsia="zh-CN"/>
              </w:rPr>
            </w:pPr>
            <w:r>
              <w:rPr>
                <w:rFonts w:hint="eastAsia" w:ascii="仿宋_GB2312" w:hAnsi="仿宋_GB2312" w:eastAsia="仿宋_GB2312"/>
                <w:b w:val="0"/>
                <w:i w:val="0"/>
                <w:snapToGrid/>
                <w:color w:val="000000"/>
                <w:sz w:val="22"/>
                <w:szCs w:val="22"/>
                <w:u w:val="none"/>
                <w:lang w:val="en-US" w:eastAsia="zh-CN"/>
              </w:rPr>
              <w:t>1、没有法律和事实依据实施行政处罚的；</w:t>
            </w:r>
          </w:p>
          <w:p w14:paraId="58C72626">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val="en-US" w:eastAsia="zh-CN"/>
              </w:rPr>
            </w:pPr>
            <w:r>
              <w:rPr>
                <w:rFonts w:hint="eastAsia" w:ascii="仿宋_GB2312" w:hAnsi="仿宋_GB2312" w:eastAsia="仿宋_GB2312"/>
                <w:b w:val="0"/>
                <w:i w:val="0"/>
                <w:snapToGrid/>
                <w:color w:val="000000"/>
                <w:sz w:val="22"/>
                <w:szCs w:val="22"/>
                <w:u w:val="none"/>
                <w:lang w:val="en-US" w:eastAsia="zh-CN"/>
              </w:rPr>
              <w:t>2、行政处罚显失公正的；</w:t>
            </w:r>
          </w:p>
          <w:p w14:paraId="7E83A3F7">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val="en-US" w:eastAsia="zh-CN"/>
              </w:rPr>
            </w:pPr>
            <w:r>
              <w:rPr>
                <w:rFonts w:hint="eastAsia" w:ascii="仿宋_GB2312" w:hAnsi="仿宋_GB2312" w:eastAsia="仿宋_GB2312"/>
                <w:b w:val="0"/>
                <w:i w:val="0"/>
                <w:snapToGrid/>
                <w:color w:val="000000"/>
                <w:sz w:val="22"/>
                <w:szCs w:val="22"/>
                <w:u w:val="none"/>
                <w:lang w:val="en-US" w:eastAsia="zh-CN"/>
              </w:rPr>
              <w:t>3、执法人员玩忽职守，对应当予以制止和处罚的违法行为不予制止、处罚，致使医疗保障基金损失的；</w:t>
            </w:r>
          </w:p>
          <w:p w14:paraId="3268BE03">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val="en-US" w:eastAsia="zh-CN"/>
              </w:rPr>
            </w:pPr>
            <w:r>
              <w:rPr>
                <w:rFonts w:hint="eastAsia" w:ascii="仿宋_GB2312" w:hAnsi="仿宋_GB2312" w:eastAsia="仿宋_GB2312"/>
                <w:b w:val="0"/>
                <w:i w:val="0"/>
                <w:snapToGrid/>
                <w:color w:val="000000"/>
                <w:sz w:val="22"/>
                <w:szCs w:val="22"/>
                <w:u w:val="none"/>
                <w:lang w:val="en-US" w:eastAsia="zh-CN"/>
              </w:rPr>
              <w:t>4、不具备行政执法资格实施行政处罚的；</w:t>
            </w:r>
          </w:p>
          <w:p w14:paraId="58E5EE4D">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eastAsia="zh-CN"/>
              </w:rPr>
            </w:pPr>
            <w:r>
              <w:rPr>
                <w:rFonts w:hint="eastAsia" w:ascii="仿宋_GB2312" w:hAnsi="仿宋_GB2312" w:eastAsia="仿宋_GB2312"/>
                <w:b w:val="0"/>
                <w:i w:val="0"/>
                <w:snapToGrid/>
                <w:color w:val="000000"/>
                <w:sz w:val="22"/>
                <w:szCs w:val="22"/>
                <w:u w:val="none"/>
                <w:lang w:eastAsia="zh-CN"/>
              </w:rPr>
              <w:t>5、应当依法移送追究刑事责任，而未依法移送有权机关的；</w:t>
            </w:r>
          </w:p>
          <w:p w14:paraId="6EED22CC">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eastAsia="zh-CN"/>
              </w:rPr>
            </w:pPr>
            <w:r>
              <w:rPr>
                <w:rFonts w:hint="eastAsia" w:ascii="仿宋_GB2312" w:hAnsi="仿宋_GB2312"/>
                <w:b w:val="0"/>
                <w:i w:val="0"/>
                <w:snapToGrid/>
                <w:color w:val="000000"/>
                <w:sz w:val="22"/>
                <w:szCs w:val="22"/>
                <w:u w:val="none"/>
                <w:lang w:val="en-US" w:eastAsia="zh-CN"/>
              </w:rPr>
              <w:t>6</w:t>
            </w:r>
            <w:r>
              <w:rPr>
                <w:rFonts w:hint="eastAsia" w:ascii="仿宋_GB2312" w:hAnsi="仿宋_GB2312" w:eastAsia="仿宋_GB2312"/>
                <w:b w:val="0"/>
                <w:i w:val="0"/>
                <w:snapToGrid/>
                <w:color w:val="000000"/>
                <w:sz w:val="22"/>
                <w:szCs w:val="22"/>
                <w:u w:val="none"/>
                <w:lang w:eastAsia="zh-CN"/>
              </w:rPr>
              <w:t>、擅自改变行政处罚种类、幅度的；</w:t>
            </w:r>
          </w:p>
          <w:p w14:paraId="5AD7BCC4">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eastAsia="zh-CN"/>
              </w:rPr>
            </w:pPr>
            <w:r>
              <w:rPr>
                <w:rFonts w:hint="eastAsia" w:ascii="仿宋_GB2312" w:hAnsi="仿宋_GB2312"/>
                <w:b w:val="0"/>
                <w:i w:val="0"/>
                <w:snapToGrid/>
                <w:color w:val="000000"/>
                <w:sz w:val="22"/>
                <w:szCs w:val="22"/>
                <w:u w:val="none"/>
                <w:lang w:val="en-US" w:eastAsia="zh-CN"/>
              </w:rPr>
              <w:t>7</w:t>
            </w:r>
            <w:r>
              <w:rPr>
                <w:rFonts w:hint="eastAsia" w:ascii="仿宋_GB2312" w:hAnsi="仿宋_GB2312" w:eastAsia="仿宋_GB2312"/>
                <w:b w:val="0"/>
                <w:i w:val="0"/>
                <w:snapToGrid/>
                <w:color w:val="000000"/>
                <w:sz w:val="22"/>
                <w:szCs w:val="22"/>
                <w:u w:val="none"/>
                <w:lang w:eastAsia="zh-CN"/>
              </w:rPr>
              <w:t>、违反法定的行政处罚程序的；</w:t>
            </w:r>
          </w:p>
          <w:p w14:paraId="3F219967">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eastAsia="zh-CN"/>
              </w:rPr>
            </w:pPr>
            <w:r>
              <w:rPr>
                <w:rFonts w:hint="eastAsia" w:ascii="仿宋_GB2312" w:hAnsi="仿宋_GB2312"/>
                <w:b w:val="0"/>
                <w:i w:val="0"/>
                <w:snapToGrid/>
                <w:color w:val="000000"/>
                <w:sz w:val="22"/>
                <w:szCs w:val="22"/>
                <w:u w:val="none"/>
                <w:lang w:val="en-US" w:eastAsia="zh-CN"/>
              </w:rPr>
              <w:t>8</w:t>
            </w:r>
            <w:r>
              <w:rPr>
                <w:rFonts w:hint="eastAsia" w:ascii="仿宋_GB2312" w:hAnsi="仿宋_GB2312" w:eastAsia="仿宋_GB2312"/>
                <w:b w:val="0"/>
                <w:i w:val="0"/>
                <w:snapToGrid/>
                <w:color w:val="000000"/>
                <w:sz w:val="22"/>
                <w:szCs w:val="22"/>
                <w:u w:val="none"/>
                <w:lang w:eastAsia="zh-CN"/>
              </w:rPr>
              <w:t>、</w:t>
            </w:r>
            <w:r>
              <w:rPr>
                <w:rFonts w:hint="eastAsia" w:ascii="仿宋_GB2312" w:hAnsi="仿宋_GB2312"/>
                <w:b w:val="0"/>
                <w:i w:val="0"/>
                <w:snapToGrid/>
                <w:color w:val="000000"/>
                <w:sz w:val="22"/>
                <w:szCs w:val="22"/>
                <w:u w:val="none"/>
                <w:lang w:eastAsia="zh-CN"/>
              </w:rPr>
              <w:t>委托不符合法定条件的组织实施行政处罚的；</w:t>
            </w:r>
          </w:p>
          <w:p w14:paraId="3859449E">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eastAsia="zh-CN"/>
              </w:rPr>
            </w:pPr>
            <w:r>
              <w:rPr>
                <w:rFonts w:hint="eastAsia" w:ascii="仿宋_GB2312" w:hAnsi="仿宋_GB2312"/>
                <w:b w:val="0"/>
                <w:i w:val="0"/>
                <w:snapToGrid/>
                <w:color w:val="000000"/>
                <w:sz w:val="22"/>
                <w:szCs w:val="22"/>
                <w:u w:val="none"/>
                <w:lang w:val="en-US" w:eastAsia="zh-CN"/>
              </w:rPr>
              <w:t>9</w:t>
            </w:r>
            <w:r>
              <w:rPr>
                <w:rFonts w:hint="eastAsia" w:ascii="仿宋_GB2312" w:hAnsi="仿宋_GB2312" w:eastAsia="仿宋_GB2312"/>
                <w:b w:val="0"/>
                <w:i w:val="0"/>
                <w:snapToGrid/>
                <w:color w:val="000000"/>
                <w:sz w:val="22"/>
                <w:szCs w:val="22"/>
                <w:u w:val="none"/>
                <w:lang w:eastAsia="zh-CN"/>
              </w:rPr>
              <w:t>、在行政处罚过程中发生腐败行为的；</w:t>
            </w:r>
          </w:p>
          <w:p w14:paraId="3D72F247">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eastAsia="仿宋_GB2312"/>
                <w:b w:val="0"/>
                <w:i w:val="0"/>
                <w:snapToGrid/>
                <w:color w:val="000000"/>
                <w:sz w:val="22"/>
                <w:szCs w:val="22"/>
                <w:u w:val="none"/>
                <w:lang w:eastAsia="zh-CN"/>
              </w:rPr>
            </w:pPr>
            <w:r>
              <w:rPr>
                <w:rFonts w:hint="eastAsia" w:ascii="仿宋_GB2312" w:hAnsi="仿宋_GB2312" w:eastAsia="仿宋_GB2312"/>
                <w:b w:val="0"/>
                <w:i w:val="0"/>
                <w:snapToGrid/>
                <w:color w:val="000000"/>
                <w:sz w:val="22"/>
                <w:szCs w:val="22"/>
                <w:u w:val="none"/>
                <w:lang w:eastAsia="zh-CN"/>
              </w:rPr>
              <w:t>1</w:t>
            </w:r>
            <w:r>
              <w:rPr>
                <w:rFonts w:hint="eastAsia" w:ascii="仿宋_GB2312" w:hAnsi="仿宋_GB2312"/>
                <w:b w:val="0"/>
                <w:i w:val="0"/>
                <w:snapToGrid/>
                <w:color w:val="000000"/>
                <w:sz w:val="22"/>
                <w:szCs w:val="22"/>
                <w:u w:val="none"/>
                <w:lang w:val="en-US" w:eastAsia="zh-CN"/>
              </w:rPr>
              <w:t>0</w:t>
            </w:r>
            <w:r>
              <w:rPr>
                <w:rFonts w:hint="eastAsia" w:ascii="仿宋_GB2312" w:hAnsi="仿宋_GB2312" w:eastAsia="仿宋_GB2312"/>
                <w:b w:val="0"/>
                <w:i w:val="0"/>
                <w:snapToGrid/>
                <w:color w:val="000000"/>
                <w:sz w:val="22"/>
                <w:szCs w:val="22"/>
                <w:u w:val="none"/>
                <w:lang w:eastAsia="zh-CN"/>
              </w:rPr>
              <w:t>、其他违反法律法规规章文件规定的行为。</w:t>
            </w:r>
          </w:p>
        </w:tc>
        <w:tc>
          <w:tcPr>
            <w:tcW w:w="687" w:type="dxa"/>
            <w:vAlign w:val="center"/>
          </w:tcPr>
          <w:p w14:paraId="6B64D722">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center"/>
              <w:textAlignment w:val="center"/>
              <w:outlineLvl w:val="9"/>
              <w:rPr>
                <w:rFonts w:hint="eastAsia" w:ascii="仿宋_GB2312" w:hAnsi="仿宋_GB2312" w:eastAsia="仿宋_GB2312"/>
                <w:b w:val="0"/>
                <w:i w:val="0"/>
                <w:snapToGrid/>
                <w:color w:val="000000"/>
                <w:sz w:val="22"/>
                <w:szCs w:val="22"/>
                <w:u w:val="none"/>
                <w:lang w:eastAsia="zh-CN"/>
              </w:rPr>
            </w:pPr>
          </w:p>
        </w:tc>
      </w:tr>
      <w:tr w14:paraId="5E444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70" w:hRule="exact"/>
          <w:jc w:val="center"/>
        </w:trPr>
        <w:tc>
          <w:tcPr>
            <w:tcW w:w="713" w:type="dxa"/>
            <w:vAlign w:val="center"/>
          </w:tcPr>
          <w:p w14:paraId="76090EAE">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center"/>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5</w:t>
            </w:r>
          </w:p>
        </w:tc>
        <w:tc>
          <w:tcPr>
            <w:tcW w:w="1236" w:type="dxa"/>
            <w:vAlign w:val="center"/>
          </w:tcPr>
          <w:p w14:paraId="2A38E6BE">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center"/>
              <w:textAlignment w:val="center"/>
              <w:outlineLvl w:val="9"/>
              <w:rPr>
                <w:rFonts w:hint="eastAsia" w:ascii="仿宋_GB2312" w:hAnsi="仿宋_GB2312"/>
                <w:b w:val="0"/>
                <w:i w:val="0"/>
                <w:snapToGrid/>
                <w:color w:val="000000"/>
                <w:spacing w:val="-5"/>
                <w:sz w:val="22"/>
                <w:szCs w:val="22"/>
                <w:u w:val="none"/>
                <w:lang w:eastAsia="zh-CN"/>
              </w:rPr>
            </w:pPr>
            <w:r>
              <w:rPr>
                <w:rFonts w:hint="eastAsia" w:ascii="仿宋_GB2312" w:hAnsi="仿宋_GB2312"/>
                <w:b w:val="0"/>
                <w:i w:val="0"/>
                <w:snapToGrid/>
                <w:color w:val="000000"/>
                <w:spacing w:val="-5"/>
                <w:sz w:val="22"/>
                <w:szCs w:val="22"/>
                <w:u w:val="none"/>
                <w:lang w:eastAsia="zh-CN"/>
              </w:rPr>
              <w:t>行政处罚</w:t>
            </w:r>
          </w:p>
        </w:tc>
        <w:tc>
          <w:tcPr>
            <w:tcW w:w="1176" w:type="dxa"/>
            <w:vAlign w:val="center"/>
          </w:tcPr>
          <w:p w14:paraId="02712084">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eastAsia="zh-CN"/>
              </w:rPr>
            </w:pPr>
            <w:r>
              <w:rPr>
                <w:rFonts w:hint="eastAsia" w:ascii="仿宋_GB2312" w:hAnsi="仿宋_GB2312"/>
                <w:b w:val="0"/>
                <w:i w:val="0"/>
                <w:snapToGrid/>
                <w:color w:val="000000"/>
                <w:sz w:val="22"/>
                <w:szCs w:val="22"/>
                <w:u w:val="none"/>
                <w:lang w:eastAsia="zh-CN"/>
              </w:rPr>
              <w:t>对个人骗取医疗保障基金支出、骗取医疗保障基金待遇，或者造成医疗保障基金损失行为的处罚</w:t>
            </w:r>
          </w:p>
        </w:tc>
        <w:tc>
          <w:tcPr>
            <w:tcW w:w="1128" w:type="dxa"/>
            <w:vAlign w:val="center"/>
          </w:tcPr>
          <w:p w14:paraId="11F0FF64">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center"/>
              <w:textAlignment w:val="center"/>
              <w:outlineLvl w:val="9"/>
              <w:rPr>
                <w:rFonts w:hint="eastAsia" w:ascii="仿宋_GB2312" w:hAnsi="仿宋_GB2312"/>
                <w:b w:val="0"/>
                <w:i w:val="0"/>
                <w:snapToGrid/>
                <w:color w:val="000000"/>
                <w:sz w:val="22"/>
                <w:szCs w:val="22"/>
                <w:u w:val="none"/>
                <w:lang w:eastAsia="zh-CN"/>
              </w:rPr>
            </w:pPr>
            <w:r>
              <w:rPr>
                <w:rFonts w:hint="eastAsia" w:ascii="仿宋_GB2312" w:hAnsi="仿宋_GB2312"/>
                <w:b w:val="0"/>
                <w:i w:val="0"/>
                <w:snapToGrid/>
                <w:color w:val="000000"/>
                <w:sz w:val="22"/>
                <w:szCs w:val="22"/>
                <w:u w:val="none"/>
                <w:lang w:val="en-US" w:eastAsia="zh-CN"/>
              </w:rPr>
              <w:t>滦州市医疗保障局</w:t>
            </w:r>
          </w:p>
        </w:tc>
        <w:tc>
          <w:tcPr>
            <w:tcW w:w="3948" w:type="dxa"/>
            <w:vAlign w:val="center"/>
          </w:tcPr>
          <w:p w14:paraId="37F62A3B">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eastAsia="仿宋_GB2312"/>
                <w:b w:val="0"/>
                <w:i w:val="0"/>
                <w:snapToGrid/>
                <w:color w:val="000000"/>
                <w:sz w:val="18"/>
                <w:szCs w:val="18"/>
                <w:u w:val="none"/>
                <w:lang w:val="en-US" w:eastAsia="zh-CN"/>
              </w:rPr>
            </w:pPr>
            <w:r>
              <w:rPr>
                <w:rFonts w:hint="eastAsia" w:ascii="仿宋_GB2312" w:hAnsi="仿宋_GB2312" w:eastAsia="仿宋_GB2312"/>
                <w:b w:val="0"/>
                <w:i w:val="0"/>
                <w:snapToGrid/>
                <w:color w:val="000000"/>
                <w:sz w:val="18"/>
                <w:szCs w:val="18"/>
                <w:u w:val="none"/>
                <w:lang w:val="en-US" w:eastAsia="zh-CN"/>
              </w:rPr>
              <w:t>1.《中华人民共和国社会保险法》第八十八条：以欺诈、伪造证明材料或者其他手段骗取社会保险待遇的，由社会保险行政部门责令退回骗取的社会保险金，处骗取金额二倍以上五倍以下的罚款。</w:t>
            </w:r>
          </w:p>
          <w:p w14:paraId="03B45719">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eastAsia="仿宋_GB2312"/>
                <w:b w:val="0"/>
                <w:i w:val="0"/>
                <w:snapToGrid/>
                <w:color w:val="000000"/>
                <w:sz w:val="18"/>
                <w:szCs w:val="18"/>
                <w:u w:val="none"/>
                <w:lang w:val="en-US" w:eastAsia="zh-CN"/>
              </w:rPr>
            </w:pPr>
            <w:r>
              <w:rPr>
                <w:rFonts w:hint="eastAsia" w:ascii="仿宋_GB2312" w:hAnsi="仿宋_GB2312" w:eastAsia="仿宋_GB2312"/>
                <w:b w:val="0"/>
                <w:i w:val="0"/>
                <w:snapToGrid/>
                <w:color w:val="000000"/>
                <w:sz w:val="18"/>
                <w:szCs w:val="18"/>
                <w:u w:val="none"/>
                <w:lang w:val="en-US" w:eastAsia="zh-CN"/>
              </w:rPr>
              <w:t>2.《中华人民共和国基本医疗卫生与健康促进法》第一百零四条：违反本法规定，以欺诈、伪造证明材料或者其他手段骗取基本医疗保险待遇，或者基本医疗保险经办机构以及医疗机构、药品经营单位等以欺诈、伪造证明材料或者其他手段骗取基本医疗保险基金支出的，由县级以上人民政府医疗保障主管部门依照有关社会保险的法律、行政法规规定给予行政处罚。</w:t>
            </w:r>
          </w:p>
          <w:p w14:paraId="3D5C2A38">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eastAsia="仿宋_GB2312"/>
                <w:b w:val="0"/>
                <w:i w:val="0"/>
                <w:snapToGrid/>
                <w:color w:val="000000"/>
                <w:sz w:val="18"/>
                <w:szCs w:val="18"/>
                <w:u w:val="none"/>
                <w:lang w:val="en-US" w:eastAsia="zh-CN"/>
              </w:rPr>
            </w:pPr>
            <w:r>
              <w:rPr>
                <w:rFonts w:hint="eastAsia" w:ascii="仿宋_GB2312" w:hAnsi="仿宋_GB2312" w:eastAsia="仿宋_GB2312"/>
                <w:b w:val="0"/>
                <w:i w:val="0"/>
                <w:snapToGrid/>
                <w:color w:val="000000"/>
                <w:sz w:val="18"/>
                <w:szCs w:val="18"/>
                <w:u w:val="none"/>
                <w:lang w:val="en-US" w:eastAsia="zh-CN"/>
              </w:rPr>
              <w:t>3.《医疗保障基金使用监督管理条例》第四十一条：个人有下列情形之一的，由医疗保障行政部门责令改正；造成医疗保障基金损失的，责令退回；属于参保人员的，暂停其医疗费用联网结算3个月至12个月：（一）将本人的医疗保障凭证交由他人冒名使用；（二）重复享受医疗保障待遇；（三）利用享受医疗保障待遇的机会转卖药品，接受返还现金、实物或者获得其他非法利益。个人以骗取医疗保障基金为目的，实施了前款规定行为之一，造成医疗保障基金损失的；或者使用他人医疗保障凭证冒名就医、购药的；或者通过伪造、变造、隐匿、涂改、销毁医学文书、医学证明、会计凭证、电子信息等有关资料或者虚构医药服务项目等方式，骗取医疗保障基金支出的，除依照前款规定处理外，还应当由医疗保障行政部门处骗取金额2倍以上5倍以下的罚款。</w:t>
            </w:r>
          </w:p>
          <w:p w14:paraId="742F754F">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eastAsia="仿宋_GB2312"/>
                <w:b w:val="0"/>
                <w:i w:val="0"/>
                <w:snapToGrid/>
                <w:color w:val="000000"/>
                <w:sz w:val="18"/>
                <w:szCs w:val="18"/>
                <w:u w:val="none"/>
                <w:lang w:val="en-US" w:eastAsia="zh-CN"/>
              </w:rPr>
              <w:t>4.《社会救助暂行办法》第六十八条：采取虚报、隐瞒、伪造等手段，骗取社会救助资金、物资或者服务的，由有关部门决定停止社会救助，责令退回非法获取的救助资金、物资，可以处非法获取的救助款额或者物资价值1倍以上3倍以下的罚款。</w:t>
            </w:r>
          </w:p>
        </w:tc>
        <w:tc>
          <w:tcPr>
            <w:tcW w:w="3744" w:type="dxa"/>
            <w:vAlign w:val="center"/>
          </w:tcPr>
          <w:p w14:paraId="71805480">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val="en-US" w:eastAsia="zh-CN"/>
              </w:rPr>
            </w:pPr>
            <w:r>
              <w:rPr>
                <w:rFonts w:hint="eastAsia" w:ascii="仿宋_GB2312" w:hAnsi="仿宋_GB2312" w:eastAsia="仿宋_GB2312"/>
                <w:b w:val="0"/>
                <w:i w:val="0"/>
                <w:snapToGrid/>
                <w:color w:val="000000"/>
                <w:sz w:val="22"/>
                <w:szCs w:val="22"/>
                <w:u w:val="none"/>
                <w:lang w:val="en-US" w:eastAsia="zh-CN"/>
              </w:rPr>
              <w:t>1、立案责任：发现</w:t>
            </w:r>
            <w:r>
              <w:rPr>
                <w:rFonts w:hint="eastAsia" w:ascii="仿宋_GB2312" w:hAnsi="仿宋_GB2312"/>
                <w:b w:val="0"/>
                <w:i w:val="0"/>
                <w:snapToGrid/>
                <w:color w:val="000000"/>
                <w:sz w:val="22"/>
                <w:szCs w:val="22"/>
                <w:u w:val="none"/>
                <w:lang w:eastAsia="zh-CN"/>
              </w:rPr>
              <w:t>采取虚报、隐瞒、伪造等手段，骗取医疗救助基金</w:t>
            </w:r>
            <w:r>
              <w:rPr>
                <w:rFonts w:hint="eastAsia" w:ascii="仿宋_GB2312" w:hAnsi="仿宋_GB2312" w:eastAsia="仿宋_GB2312"/>
                <w:b w:val="0"/>
                <w:i w:val="0"/>
                <w:snapToGrid/>
                <w:color w:val="000000"/>
                <w:sz w:val="22"/>
                <w:szCs w:val="22"/>
                <w:u w:val="none"/>
                <w:lang w:val="en-US" w:eastAsia="zh-CN"/>
              </w:rPr>
              <w:t>的违法行为，予以审查，决定是否立案。</w:t>
            </w:r>
          </w:p>
          <w:p w14:paraId="77B116F7">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val="en-US" w:eastAsia="zh-CN"/>
              </w:rPr>
            </w:pPr>
            <w:r>
              <w:rPr>
                <w:rFonts w:hint="eastAsia" w:ascii="仿宋_GB2312" w:hAnsi="仿宋_GB2312" w:eastAsia="仿宋_GB2312"/>
                <w:b w:val="0"/>
                <w:i w:val="0"/>
                <w:snapToGrid/>
                <w:color w:val="000000"/>
                <w:sz w:val="22"/>
                <w:szCs w:val="22"/>
                <w:u w:val="none"/>
                <w:lang w:val="en-US" w:eastAsia="zh-CN"/>
              </w:rPr>
              <w:t>2、调查责任：医疗保障部门对立案的案件，指定专人负责，及时组织调查取证，与当事人有直接利害关系的应当回避。执法人员不得少于两人，调查时应出示执法证件，允许当事人辩解陈述。执法人员应保守有关秘密。</w:t>
            </w:r>
          </w:p>
          <w:p w14:paraId="32829D01">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val="en-US" w:eastAsia="zh-CN"/>
              </w:rPr>
            </w:pPr>
            <w:r>
              <w:rPr>
                <w:rFonts w:hint="eastAsia" w:ascii="仿宋_GB2312" w:hAnsi="仿宋_GB2312" w:eastAsia="仿宋_GB2312"/>
                <w:b w:val="0"/>
                <w:i w:val="0"/>
                <w:snapToGrid/>
                <w:color w:val="000000"/>
                <w:sz w:val="22"/>
                <w:szCs w:val="22"/>
                <w:u w:val="none"/>
                <w:lang w:val="en-US" w:eastAsia="zh-CN"/>
              </w:rPr>
              <w:t>3、审查责任：审理案件调查报告，对案件违法事实、证据、调查取证程序、法律适用、处罚种类和幅度、当事人陈述和申辩理由等方面进行审查，提出处理意见（主要证据不足时，以适当的方式补充调查）。</w:t>
            </w:r>
          </w:p>
          <w:p w14:paraId="330D20B8">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val="en-US" w:eastAsia="zh-CN"/>
              </w:rPr>
            </w:pPr>
            <w:r>
              <w:rPr>
                <w:rFonts w:hint="eastAsia" w:ascii="仿宋_GB2312" w:hAnsi="仿宋_GB2312" w:eastAsia="仿宋_GB2312"/>
                <w:b w:val="0"/>
                <w:i w:val="0"/>
                <w:snapToGrid/>
                <w:color w:val="000000"/>
                <w:sz w:val="22"/>
                <w:szCs w:val="22"/>
                <w:u w:val="none"/>
                <w:lang w:val="en-US" w:eastAsia="zh-CN"/>
              </w:rPr>
              <w:t>4、告知责任：作出行政处罚决定前，应制作《行政处罚告知书》送达当事人，告知违法事实及其享有的陈述、申辩等权利。符合听证规定的，制作并送达《行政处罚听证告知书》。</w:t>
            </w:r>
          </w:p>
          <w:p w14:paraId="24E58477">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val="en-US" w:eastAsia="zh-CN"/>
              </w:rPr>
            </w:pPr>
            <w:r>
              <w:rPr>
                <w:rFonts w:hint="eastAsia" w:ascii="仿宋_GB2312" w:hAnsi="仿宋_GB2312" w:eastAsia="仿宋_GB2312"/>
                <w:b w:val="0"/>
                <w:i w:val="0"/>
                <w:snapToGrid/>
                <w:color w:val="000000"/>
                <w:sz w:val="22"/>
                <w:szCs w:val="22"/>
                <w:u w:val="none"/>
                <w:lang w:val="en-US" w:eastAsia="zh-CN"/>
              </w:rPr>
              <w:t>5、决定责任：制作行政处罚决定书，载明行政处罚</w:t>
            </w:r>
            <w:r>
              <w:rPr>
                <w:rFonts w:hint="eastAsia" w:ascii="仿宋_GB2312" w:hAnsi="仿宋_GB2312"/>
                <w:b w:val="0"/>
                <w:i w:val="0"/>
                <w:snapToGrid/>
                <w:color w:val="000000"/>
                <w:sz w:val="22"/>
                <w:szCs w:val="22"/>
                <w:u w:val="none"/>
                <w:lang w:val="en-US" w:eastAsia="zh-CN"/>
              </w:rPr>
              <w:t>种类、依据、履行方式、期限、救济途径</w:t>
            </w:r>
            <w:r>
              <w:rPr>
                <w:rFonts w:hint="eastAsia" w:ascii="仿宋_GB2312" w:hAnsi="仿宋_GB2312" w:eastAsia="仿宋_GB2312"/>
                <w:b w:val="0"/>
                <w:i w:val="0"/>
                <w:snapToGrid/>
                <w:color w:val="000000"/>
                <w:sz w:val="22"/>
                <w:szCs w:val="22"/>
                <w:u w:val="none"/>
                <w:lang w:val="en-US" w:eastAsia="zh-CN"/>
              </w:rPr>
              <w:t>等内容。</w:t>
            </w:r>
          </w:p>
          <w:p w14:paraId="403F8B18">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val="en-US" w:eastAsia="zh-CN"/>
              </w:rPr>
            </w:pPr>
            <w:r>
              <w:rPr>
                <w:rFonts w:hint="eastAsia" w:ascii="仿宋_GB2312" w:hAnsi="仿宋_GB2312" w:eastAsia="仿宋_GB2312"/>
                <w:b w:val="0"/>
                <w:i w:val="0"/>
                <w:snapToGrid/>
                <w:color w:val="000000"/>
                <w:sz w:val="22"/>
                <w:szCs w:val="22"/>
                <w:u w:val="none"/>
                <w:lang w:val="en-US" w:eastAsia="zh-CN"/>
              </w:rPr>
              <w:t>6、送达责任：行政处罚决定书按法律规定的方式送达当事人。</w:t>
            </w:r>
          </w:p>
          <w:p w14:paraId="173D3570">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val="en-US" w:eastAsia="zh-CN"/>
              </w:rPr>
            </w:pPr>
            <w:r>
              <w:rPr>
                <w:rFonts w:hint="eastAsia" w:ascii="仿宋_GB2312" w:hAnsi="仿宋_GB2312" w:eastAsia="仿宋_GB2312"/>
                <w:b w:val="0"/>
                <w:i w:val="0"/>
                <w:snapToGrid/>
                <w:color w:val="000000"/>
                <w:sz w:val="22"/>
                <w:szCs w:val="22"/>
                <w:u w:val="none"/>
                <w:lang w:val="en-US" w:eastAsia="zh-CN"/>
              </w:rPr>
              <w:t>7、执行责任：依照生效的行政处罚决定，</w:t>
            </w:r>
            <w:r>
              <w:rPr>
                <w:rFonts w:hint="eastAsia" w:ascii="仿宋_GB2312" w:hAnsi="仿宋_GB2312"/>
                <w:b w:val="0"/>
                <w:i w:val="0"/>
                <w:snapToGrid/>
                <w:color w:val="000000"/>
                <w:sz w:val="22"/>
                <w:szCs w:val="22"/>
                <w:u w:val="none"/>
                <w:lang w:val="en-US" w:eastAsia="zh-CN"/>
              </w:rPr>
              <w:t>予以处罚。</w:t>
            </w:r>
          </w:p>
          <w:p w14:paraId="1B69C7A0">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eastAsia="仿宋_GB2312"/>
                <w:b w:val="0"/>
                <w:i w:val="0"/>
                <w:snapToGrid/>
                <w:color w:val="000000"/>
                <w:sz w:val="22"/>
                <w:szCs w:val="22"/>
                <w:u w:val="none"/>
                <w:lang w:val="en-US" w:eastAsia="zh-CN"/>
              </w:rPr>
              <w:t>8、其他法律法规规章文件规定应履行的责任。</w:t>
            </w:r>
          </w:p>
        </w:tc>
        <w:tc>
          <w:tcPr>
            <w:tcW w:w="3144" w:type="dxa"/>
            <w:vAlign w:val="center"/>
          </w:tcPr>
          <w:p w14:paraId="788398E4">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val="en-US" w:eastAsia="zh-CN"/>
              </w:rPr>
            </w:pPr>
            <w:r>
              <w:rPr>
                <w:rFonts w:hint="eastAsia" w:ascii="仿宋_GB2312" w:hAnsi="仿宋_GB2312" w:eastAsia="仿宋_GB2312"/>
                <w:b w:val="0"/>
                <w:i w:val="0"/>
                <w:snapToGrid/>
                <w:color w:val="000000"/>
                <w:sz w:val="22"/>
                <w:szCs w:val="22"/>
                <w:u w:val="none"/>
                <w:lang w:val="en-US" w:eastAsia="zh-CN"/>
              </w:rPr>
              <w:t>因不履行或不正确履行行政职责，有下列情形的，行政机关及相关工作人员应承担相应责任：</w:t>
            </w:r>
          </w:p>
          <w:p w14:paraId="76A7CCE9">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val="en-US" w:eastAsia="zh-CN"/>
              </w:rPr>
            </w:pPr>
            <w:r>
              <w:rPr>
                <w:rFonts w:hint="eastAsia" w:ascii="仿宋_GB2312" w:hAnsi="仿宋_GB2312" w:eastAsia="仿宋_GB2312"/>
                <w:b w:val="0"/>
                <w:i w:val="0"/>
                <w:snapToGrid/>
                <w:color w:val="000000"/>
                <w:sz w:val="22"/>
                <w:szCs w:val="22"/>
                <w:u w:val="none"/>
                <w:lang w:val="en-US" w:eastAsia="zh-CN"/>
              </w:rPr>
              <w:t>1、没有法律和事实依据实施行政处罚的；</w:t>
            </w:r>
          </w:p>
          <w:p w14:paraId="1C989744">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val="en-US" w:eastAsia="zh-CN"/>
              </w:rPr>
            </w:pPr>
            <w:r>
              <w:rPr>
                <w:rFonts w:hint="eastAsia" w:ascii="仿宋_GB2312" w:hAnsi="仿宋_GB2312" w:eastAsia="仿宋_GB2312"/>
                <w:b w:val="0"/>
                <w:i w:val="0"/>
                <w:snapToGrid/>
                <w:color w:val="000000"/>
                <w:sz w:val="22"/>
                <w:szCs w:val="22"/>
                <w:u w:val="none"/>
                <w:lang w:val="en-US" w:eastAsia="zh-CN"/>
              </w:rPr>
              <w:t>2、行政处罚显失公正的；</w:t>
            </w:r>
          </w:p>
          <w:p w14:paraId="3F267798">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val="en-US" w:eastAsia="zh-CN"/>
              </w:rPr>
            </w:pPr>
            <w:r>
              <w:rPr>
                <w:rFonts w:hint="eastAsia" w:ascii="仿宋_GB2312" w:hAnsi="仿宋_GB2312" w:eastAsia="仿宋_GB2312"/>
                <w:b w:val="0"/>
                <w:i w:val="0"/>
                <w:snapToGrid/>
                <w:color w:val="000000"/>
                <w:sz w:val="22"/>
                <w:szCs w:val="22"/>
                <w:u w:val="none"/>
                <w:lang w:val="en-US" w:eastAsia="zh-CN"/>
              </w:rPr>
              <w:t>3、执法人员玩忽职守，对应当予以制止和处罚的违法行为不予制止、处罚，致使医疗保障基金损失的；</w:t>
            </w:r>
          </w:p>
          <w:p w14:paraId="359AE3C0">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val="en-US" w:eastAsia="zh-CN"/>
              </w:rPr>
            </w:pPr>
            <w:r>
              <w:rPr>
                <w:rFonts w:hint="eastAsia" w:ascii="仿宋_GB2312" w:hAnsi="仿宋_GB2312" w:eastAsia="仿宋_GB2312"/>
                <w:b w:val="0"/>
                <w:i w:val="0"/>
                <w:snapToGrid/>
                <w:color w:val="000000"/>
                <w:sz w:val="22"/>
                <w:szCs w:val="22"/>
                <w:u w:val="none"/>
                <w:lang w:val="en-US" w:eastAsia="zh-CN"/>
              </w:rPr>
              <w:t>4、不具备行政执法资格实施行政处罚的；</w:t>
            </w:r>
          </w:p>
          <w:p w14:paraId="72158DF7">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eastAsia="zh-CN"/>
              </w:rPr>
            </w:pPr>
            <w:r>
              <w:rPr>
                <w:rFonts w:hint="eastAsia" w:ascii="仿宋_GB2312" w:hAnsi="仿宋_GB2312" w:eastAsia="仿宋_GB2312"/>
                <w:b w:val="0"/>
                <w:i w:val="0"/>
                <w:snapToGrid/>
                <w:color w:val="000000"/>
                <w:sz w:val="22"/>
                <w:szCs w:val="22"/>
                <w:u w:val="none"/>
                <w:lang w:eastAsia="zh-CN"/>
              </w:rPr>
              <w:t>5、应当依法移送追究刑事责任，而未依法移送有权机关的；</w:t>
            </w:r>
          </w:p>
          <w:p w14:paraId="56882B8D">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eastAsia="zh-CN"/>
              </w:rPr>
            </w:pPr>
            <w:r>
              <w:rPr>
                <w:rFonts w:hint="eastAsia" w:ascii="仿宋_GB2312" w:hAnsi="仿宋_GB2312"/>
                <w:b w:val="0"/>
                <w:i w:val="0"/>
                <w:snapToGrid/>
                <w:color w:val="000000"/>
                <w:sz w:val="22"/>
                <w:szCs w:val="22"/>
                <w:u w:val="none"/>
                <w:lang w:val="en-US" w:eastAsia="zh-CN"/>
              </w:rPr>
              <w:t>6</w:t>
            </w:r>
            <w:r>
              <w:rPr>
                <w:rFonts w:hint="eastAsia" w:ascii="仿宋_GB2312" w:hAnsi="仿宋_GB2312" w:eastAsia="仿宋_GB2312"/>
                <w:b w:val="0"/>
                <w:i w:val="0"/>
                <w:snapToGrid/>
                <w:color w:val="000000"/>
                <w:sz w:val="22"/>
                <w:szCs w:val="22"/>
                <w:u w:val="none"/>
                <w:lang w:eastAsia="zh-CN"/>
              </w:rPr>
              <w:t>、擅自改变行政处罚种类、幅度的；</w:t>
            </w:r>
          </w:p>
          <w:p w14:paraId="3836B176">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eastAsia="zh-CN"/>
              </w:rPr>
            </w:pPr>
            <w:r>
              <w:rPr>
                <w:rFonts w:hint="eastAsia" w:ascii="仿宋_GB2312" w:hAnsi="仿宋_GB2312"/>
                <w:b w:val="0"/>
                <w:i w:val="0"/>
                <w:snapToGrid/>
                <w:color w:val="000000"/>
                <w:sz w:val="22"/>
                <w:szCs w:val="22"/>
                <w:u w:val="none"/>
                <w:lang w:val="en-US" w:eastAsia="zh-CN"/>
              </w:rPr>
              <w:t>7</w:t>
            </w:r>
            <w:r>
              <w:rPr>
                <w:rFonts w:hint="eastAsia" w:ascii="仿宋_GB2312" w:hAnsi="仿宋_GB2312" w:eastAsia="仿宋_GB2312"/>
                <w:b w:val="0"/>
                <w:i w:val="0"/>
                <w:snapToGrid/>
                <w:color w:val="000000"/>
                <w:sz w:val="22"/>
                <w:szCs w:val="22"/>
                <w:u w:val="none"/>
                <w:lang w:eastAsia="zh-CN"/>
              </w:rPr>
              <w:t>、违反法定的行政处罚程序的；</w:t>
            </w:r>
          </w:p>
          <w:p w14:paraId="0E5EEDCB">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eastAsia="zh-CN"/>
              </w:rPr>
            </w:pPr>
            <w:r>
              <w:rPr>
                <w:rFonts w:hint="eastAsia" w:ascii="仿宋_GB2312" w:hAnsi="仿宋_GB2312"/>
                <w:b w:val="0"/>
                <w:i w:val="0"/>
                <w:snapToGrid/>
                <w:color w:val="000000"/>
                <w:sz w:val="22"/>
                <w:szCs w:val="22"/>
                <w:u w:val="none"/>
                <w:lang w:val="en-US" w:eastAsia="zh-CN"/>
              </w:rPr>
              <w:t>8</w:t>
            </w:r>
            <w:r>
              <w:rPr>
                <w:rFonts w:hint="eastAsia" w:ascii="仿宋_GB2312" w:hAnsi="仿宋_GB2312" w:eastAsia="仿宋_GB2312"/>
                <w:b w:val="0"/>
                <w:i w:val="0"/>
                <w:snapToGrid/>
                <w:color w:val="000000"/>
                <w:sz w:val="22"/>
                <w:szCs w:val="22"/>
                <w:u w:val="none"/>
                <w:lang w:eastAsia="zh-CN"/>
              </w:rPr>
              <w:t>、</w:t>
            </w:r>
            <w:r>
              <w:rPr>
                <w:rFonts w:hint="eastAsia" w:ascii="仿宋_GB2312" w:hAnsi="仿宋_GB2312"/>
                <w:b w:val="0"/>
                <w:i w:val="0"/>
                <w:snapToGrid/>
                <w:color w:val="000000"/>
                <w:sz w:val="22"/>
                <w:szCs w:val="22"/>
                <w:u w:val="none"/>
                <w:lang w:eastAsia="zh-CN"/>
              </w:rPr>
              <w:t>委托不符合法定条件的组织实施行政处罚的；</w:t>
            </w:r>
          </w:p>
          <w:p w14:paraId="064768AE">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eastAsia="zh-CN"/>
              </w:rPr>
            </w:pPr>
            <w:r>
              <w:rPr>
                <w:rFonts w:hint="eastAsia" w:ascii="仿宋_GB2312" w:hAnsi="仿宋_GB2312"/>
                <w:b w:val="0"/>
                <w:i w:val="0"/>
                <w:snapToGrid/>
                <w:color w:val="000000"/>
                <w:sz w:val="22"/>
                <w:szCs w:val="22"/>
                <w:u w:val="none"/>
                <w:lang w:val="en-US" w:eastAsia="zh-CN"/>
              </w:rPr>
              <w:t>9</w:t>
            </w:r>
            <w:r>
              <w:rPr>
                <w:rFonts w:hint="eastAsia" w:ascii="仿宋_GB2312" w:hAnsi="仿宋_GB2312" w:eastAsia="仿宋_GB2312"/>
                <w:b w:val="0"/>
                <w:i w:val="0"/>
                <w:snapToGrid/>
                <w:color w:val="000000"/>
                <w:sz w:val="22"/>
                <w:szCs w:val="22"/>
                <w:u w:val="none"/>
                <w:lang w:eastAsia="zh-CN"/>
              </w:rPr>
              <w:t>、在行政处罚过程中发生腐败行为的；</w:t>
            </w:r>
          </w:p>
          <w:p w14:paraId="2B44479F">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eastAsia="仿宋_GB2312"/>
                <w:b w:val="0"/>
                <w:i w:val="0"/>
                <w:snapToGrid/>
                <w:color w:val="000000"/>
                <w:sz w:val="22"/>
                <w:szCs w:val="22"/>
                <w:u w:val="none"/>
                <w:lang w:eastAsia="zh-CN"/>
              </w:rPr>
              <w:t>1</w:t>
            </w:r>
            <w:r>
              <w:rPr>
                <w:rFonts w:hint="eastAsia" w:ascii="仿宋_GB2312" w:hAnsi="仿宋_GB2312"/>
                <w:b w:val="0"/>
                <w:i w:val="0"/>
                <w:snapToGrid/>
                <w:color w:val="000000"/>
                <w:sz w:val="22"/>
                <w:szCs w:val="22"/>
                <w:u w:val="none"/>
                <w:lang w:val="en-US" w:eastAsia="zh-CN"/>
              </w:rPr>
              <w:t>0</w:t>
            </w:r>
            <w:r>
              <w:rPr>
                <w:rFonts w:hint="eastAsia" w:ascii="仿宋_GB2312" w:hAnsi="仿宋_GB2312" w:eastAsia="仿宋_GB2312"/>
                <w:b w:val="0"/>
                <w:i w:val="0"/>
                <w:snapToGrid/>
                <w:color w:val="000000"/>
                <w:sz w:val="22"/>
                <w:szCs w:val="22"/>
                <w:u w:val="none"/>
                <w:lang w:eastAsia="zh-CN"/>
              </w:rPr>
              <w:t>、其他违反法律法规规章文件规定的行为。</w:t>
            </w:r>
          </w:p>
        </w:tc>
        <w:tc>
          <w:tcPr>
            <w:tcW w:w="687" w:type="dxa"/>
            <w:vAlign w:val="center"/>
          </w:tcPr>
          <w:p w14:paraId="71A2B854">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center"/>
              <w:textAlignment w:val="center"/>
              <w:outlineLvl w:val="9"/>
              <w:rPr>
                <w:rFonts w:hint="eastAsia" w:ascii="仿宋_GB2312" w:hAnsi="仿宋_GB2312" w:eastAsia="仿宋_GB2312"/>
                <w:b w:val="0"/>
                <w:i w:val="0"/>
                <w:snapToGrid/>
                <w:color w:val="000000"/>
                <w:sz w:val="22"/>
                <w:szCs w:val="22"/>
                <w:u w:val="none"/>
                <w:lang w:eastAsia="zh-CN"/>
              </w:rPr>
            </w:pPr>
          </w:p>
        </w:tc>
      </w:tr>
      <w:tr w14:paraId="2CEB3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91" w:hRule="exact"/>
          <w:jc w:val="center"/>
        </w:trPr>
        <w:tc>
          <w:tcPr>
            <w:tcW w:w="713" w:type="dxa"/>
            <w:vAlign w:val="center"/>
          </w:tcPr>
          <w:p w14:paraId="06036CF6">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center"/>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6</w:t>
            </w:r>
          </w:p>
        </w:tc>
        <w:tc>
          <w:tcPr>
            <w:tcW w:w="1236" w:type="dxa"/>
            <w:vAlign w:val="center"/>
          </w:tcPr>
          <w:p w14:paraId="30FB5F09">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center"/>
              <w:textAlignment w:val="center"/>
              <w:outlineLvl w:val="9"/>
              <w:rPr>
                <w:rFonts w:hint="eastAsia" w:ascii="仿宋_GB2312" w:hAnsi="仿宋_GB2312"/>
                <w:b w:val="0"/>
                <w:i w:val="0"/>
                <w:snapToGrid/>
                <w:color w:val="000000"/>
                <w:spacing w:val="-5"/>
                <w:sz w:val="22"/>
                <w:szCs w:val="22"/>
                <w:u w:val="none"/>
                <w:lang w:eastAsia="zh-CN"/>
              </w:rPr>
            </w:pPr>
            <w:r>
              <w:rPr>
                <w:rFonts w:hint="eastAsia" w:ascii="仿宋_GB2312" w:hAnsi="仿宋_GB2312"/>
                <w:b w:val="0"/>
                <w:i w:val="0"/>
                <w:snapToGrid/>
                <w:color w:val="000000"/>
                <w:spacing w:val="-5"/>
                <w:sz w:val="22"/>
                <w:szCs w:val="22"/>
                <w:u w:val="none"/>
                <w:lang w:eastAsia="zh-CN"/>
              </w:rPr>
              <w:t>行政处罚</w:t>
            </w:r>
          </w:p>
        </w:tc>
        <w:tc>
          <w:tcPr>
            <w:tcW w:w="1176" w:type="dxa"/>
            <w:vAlign w:val="center"/>
          </w:tcPr>
          <w:p w14:paraId="037C92A7">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b w:val="0"/>
                <w:i w:val="0"/>
                <w:snapToGrid/>
                <w:color w:val="000000"/>
                <w:sz w:val="22"/>
                <w:szCs w:val="22"/>
                <w:u w:val="none"/>
                <w:lang w:eastAsia="zh-CN"/>
              </w:rPr>
            </w:pPr>
            <w:r>
              <w:rPr>
                <w:rFonts w:hint="eastAsia" w:ascii="仿宋_GB2312" w:hAnsi="仿宋_GB2312"/>
                <w:b w:val="0"/>
                <w:i w:val="0"/>
                <w:snapToGrid/>
                <w:color w:val="000000"/>
                <w:sz w:val="22"/>
                <w:szCs w:val="22"/>
                <w:u w:val="none"/>
                <w:lang w:eastAsia="zh-CN"/>
              </w:rPr>
              <w:t>对定点医药机构违反管理规定、拒绝监督检查或者提供虚假情况的处罚</w:t>
            </w:r>
          </w:p>
        </w:tc>
        <w:tc>
          <w:tcPr>
            <w:tcW w:w="1128" w:type="dxa"/>
            <w:vAlign w:val="center"/>
          </w:tcPr>
          <w:p w14:paraId="2CF7E83D">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center"/>
              <w:textAlignment w:val="center"/>
              <w:outlineLvl w:val="9"/>
              <w:rPr>
                <w:rFonts w:hint="eastAsia" w:ascii="仿宋_GB2312" w:hAnsi="仿宋_GB2312"/>
                <w:b w:val="0"/>
                <w:i w:val="0"/>
                <w:snapToGrid/>
                <w:color w:val="000000"/>
                <w:sz w:val="22"/>
                <w:szCs w:val="22"/>
                <w:u w:val="none"/>
                <w:lang w:eastAsia="zh-CN"/>
              </w:rPr>
            </w:pPr>
            <w:r>
              <w:rPr>
                <w:rFonts w:hint="eastAsia" w:ascii="仿宋_GB2312" w:hAnsi="仿宋_GB2312"/>
                <w:b w:val="0"/>
                <w:i w:val="0"/>
                <w:snapToGrid/>
                <w:color w:val="000000"/>
                <w:sz w:val="22"/>
                <w:szCs w:val="22"/>
                <w:u w:val="none"/>
                <w:lang w:val="en-US" w:eastAsia="zh-CN"/>
              </w:rPr>
              <w:t>滦州市医疗保障局</w:t>
            </w:r>
          </w:p>
        </w:tc>
        <w:tc>
          <w:tcPr>
            <w:tcW w:w="3948" w:type="dxa"/>
            <w:vAlign w:val="center"/>
          </w:tcPr>
          <w:p w14:paraId="756D6E3F">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eastAsia="仿宋_GB2312"/>
                <w:b w:val="0"/>
                <w:i w:val="0"/>
                <w:snapToGrid/>
                <w:color w:val="000000"/>
                <w:sz w:val="22"/>
                <w:szCs w:val="22"/>
                <w:u w:val="none"/>
                <w:lang w:val="en-US" w:eastAsia="zh-CN"/>
              </w:rPr>
            </w:pPr>
            <w:r>
              <w:rPr>
                <w:rFonts w:hint="eastAsia" w:ascii="仿宋_GB2312" w:hAnsi="仿宋_GB2312" w:eastAsia="仿宋_GB2312"/>
                <w:b w:val="0"/>
                <w:i w:val="0"/>
                <w:snapToGrid/>
                <w:color w:val="000000"/>
                <w:sz w:val="22"/>
                <w:szCs w:val="22"/>
                <w:u w:val="none"/>
                <w:lang w:val="en-US" w:eastAsia="zh-CN"/>
              </w:rPr>
              <w:t>《医疗保障基金使用监督管理条例》第三十九条：定点医药机构有下列情形之一的，由医疗保障行政部门责令改正，并可以约谈有关负责人；拒不改正的，处1万元以上5万元以下的罚款；违反其他法律、行政法规的，由有关主管部门依法处理：（一）未建立医疗保障基金使用内部管理制度，或者没有专门机构或者人员负责医疗保障基金使用管理工作；（二）未按照规定保管财务账目、会计凭证、处方、病历、治疗检查记录、费用明细、药品和医用耗材出入库记录等资料；（三）未按照规定通过医疗保障信息系统传送医疗保障基金使用有关数据；（四）未按照规定向医疗保障行政部门报告医疗保障基金使用监督管理所需信息；（五）未按照规定向社会公开医药费用、费用结构等信息；（六）除急诊、抢救等特殊情形外，未经参保人员或者其近亲属、监护人同意提供医疗保障基金支付范围以外的医药服务；（七）拒绝医疗保障等行政部门监督检查或者提供虚假情况。</w:t>
            </w:r>
          </w:p>
        </w:tc>
        <w:tc>
          <w:tcPr>
            <w:tcW w:w="3744" w:type="dxa"/>
            <w:vAlign w:val="center"/>
          </w:tcPr>
          <w:p w14:paraId="4829F37C">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val="en-US" w:eastAsia="zh-CN"/>
              </w:rPr>
            </w:pPr>
            <w:r>
              <w:rPr>
                <w:rFonts w:hint="eastAsia" w:ascii="仿宋_GB2312" w:hAnsi="仿宋_GB2312" w:eastAsia="仿宋_GB2312"/>
                <w:b w:val="0"/>
                <w:i w:val="0"/>
                <w:snapToGrid/>
                <w:color w:val="000000"/>
                <w:sz w:val="22"/>
                <w:szCs w:val="22"/>
                <w:u w:val="none"/>
                <w:lang w:val="en-US" w:eastAsia="zh-CN"/>
              </w:rPr>
              <w:t>1、立案责任：发现</w:t>
            </w:r>
            <w:r>
              <w:rPr>
                <w:rFonts w:hint="eastAsia" w:ascii="仿宋_GB2312" w:hAnsi="仿宋_GB2312"/>
                <w:b w:val="0"/>
                <w:i w:val="0"/>
                <w:snapToGrid/>
                <w:color w:val="000000"/>
                <w:sz w:val="22"/>
                <w:szCs w:val="22"/>
                <w:u w:val="none"/>
                <w:lang w:eastAsia="zh-CN"/>
              </w:rPr>
              <w:t>以违反医药价格管理政策等为手段，骗取医保基金支出</w:t>
            </w:r>
            <w:r>
              <w:rPr>
                <w:rFonts w:hint="eastAsia" w:ascii="仿宋_GB2312" w:hAnsi="仿宋_GB2312" w:eastAsia="仿宋_GB2312"/>
                <w:b w:val="0"/>
                <w:i w:val="0"/>
                <w:snapToGrid/>
                <w:color w:val="000000"/>
                <w:sz w:val="22"/>
                <w:szCs w:val="22"/>
                <w:u w:val="none"/>
                <w:lang w:val="en-US" w:eastAsia="zh-CN"/>
              </w:rPr>
              <w:t>的违法行为，予以审查，决定是否立案。</w:t>
            </w:r>
          </w:p>
          <w:p w14:paraId="1D2A4D7A">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val="en-US" w:eastAsia="zh-CN"/>
              </w:rPr>
            </w:pPr>
            <w:r>
              <w:rPr>
                <w:rFonts w:hint="eastAsia" w:ascii="仿宋_GB2312" w:hAnsi="仿宋_GB2312" w:eastAsia="仿宋_GB2312"/>
                <w:b w:val="0"/>
                <w:i w:val="0"/>
                <w:snapToGrid/>
                <w:color w:val="000000"/>
                <w:sz w:val="22"/>
                <w:szCs w:val="22"/>
                <w:u w:val="none"/>
                <w:lang w:val="en-US" w:eastAsia="zh-CN"/>
              </w:rPr>
              <w:t>2、调查责任：医疗保障部门对立案的案件，指定专人负责，及时组织调查取证，与当事人有直接利害关系的应当回避。执法人员不得少于两人，调查时应出示执法证件，允许当事人辩解陈述。执法人员应保守有关秘密。</w:t>
            </w:r>
          </w:p>
          <w:p w14:paraId="0C3683CE">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val="en-US" w:eastAsia="zh-CN"/>
              </w:rPr>
            </w:pPr>
            <w:r>
              <w:rPr>
                <w:rFonts w:hint="eastAsia" w:ascii="仿宋_GB2312" w:hAnsi="仿宋_GB2312" w:eastAsia="仿宋_GB2312"/>
                <w:b w:val="0"/>
                <w:i w:val="0"/>
                <w:snapToGrid/>
                <w:color w:val="000000"/>
                <w:sz w:val="22"/>
                <w:szCs w:val="22"/>
                <w:u w:val="none"/>
                <w:lang w:val="en-US" w:eastAsia="zh-CN"/>
              </w:rPr>
              <w:t>3、审查责任：审理案件调查报告，对案件违法事实、证据、调查取证程序、法律适用、处罚种类和幅度、当事人陈述和申辩理由等方面进行审查，提出处理意见（主要证据不足时，以适当的方式补充调查）。</w:t>
            </w:r>
          </w:p>
          <w:p w14:paraId="0CFDA369">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val="en-US" w:eastAsia="zh-CN"/>
              </w:rPr>
            </w:pPr>
            <w:r>
              <w:rPr>
                <w:rFonts w:hint="eastAsia" w:ascii="仿宋_GB2312" w:hAnsi="仿宋_GB2312" w:eastAsia="仿宋_GB2312"/>
                <w:b w:val="0"/>
                <w:i w:val="0"/>
                <w:snapToGrid/>
                <w:color w:val="000000"/>
                <w:sz w:val="22"/>
                <w:szCs w:val="22"/>
                <w:u w:val="none"/>
                <w:lang w:val="en-US" w:eastAsia="zh-CN"/>
              </w:rPr>
              <w:t>4、告知责任：作出行政处罚决定前，应制作《行政处罚告知书》送达当事人，告知违法事实及其享有的陈述、申辩等权利。符合听证规定的，制作并送达《行政处罚听证告知书》。</w:t>
            </w:r>
          </w:p>
          <w:p w14:paraId="532D9627">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val="en-US" w:eastAsia="zh-CN"/>
              </w:rPr>
            </w:pPr>
            <w:r>
              <w:rPr>
                <w:rFonts w:hint="eastAsia" w:ascii="仿宋_GB2312" w:hAnsi="仿宋_GB2312" w:eastAsia="仿宋_GB2312"/>
                <w:b w:val="0"/>
                <w:i w:val="0"/>
                <w:snapToGrid/>
                <w:color w:val="000000"/>
                <w:sz w:val="22"/>
                <w:szCs w:val="22"/>
                <w:u w:val="none"/>
                <w:lang w:val="en-US" w:eastAsia="zh-CN"/>
              </w:rPr>
              <w:t>5、决定责任：制作行政处罚决定书，载明行政处罚</w:t>
            </w:r>
            <w:r>
              <w:rPr>
                <w:rFonts w:hint="eastAsia" w:ascii="仿宋_GB2312" w:hAnsi="仿宋_GB2312"/>
                <w:b w:val="0"/>
                <w:i w:val="0"/>
                <w:snapToGrid/>
                <w:color w:val="000000"/>
                <w:sz w:val="22"/>
                <w:szCs w:val="22"/>
                <w:u w:val="none"/>
                <w:lang w:val="en-US" w:eastAsia="zh-CN"/>
              </w:rPr>
              <w:t>种类、依据、履行方式、期限、救济途径</w:t>
            </w:r>
            <w:r>
              <w:rPr>
                <w:rFonts w:hint="eastAsia" w:ascii="仿宋_GB2312" w:hAnsi="仿宋_GB2312" w:eastAsia="仿宋_GB2312"/>
                <w:b w:val="0"/>
                <w:i w:val="0"/>
                <w:snapToGrid/>
                <w:color w:val="000000"/>
                <w:sz w:val="22"/>
                <w:szCs w:val="22"/>
                <w:u w:val="none"/>
                <w:lang w:val="en-US" w:eastAsia="zh-CN"/>
              </w:rPr>
              <w:t>等内容。</w:t>
            </w:r>
          </w:p>
          <w:p w14:paraId="359B7993">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val="en-US" w:eastAsia="zh-CN"/>
              </w:rPr>
            </w:pPr>
            <w:r>
              <w:rPr>
                <w:rFonts w:hint="eastAsia" w:ascii="仿宋_GB2312" w:hAnsi="仿宋_GB2312" w:eastAsia="仿宋_GB2312"/>
                <w:b w:val="0"/>
                <w:i w:val="0"/>
                <w:snapToGrid/>
                <w:color w:val="000000"/>
                <w:sz w:val="22"/>
                <w:szCs w:val="22"/>
                <w:u w:val="none"/>
                <w:lang w:val="en-US" w:eastAsia="zh-CN"/>
              </w:rPr>
              <w:t>6、送达责任：行政处罚决定书按法律规定的方式送达当事人。</w:t>
            </w:r>
          </w:p>
          <w:p w14:paraId="6EA099AE">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val="en-US" w:eastAsia="zh-CN"/>
              </w:rPr>
            </w:pPr>
            <w:r>
              <w:rPr>
                <w:rFonts w:hint="eastAsia" w:ascii="仿宋_GB2312" w:hAnsi="仿宋_GB2312" w:eastAsia="仿宋_GB2312"/>
                <w:b w:val="0"/>
                <w:i w:val="0"/>
                <w:snapToGrid/>
                <w:color w:val="000000"/>
                <w:sz w:val="22"/>
                <w:szCs w:val="22"/>
                <w:u w:val="none"/>
                <w:lang w:val="en-US" w:eastAsia="zh-CN"/>
              </w:rPr>
              <w:t>7、执行责任：依照生效的行政处罚决定，</w:t>
            </w:r>
            <w:r>
              <w:rPr>
                <w:rFonts w:hint="eastAsia" w:ascii="仿宋_GB2312" w:hAnsi="仿宋_GB2312"/>
                <w:b w:val="0"/>
                <w:i w:val="0"/>
                <w:snapToGrid/>
                <w:color w:val="000000"/>
                <w:sz w:val="22"/>
                <w:szCs w:val="22"/>
                <w:u w:val="none"/>
                <w:lang w:val="en-US" w:eastAsia="zh-CN"/>
              </w:rPr>
              <w:t>予以处罚。</w:t>
            </w:r>
          </w:p>
          <w:p w14:paraId="41456B76">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eastAsia="仿宋_GB2312"/>
                <w:b w:val="0"/>
                <w:i w:val="0"/>
                <w:snapToGrid/>
                <w:color w:val="000000"/>
                <w:sz w:val="22"/>
                <w:szCs w:val="22"/>
                <w:u w:val="none"/>
                <w:lang w:val="en-US" w:eastAsia="zh-CN"/>
              </w:rPr>
              <w:t>8、其他法律法规规章文件规定应履行的责任。</w:t>
            </w:r>
          </w:p>
        </w:tc>
        <w:tc>
          <w:tcPr>
            <w:tcW w:w="3144" w:type="dxa"/>
            <w:vAlign w:val="center"/>
          </w:tcPr>
          <w:p w14:paraId="5FA7A2FF">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val="en-US" w:eastAsia="zh-CN"/>
              </w:rPr>
            </w:pPr>
            <w:r>
              <w:rPr>
                <w:rFonts w:hint="eastAsia" w:ascii="仿宋_GB2312" w:hAnsi="仿宋_GB2312" w:eastAsia="仿宋_GB2312"/>
                <w:b w:val="0"/>
                <w:i w:val="0"/>
                <w:snapToGrid/>
                <w:color w:val="000000"/>
                <w:sz w:val="22"/>
                <w:szCs w:val="22"/>
                <w:u w:val="none"/>
                <w:lang w:val="en-US" w:eastAsia="zh-CN"/>
              </w:rPr>
              <w:t>因不履行或不正确履行行政职责，有下列情形的，行政机关及相关工作人员应承担相应责任：</w:t>
            </w:r>
          </w:p>
          <w:p w14:paraId="6114BF3A">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val="en-US" w:eastAsia="zh-CN"/>
              </w:rPr>
            </w:pPr>
            <w:r>
              <w:rPr>
                <w:rFonts w:hint="eastAsia" w:ascii="仿宋_GB2312" w:hAnsi="仿宋_GB2312" w:eastAsia="仿宋_GB2312"/>
                <w:b w:val="0"/>
                <w:i w:val="0"/>
                <w:snapToGrid/>
                <w:color w:val="000000"/>
                <w:sz w:val="22"/>
                <w:szCs w:val="22"/>
                <w:u w:val="none"/>
                <w:lang w:val="en-US" w:eastAsia="zh-CN"/>
              </w:rPr>
              <w:t>1、没有法律和事实依据实施行政处罚的；</w:t>
            </w:r>
          </w:p>
          <w:p w14:paraId="208DD88A">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val="en-US" w:eastAsia="zh-CN"/>
              </w:rPr>
            </w:pPr>
            <w:r>
              <w:rPr>
                <w:rFonts w:hint="eastAsia" w:ascii="仿宋_GB2312" w:hAnsi="仿宋_GB2312" w:eastAsia="仿宋_GB2312"/>
                <w:b w:val="0"/>
                <w:i w:val="0"/>
                <w:snapToGrid/>
                <w:color w:val="000000"/>
                <w:sz w:val="22"/>
                <w:szCs w:val="22"/>
                <w:u w:val="none"/>
                <w:lang w:val="en-US" w:eastAsia="zh-CN"/>
              </w:rPr>
              <w:t>2、行政处罚显失公正的；</w:t>
            </w:r>
          </w:p>
          <w:p w14:paraId="673098C3">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val="en-US" w:eastAsia="zh-CN"/>
              </w:rPr>
            </w:pPr>
            <w:r>
              <w:rPr>
                <w:rFonts w:hint="eastAsia" w:ascii="仿宋_GB2312" w:hAnsi="仿宋_GB2312" w:eastAsia="仿宋_GB2312"/>
                <w:b w:val="0"/>
                <w:i w:val="0"/>
                <w:snapToGrid/>
                <w:color w:val="000000"/>
                <w:sz w:val="22"/>
                <w:szCs w:val="22"/>
                <w:u w:val="none"/>
                <w:lang w:val="en-US" w:eastAsia="zh-CN"/>
              </w:rPr>
              <w:t>3、执法人员玩忽职守，对应当予以制止和处罚的违法行为不予制止、处罚，致使医疗保障基金损失的；</w:t>
            </w:r>
          </w:p>
          <w:p w14:paraId="540C3942">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val="en-US" w:eastAsia="zh-CN"/>
              </w:rPr>
            </w:pPr>
            <w:r>
              <w:rPr>
                <w:rFonts w:hint="eastAsia" w:ascii="仿宋_GB2312" w:hAnsi="仿宋_GB2312" w:eastAsia="仿宋_GB2312"/>
                <w:b w:val="0"/>
                <w:i w:val="0"/>
                <w:snapToGrid/>
                <w:color w:val="000000"/>
                <w:sz w:val="22"/>
                <w:szCs w:val="22"/>
                <w:u w:val="none"/>
                <w:lang w:val="en-US" w:eastAsia="zh-CN"/>
              </w:rPr>
              <w:t>4、不具备行政执法资格实施行政处罚的；</w:t>
            </w:r>
          </w:p>
          <w:p w14:paraId="0E1882A0">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eastAsia="zh-CN"/>
              </w:rPr>
            </w:pPr>
            <w:r>
              <w:rPr>
                <w:rFonts w:hint="eastAsia" w:ascii="仿宋_GB2312" w:hAnsi="仿宋_GB2312" w:eastAsia="仿宋_GB2312"/>
                <w:b w:val="0"/>
                <w:i w:val="0"/>
                <w:snapToGrid/>
                <w:color w:val="000000"/>
                <w:sz w:val="22"/>
                <w:szCs w:val="22"/>
                <w:u w:val="none"/>
                <w:lang w:eastAsia="zh-CN"/>
              </w:rPr>
              <w:t>5、应当依法移送追究刑事责任，而未依法移送有权机关的；</w:t>
            </w:r>
          </w:p>
          <w:p w14:paraId="28DA4A36">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eastAsia="zh-CN"/>
              </w:rPr>
            </w:pPr>
            <w:r>
              <w:rPr>
                <w:rFonts w:hint="eastAsia" w:ascii="仿宋_GB2312" w:hAnsi="仿宋_GB2312"/>
                <w:b w:val="0"/>
                <w:i w:val="0"/>
                <w:snapToGrid/>
                <w:color w:val="000000"/>
                <w:sz w:val="22"/>
                <w:szCs w:val="22"/>
                <w:u w:val="none"/>
                <w:lang w:val="en-US" w:eastAsia="zh-CN"/>
              </w:rPr>
              <w:t>6</w:t>
            </w:r>
            <w:r>
              <w:rPr>
                <w:rFonts w:hint="eastAsia" w:ascii="仿宋_GB2312" w:hAnsi="仿宋_GB2312" w:eastAsia="仿宋_GB2312"/>
                <w:b w:val="0"/>
                <w:i w:val="0"/>
                <w:snapToGrid/>
                <w:color w:val="000000"/>
                <w:sz w:val="22"/>
                <w:szCs w:val="22"/>
                <w:u w:val="none"/>
                <w:lang w:eastAsia="zh-CN"/>
              </w:rPr>
              <w:t>、擅自改变行政处罚种类、幅度的；</w:t>
            </w:r>
          </w:p>
          <w:p w14:paraId="3C3CEEE2">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eastAsia="zh-CN"/>
              </w:rPr>
            </w:pPr>
            <w:r>
              <w:rPr>
                <w:rFonts w:hint="eastAsia" w:ascii="仿宋_GB2312" w:hAnsi="仿宋_GB2312"/>
                <w:b w:val="0"/>
                <w:i w:val="0"/>
                <w:snapToGrid/>
                <w:color w:val="000000"/>
                <w:sz w:val="22"/>
                <w:szCs w:val="22"/>
                <w:u w:val="none"/>
                <w:lang w:val="en-US" w:eastAsia="zh-CN"/>
              </w:rPr>
              <w:t>7</w:t>
            </w:r>
            <w:r>
              <w:rPr>
                <w:rFonts w:hint="eastAsia" w:ascii="仿宋_GB2312" w:hAnsi="仿宋_GB2312" w:eastAsia="仿宋_GB2312"/>
                <w:b w:val="0"/>
                <w:i w:val="0"/>
                <w:snapToGrid/>
                <w:color w:val="000000"/>
                <w:sz w:val="22"/>
                <w:szCs w:val="22"/>
                <w:u w:val="none"/>
                <w:lang w:eastAsia="zh-CN"/>
              </w:rPr>
              <w:t>、违反法定的行政处罚程序的；</w:t>
            </w:r>
          </w:p>
          <w:p w14:paraId="307131E4">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eastAsia="zh-CN"/>
              </w:rPr>
            </w:pPr>
            <w:r>
              <w:rPr>
                <w:rFonts w:hint="eastAsia" w:ascii="仿宋_GB2312" w:hAnsi="仿宋_GB2312"/>
                <w:b w:val="0"/>
                <w:i w:val="0"/>
                <w:snapToGrid/>
                <w:color w:val="000000"/>
                <w:sz w:val="22"/>
                <w:szCs w:val="22"/>
                <w:u w:val="none"/>
                <w:lang w:val="en-US" w:eastAsia="zh-CN"/>
              </w:rPr>
              <w:t>8</w:t>
            </w:r>
            <w:r>
              <w:rPr>
                <w:rFonts w:hint="eastAsia" w:ascii="仿宋_GB2312" w:hAnsi="仿宋_GB2312" w:eastAsia="仿宋_GB2312"/>
                <w:b w:val="0"/>
                <w:i w:val="0"/>
                <w:snapToGrid/>
                <w:color w:val="000000"/>
                <w:sz w:val="22"/>
                <w:szCs w:val="22"/>
                <w:u w:val="none"/>
                <w:lang w:eastAsia="zh-CN"/>
              </w:rPr>
              <w:t>、</w:t>
            </w:r>
            <w:r>
              <w:rPr>
                <w:rFonts w:hint="eastAsia" w:ascii="仿宋_GB2312" w:hAnsi="仿宋_GB2312"/>
                <w:b w:val="0"/>
                <w:i w:val="0"/>
                <w:snapToGrid/>
                <w:color w:val="000000"/>
                <w:sz w:val="22"/>
                <w:szCs w:val="22"/>
                <w:u w:val="none"/>
                <w:lang w:eastAsia="zh-CN"/>
              </w:rPr>
              <w:t>委托不符合法定条件的组织实施行政处罚的；</w:t>
            </w:r>
          </w:p>
          <w:p w14:paraId="35831769">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eastAsia="仿宋_GB2312"/>
                <w:b w:val="0"/>
                <w:i w:val="0"/>
                <w:snapToGrid/>
                <w:color w:val="000000"/>
                <w:sz w:val="22"/>
                <w:szCs w:val="22"/>
                <w:u w:val="none"/>
                <w:lang w:eastAsia="zh-CN"/>
              </w:rPr>
            </w:pPr>
            <w:r>
              <w:rPr>
                <w:rFonts w:hint="eastAsia" w:ascii="仿宋_GB2312" w:hAnsi="仿宋_GB2312"/>
                <w:b w:val="0"/>
                <w:i w:val="0"/>
                <w:snapToGrid/>
                <w:color w:val="000000"/>
                <w:sz w:val="22"/>
                <w:szCs w:val="22"/>
                <w:u w:val="none"/>
                <w:lang w:val="en-US" w:eastAsia="zh-CN"/>
              </w:rPr>
              <w:t>9</w:t>
            </w:r>
            <w:r>
              <w:rPr>
                <w:rFonts w:hint="eastAsia" w:ascii="仿宋_GB2312" w:hAnsi="仿宋_GB2312" w:eastAsia="仿宋_GB2312"/>
                <w:b w:val="0"/>
                <w:i w:val="0"/>
                <w:snapToGrid/>
                <w:color w:val="000000"/>
                <w:sz w:val="22"/>
                <w:szCs w:val="22"/>
                <w:u w:val="none"/>
                <w:lang w:eastAsia="zh-CN"/>
              </w:rPr>
              <w:t>、在行政处罚过程中发生腐败行为的；</w:t>
            </w:r>
          </w:p>
          <w:p w14:paraId="561AAB57">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eastAsia="仿宋_GB2312"/>
                <w:b w:val="0"/>
                <w:i w:val="0"/>
                <w:snapToGrid/>
                <w:color w:val="000000"/>
                <w:sz w:val="22"/>
                <w:szCs w:val="22"/>
                <w:u w:val="none"/>
                <w:lang w:eastAsia="zh-CN"/>
              </w:rPr>
              <w:t>1</w:t>
            </w:r>
            <w:r>
              <w:rPr>
                <w:rFonts w:hint="eastAsia" w:ascii="仿宋_GB2312" w:hAnsi="仿宋_GB2312"/>
                <w:b w:val="0"/>
                <w:i w:val="0"/>
                <w:snapToGrid/>
                <w:color w:val="000000"/>
                <w:sz w:val="22"/>
                <w:szCs w:val="22"/>
                <w:u w:val="none"/>
                <w:lang w:val="en-US" w:eastAsia="zh-CN"/>
              </w:rPr>
              <w:t>0</w:t>
            </w:r>
            <w:r>
              <w:rPr>
                <w:rFonts w:hint="eastAsia" w:ascii="仿宋_GB2312" w:hAnsi="仿宋_GB2312" w:eastAsia="仿宋_GB2312"/>
                <w:b w:val="0"/>
                <w:i w:val="0"/>
                <w:snapToGrid/>
                <w:color w:val="000000"/>
                <w:sz w:val="22"/>
                <w:szCs w:val="22"/>
                <w:u w:val="none"/>
                <w:lang w:eastAsia="zh-CN"/>
              </w:rPr>
              <w:t>、其他违反法律法规规章文件规定的行为。</w:t>
            </w:r>
          </w:p>
        </w:tc>
        <w:tc>
          <w:tcPr>
            <w:tcW w:w="687" w:type="dxa"/>
            <w:vAlign w:val="center"/>
          </w:tcPr>
          <w:p w14:paraId="79DCA708">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center"/>
              <w:textAlignment w:val="center"/>
              <w:outlineLvl w:val="9"/>
              <w:rPr>
                <w:rFonts w:hint="eastAsia" w:ascii="仿宋_GB2312" w:hAnsi="仿宋_GB2312" w:eastAsia="仿宋_GB2312"/>
                <w:b w:val="0"/>
                <w:i w:val="0"/>
                <w:snapToGrid/>
                <w:color w:val="000000"/>
                <w:sz w:val="22"/>
                <w:szCs w:val="22"/>
                <w:u w:val="none"/>
                <w:lang w:eastAsia="zh-CN"/>
              </w:rPr>
            </w:pPr>
          </w:p>
        </w:tc>
      </w:tr>
      <w:tr w14:paraId="09332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8" w:hRule="exact"/>
          <w:jc w:val="center"/>
        </w:trPr>
        <w:tc>
          <w:tcPr>
            <w:tcW w:w="713" w:type="dxa"/>
            <w:vAlign w:val="center"/>
          </w:tcPr>
          <w:p w14:paraId="09F818C3">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center"/>
              <w:textAlignment w:val="center"/>
              <w:outlineLvl w:val="9"/>
              <w:rPr>
                <w:rFonts w:hint="default"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7</w:t>
            </w:r>
          </w:p>
        </w:tc>
        <w:tc>
          <w:tcPr>
            <w:tcW w:w="1236" w:type="dxa"/>
            <w:vAlign w:val="center"/>
          </w:tcPr>
          <w:p w14:paraId="3CAE455F">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center"/>
              <w:textAlignment w:val="center"/>
              <w:outlineLvl w:val="9"/>
              <w:rPr>
                <w:rFonts w:hint="default" w:ascii="仿宋_GB2312" w:hAnsi="仿宋_GB2312"/>
                <w:b w:val="0"/>
                <w:i w:val="0"/>
                <w:snapToGrid/>
                <w:color w:val="000000"/>
                <w:spacing w:val="-5"/>
                <w:sz w:val="22"/>
                <w:szCs w:val="22"/>
                <w:u w:val="none"/>
                <w:lang w:val="en-US" w:eastAsia="zh-CN"/>
              </w:rPr>
            </w:pPr>
            <w:r>
              <w:rPr>
                <w:rFonts w:hint="eastAsia" w:ascii="仿宋_GB2312" w:hAnsi="仿宋_GB2312"/>
                <w:b w:val="0"/>
                <w:i w:val="0"/>
                <w:snapToGrid/>
                <w:color w:val="000000"/>
                <w:spacing w:val="-5"/>
                <w:sz w:val="22"/>
                <w:szCs w:val="22"/>
                <w:u w:val="none"/>
                <w:lang w:val="en-US" w:eastAsia="zh-CN"/>
              </w:rPr>
              <w:t>行政处罚</w:t>
            </w:r>
          </w:p>
        </w:tc>
        <w:tc>
          <w:tcPr>
            <w:tcW w:w="1176" w:type="dxa"/>
            <w:vAlign w:val="center"/>
          </w:tcPr>
          <w:p w14:paraId="34CBC84A">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b w:val="0"/>
                <w:i w:val="0"/>
                <w:snapToGrid/>
                <w:color w:val="000000"/>
                <w:sz w:val="22"/>
                <w:szCs w:val="22"/>
                <w:u w:val="none"/>
                <w:lang w:eastAsia="zh-CN"/>
              </w:rPr>
            </w:pPr>
            <w:r>
              <w:rPr>
                <w:rFonts w:hint="eastAsia" w:ascii="仿宋_GB2312" w:hAnsi="仿宋_GB2312" w:eastAsia="仿宋_GB2312"/>
                <w:b w:val="0"/>
                <w:i w:val="0"/>
                <w:snapToGrid/>
                <w:color w:val="000000"/>
                <w:sz w:val="22"/>
                <w:szCs w:val="22"/>
                <w:u w:val="none"/>
                <w:lang w:val="en-US" w:eastAsia="zh-CN"/>
              </w:rPr>
              <w:t>对将本人的基本医疗保险凭证出借给他人就医或者出借给医疗机构使用的处罚</w:t>
            </w:r>
          </w:p>
        </w:tc>
        <w:tc>
          <w:tcPr>
            <w:tcW w:w="1128" w:type="dxa"/>
            <w:vAlign w:val="center"/>
          </w:tcPr>
          <w:p w14:paraId="0D45F273">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center"/>
              <w:textAlignment w:val="center"/>
              <w:outlineLvl w:val="9"/>
              <w:rPr>
                <w:rFonts w:hint="default"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滦州市医疗保障局</w:t>
            </w:r>
          </w:p>
        </w:tc>
        <w:tc>
          <w:tcPr>
            <w:tcW w:w="3948" w:type="dxa"/>
            <w:vAlign w:val="center"/>
          </w:tcPr>
          <w:p w14:paraId="1D1AE509">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default" w:ascii="仿宋_GB2312" w:hAnsi="仿宋_GB2312" w:eastAsia="仿宋_GB2312"/>
                <w:b w:val="0"/>
                <w:i w:val="0"/>
                <w:snapToGrid/>
                <w:color w:val="000000"/>
                <w:sz w:val="22"/>
                <w:szCs w:val="22"/>
                <w:u w:val="none"/>
                <w:lang w:val="en-US" w:eastAsia="zh-CN"/>
              </w:rPr>
            </w:pPr>
            <w:r>
              <w:rPr>
                <w:rFonts w:hint="eastAsia" w:ascii="仿宋_GB2312" w:hAnsi="仿宋_GB2312" w:eastAsia="仿宋_GB2312"/>
                <w:b w:val="0"/>
                <w:i w:val="0"/>
                <w:snapToGrid/>
                <w:color w:val="000000"/>
                <w:sz w:val="22"/>
                <w:szCs w:val="22"/>
                <w:u w:val="none"/>
                <w:lang w:val="en-US" w:eastAsia="zh-CN"/>
              </w:rPr>
              <w:t>《河北省基本医疗保险服务监督管理办法》（河北省人民政府令〔2015﹞第12号）第二十六条：违反本办法第十条第三项规定的（不得将本人的医疗保险凭证出借给他人就医或者出借给医疗机构使用），由社会保险行政部门予以警告，责令改正，并可以处二百元以上五百元以下的罚款。</w:t>
            </w:r>
          </w:p>
        </w:tc>
        <w:tc>
          <w:tcPr>
            <w:tcW w:w="3744" w:type="dxa"/>
            <w:vAlign w:val="center"/>
          </w:tcPr>
          <w:p w14:paraId="7F8980B5">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1.立案责任：发现定点医药机构违反内部管理规定以及未按规定向医疗保障部门传送数据、信息或不配合监督检查等行为，予以审查，决定是否立案。</w:t>
            </w:r>
          </w:p>
          <w:p w14:paraId="3D2F927C">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2.调查责任：医疗保障部门对立案的案件，指定专人负责，及时组织调查取证，与当事人有直接利害关系的应当回避。执法人员不得少于两人，调查时应出示执法证件，允许当事人辩解陈述。执法人员应保守有关秘密。</w:t>
            </w:r>
          </w:p>
          <w:p w14:paraId="06EFBB22">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3.审查责任：审理案件调查报告，对案件违法事实、证据、调查取证程序、法律适用、处罚种类和幅度、当事人陈述和申辩理由等方面进行审查，提出处理意见（主要证据不足时，以适当的方式补充调查）。</w:t>
            </w:r>
          </w:p>
          <w:p w14:paraId="646A4BE5">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4.告知责任：作出行政处罚决定前，应制作《行政处罚告知书》送达当事人，告知违法事实及其享有的陈述、申辩等权利。符合听证规定的，制作并送达《行政处罚听证告知书》。</w:t>
            </w:r>
          </w:p>
          <w:p w14:paraId="292B5D73">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5.决定责任：制作行政处罚决定书，载明行政处罚种类、依据、履行方式、期限、救济途径等内容。</w:t>
            </w:r>
          </w:p>
          <w:p w14:paraId="2454BFF5">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6.送达责任：行政处罚决定书按法律规定的方式送达当事人。</w:t>
            </w:r>
          </w:p>
          <w:p w14:paraId="02857B36">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7.执行责任：依照生效的行政处罚决定，予以处罚。</w:t>
            </w:r>
          </w:p>
          <w:p w14:paraId="4EC15DF6">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8.其他法律法规规章文件规定应履行的责任。</w:t>
            </w:r>
          </w:p>
        </w:tc>
        <w:tc>
          <w:tcPr>
            <w:tcW w:w="3144" w:type="dxa"/>
            <w:vAlign w:val="center"/>
          </w:tcPr>
          <w:p w14:paraId="3CD3C6A9">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因不履行或不正确履行行政职责，有下列情形的，行政机关及相关工作人员应承担相应责任：</w:t>
            </w:r>
          </w:p>
          <w:p w14:paraId="107F20A1">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1.没有法律和事实依据实施行政处罚的。</w:t>
            </w:r>
          </w:p>
          <w:p w14:paraId="34240BEA">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2.行政处罚显失公正的。</w:t>
            </w:r>
          </w:p>
          <w:p w14:paraId="18CDB4E2">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3.执法人员玩忽职守，对应当予以制止和处罚的违法行为不予制止、处罚，致使医疗保障基金损失的。</w:t>
            </w:r>
          </w:p>
          <w:p w14:paraId="5C4C8CB7">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4.不具备行政执法资格实施行政处罚的。</w:t>
            </w:r>
          </w:p>
          <w:p w14:paraId="774E407F">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5.应当依法移送追究刑事责任，而未依法移送有权机关的。</w:t>
            </w:r>
          </w:p>
          <w:p w14:paraId="1A1E1E04">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6.擅自改变行政处罚种类、幅度的。</w:t>
            </w:r>
          </w:p>
          <w:p w14:paraId="26719795">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7.违反法定的行政处罚程序的。</w:t>
            </w:r>
          </w:p>
          <w:p w14:paraId="104744EC">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8.委托不符合法定条件的组织实施行政处罚的。</w:t>
            </w:r>
          </w:p>
          <w:p w14:paraId="5E0EF991">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9.在行政处罚过程中发生腐败行为的。</w:t>
            </w:r>
          </w:p>
          <w:p w14:paraId="612A506D">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10.其他违反法律法规规章文件规定的行为。</w:t>
            </w:r>
          </w:p>
        </w:tc>
        <w:tc>
          <w:tcPr>
            <w:tcW w:w="687" w:type="dxa"/>
            <w:vAlign w:val="center"/>
          </w:tcPr>
          <w:p w14:paraId="7C9E38A5">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center"/>
              <w:textAlignment w:val="center"/>
              <w:outlineLvl w:val="9"/>
              <w:rPr>
                <w:rFonts w:hint="eastAsia" w:ascii="仿宋_GB2312" w:hAnsi="仿宋_GB2312" w:eastAsia="仿宋_GB2312"/>
                <w:b w:val="0"/>
                <w:i w:val="0"/>
                <w:snapToGrid/>
                <w:color w:val="000000"/>
                <w:sz w:val="22"/>
                <w:szCs w:val="22"/>
                <w:u w:val="none"/>
                <w:lang w:eastAsia="zh-CN"/>
              </w:rPr>
            </w:pPr>
          </w:p>
        </w:tc>
      </w:tr>
      <w:tr w14:paraId="52840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8" w:hRule="exact"/>
          <w:jc w:val="center"/>
        </w:trPr>
        <w:tc>
          <w:tcPr>
            <w:tcW w:w="713" w:type="dxa"/>
            <w:vAlign w:val="center"/>
          </w:tcPr>
          <w:p w14:paraId="4DB0B1AF">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center"/>
              <w:textAlignment w:val="center"/>
              <w:outlineLvl w:val="9"/>
              <w:rPr>
                <w:rFonts w:hint="default"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8</w:t>
            </w:r>
          </w:p>
        </w:tc>
        <w:tc>
          <w:tcPr>
            <w:tcW w:w="1236" w:type="dxa"/>
            <w:vAlign w:val="center"/>
          </w:tcPr>
          <w:p w14:paraId="2F41CB49">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center"/>
              <w:textAlignment w:val="center"/>
              <w:outlineLvl w:val="9"/>
              <w:rPr>
                <w:rFonts w:hint="eastAsia" w:ascii="仿宋_GB2312" w:hAnsi="仿宋_GB2312"/>
                <w:b w:val="0"/>
                <w:i w:val="0"/>
                <w:snapToGrid/>
                <w:color w:val="000000"/>
                <w:spacing w:val="-5"/>
                <w:sz w:val="22"/>
                <w:szCs w:val="22"/>
                <w:u w:val="none"/>
                <w:lang w:eastAsia="zh-CN"/>
              </w:rPr>
            </w:pPr>
            <w:r>
              <w:rPr>
                <w:rFonts w:hint="eastAsia" w:ascii="仿宋_GB2312" w:hAnsi="仿宋_GB2312"/>
                <w:b w:val="0"/>
                <w:i w:val="0"/>
                <w:snapToGrid/>
                <w:color w:val="000000"/>
                <w:spacing w:val="-5"/>
                <w:sz w:val="22"/>
                <w:szCs w:val="22"/>
                <w:u w:val="none"/>
                <w:lang w:eastAsia="zh-CN"/>
              </w:rPr>
              <w:t>行政强制</w:t>
            </w:r>
          </w:p>
        </w:tc>
        <w:tc>
          <w:tcPr>
            <w:tcW w:w="1176" w:type="dxa"/>
            <w:vAlign w:val="center"/>
          </w:tcPr>
          <w:p w14:paraId="1B051496">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b w:val="0"/>
                <w:i w:val="0"/>
                <w:snapToGrid/>
                <w:color w:val="000000"/>
                <w:sz w:val="22"/>
                <w:szCs w:val="22"/>
                <w:u w:val="none"/>
                <w:lang w:eastAsia="zh-CN"/>
              </w:rPr>
            </w:pPr>
            <w:r>
              <w:rPr>
                <w:rFonts w:hint="eastAsia" w:ascii="仿宋_GB2312" w:hAnsi="仿宋_GB2312"/>
                <w:b w:val="0"/>
                <w:i w:val="0"/>
                <w:snapToGrid/>
                <w:color w:val="000000"/>
                <w:sz w:val="22"/>
                <w:szCs w:val="22"/>
                <w:u w:val="none"/>
                <w:lang w:eastAsia="zh-CN"/>
              </w:rPr>
              <w:t>对可能被转移、隐匿或者灭失的医疗保险基金相关资料进行封存</w:t>
            </w:r>
          </w:p>
        </w:tc>
        <w:tc>
          <w:tcPr>
            <w:tcW w:w="1128" w:type="dxa"/>
            <w:vAlign w:val="center"/>
          </w:tcPr>
          <w:p w14:paraId="5EFC0A1C">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center"/>
              <w:textAlignment w:val="center"/>
              <w:outlineLvl w:val="9"/>
              <w:rPr>
                <w:rFonts w:hint="eastAsia" w:ascii="仿宋_GB2312" w:hAnsi="仿宋_GB2312"/>
                <w:b w:val="0"/>
                <w:i w:val="0"/>
                <w:snapToGrid/>
                <w:color w:val="000000"/>
                <w:sz w:val="22"/>
                <w:szCs w:val="22"/>
                <w:u w:val="none"/>
                <w:lang w:eastAsia="zh-CN"/>
              </w:rPr>
            </w:pPr>
            <w:r>
              <w:rPr>
                <w:rFonts w:hint="eastAsia" w:ascii="仿宋_GB2312" w:hAnsi="仿宋_GB2312"/>
                <w:b w:val="0"/>
                <w:i w:val="0"/>
                <w:snapToGrid/>
                <w:color w:val="000000"/>
                <w:sz w:val="22"/>
                <w:szCs w:val="22"/>
                <w:u w:val="none"/>
                <w:lang w:val="en-US" w:eastAsia="zh-CN"/>
              </w:rPr>
              <w:t>滦州市医疗保障局</w:t>
            </w:r>
          </w:p>
        </w:tc>
        <w:tc>
          <w:tcPr>
            <w:tcW w:w="3948" w:type="dxa"/>
            <w:vAlign w:val="center"/>
          </w:tcPr>
          <w:p w14:paraId="09CAC358">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eastAsia="仿宋_GB2312"/>
                <w:b w:val="0"/>
                <w:i w:val="0"/>
                <w:snapToGrid/>
                <w:color w:val="000000"/>
                <w:sz w:val="22"/>
                <w:szCs w:val="22"/>
                <w:u w:val="none"/>
                <w:lang w:val="en-US" w:eastAsia="zh-CN"/>
              </w:rPr>
            </w:pPr>
            <w:r>
              <w:rPr>
                <w:rFonts w:hint="eastAsia" w:ascii="仿宋_GB2312" w:hAnsi="仿宋_GB2312" w:eastAsia="仿宋_GB2312"/>
                <w:b w:val="0"/>
                <w:i w:val="0"/>
                <w:snapToGrid/>
                <w:color w:val="000000"/>
                <w:sz w:val="22"/>
                <w:szCs w:val="22"/>
                <w:u w:val="none"/>
                <w:lang w:val="en-US" w:eastAsia="zh-CN"/>
              </w:rPr>
              <w:t>1.《中华人民共和国社会保险法》第七十九条：对可能被转移、隐匿或者灭失的资料予以封存</w:t>
            </w:r>
          </w:p>
          <w:p w14:paraId="185E200E">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eastAsia="仿宋_GB2312"/>
                <w:b w:val="0"/>
                <w:i w:val="0"/>
                <w:snapToGrid/>
                <w:color w:val="000000"/>
                <w:sz w:val="22"/>
                <w:szCs w:val="22"/>
                <w:u w:val="none"/>
                <w:lang w:val="en-US" w:eastAsia="zh-CN"/>
              </w:rPr>
            </w:pPr>
            <w:r>
              <w:rPr>
                <w:rFonts w:hint="eastAsia" w:ascii="仿宋_GB2312" w:hAnsi="仿宋_GB2312" w:eastAsia="仿宋_GB2312"/>
                <w:b w:val="0"/>
                <w:i w:val="0"/>
                <w:snapToGrid/>
                <w:color w:val="000000"/>
                <w:sz w:val="22"/>
                <w:szCs w:val="22"/>
                <w:u w:val="none"/>
                <w:lang w:val="en-US" w:eastAsia="zh-CN"/>
              </w:rPr>
              <w:t>2.《医疗保障基金使用监督管理条例》第二十七条：对可能被转移、隐匿或者灭失的资料等予以封存</w:t>
            </w:r>
          </w:p>
          <w:p w14:paraId="61DFFED4">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eastAsia="仿宋_GB2312"/>
                <w:b w:val="0"/>
                <w:i w:val="0"/>
                <w:snapToGrid/>
                <w:color w:val="000000"/>
                <w:sz w:val="22"/>
                <w:szCs w:val="22"/>
                <w:u w:val="none"/>
                <w:lang w:val="en-US" w:eastAsia="zh-CN"/>
              </w:rPr>
            </w:pPr>
            <w:r>
              <w:rPr>
                <w:rFonts w:hint="eastAsia" w:ascii="仿宋_GB2312" w:hAnsi="仿宋_GB2312" w:eastAsia="仿宋_GB2312"/>
                <w:b w:val="0"/>
                <w:i w:val="0"/>
                <w:snapToGrid/>
                <w:color w:val="000000"/>
                <w:sz w:val="22"/>
                <w:szCs w:val="22"/>
                <w:u w:val="none"/>
                <w:lang w:val="en-US" w:eastAsia="zh-CN"/>
              </w:rPr>
              <w:t>3.《医疗保障行政处罚程序暂行规定》第十八条：对可能被转移、隐匿或者灭失的资料等予以封存</w:t>
            </w:r>
          </w:p>
        </w:tc>
        <w:tc>
          <w:tcPr>
            <w:tcW w:w="3744" w:type="dxa"/>
            <w:vAlign w:val="center"/>
          </w:tcPr>
          <w:p w14:paraId="4C67B168">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1、决定责任:在证据可能被转移、隐匿或者灭失的情况下，经行政部门负责人报告、批准后，当场告知当事人采取行政强制措施的理由、依据以及当事人依法享有的权利、救济途径，听取当事人的陈述和申辩，并制作现场笔录。根据中止和终结执行的适用情形，做出中止或终结执行决定。情况紧急，需要当场采取行政强制措施的，执法人员应当在二十四小时内向医疗保障行政部门负责人报告，并补办批准手续。</w:t>
            </w:r>
          </w:p>
          <w:p w14:paraId="593D5F4D">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2、执行责任:由医疗保障行政主管部门实施封存，并出具封存决定书，决定书应当载明下列事项：</w:t>
            </w:r>
          </w:p>
          <w:p w14:paraId="161F9C66">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（一）当事人的姓名或者名称、地址；</w:t>
            </w:r>
          </w:p>
          <w:p w14:paraId="5C587D5F">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（二）封存的理由、依据和期限；</w:t>
            </w:r>
          </w:p>
          <w:p w14:paraId="79AC67FD">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（三）封存场所、设施或者财物的名称、数量等；</w:t>
            </w:r>
          </w:p>
          <w:p w14:paraId="5C2F47B8">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（四）申请行政复议或者提起行政诉讼的途径和期限；</w:t>
            </w:r>
          </w:p>
          <w:p w14:paraId="58D80059">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（五）医疗保障行政部门的名称、印章和日期。封存清单一式两份，由当事人和医疗保障行政部门分别保存。</w:t>
            </w:r>
          </w:p>
          <w:p w14:paraId="01D34B0F">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3、保管责任:封存的资料、设施等物品应当妥善保管，不得使用或者损毁；医疗保障行政部门可以委托第三人保管，第三人不得损毁或者擅自转移、处置。因封存发生的保管费用由医疗保障行政部门承担。封存的物品及存放封存物品的场所，应当加贴医疗保障行政部门封条，任何人不得随意动用。</w:t>
            </w:r>
          </w:p>
          <w:p w14:paraId="52C6E2A6">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4、其他法律法规规章文件规定应履行的责任。</w:t>
            </w:r>
          </w:p>
        </w:tc>
        <w:tc>
          <w:tcPr>
            <w:tcW w:w="3144" w:type="dxa"/>
            <w:vAlign w:val="center"/>
          </w:tcPr>
          <w:p w14:paraId="65FF1B00">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因不履行或不正确履行行政职责，有下列情形的，行政机关及相关工作人员应承担相应责任：</w:t>
            </w:r>
          </w:p>
          <w:p w14:paraId="662DEADD">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1、对不符合条件的实施行政强制措施的；</w:t>
            </w:r>
          </w:p>
          <w:p w14:paraId="0DEC7C64">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2、因违法实施行政强制措施，给行政相对人造成损失的；</w:t>
            </w:r>
          </w:p>
          <w:p w14:paraId="7383B0C2">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3、未依法实施</w:t>
            </w:r>
            <w:r>
              <w:rPr>
                <w:rFonts w:hint="eastAsia" w:ascii="仿宋_GB2312" w:hAnsi="仿宋_GB2312"/>
                <w:b w:val="0"/>
                <w:i w:val="0"/>
                <w:snapToGrid/>
                <w:color w:val="000000"/>
                <w:sz w:val="22"/>
                <w:szCs w:val="22"/>
                <w:u w:val="none"/>
                <w:lang w:eastAsia="zh-CN"/>
              </w:rPr>
              <w:t>封存</w:t>
            </w:r>
            <w:r>
              <w:rPr>
                <w:rFonts w:hint="eastAsia" w:ascii="仿宋_GB2312" w:hAnsi="仿宋_GB2312"/>
                <w:b w:val="0"/>
                <w:i w:val="0"/>
                <w:snapToGrid/>
                <w:color w:val="000000"/>
                <w:sz w:val="22"/>
                <w:szCs w:val="22"/>
                <w:u w:val="none"/>
                <w:lang w:val="en-US" w:eastAsia="zh-CN"/>
              </w:rPr>
              <w:t>造成社会保险基金收支、管理和投资运营相关的资料灭失；</w:t>
            </w:r>
          </w:p>
          <w:p w14:paraId="3DA1232B">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4、违反法定权限、程序实施行政强制的；</w:t>
            </w:r>
          </w:p>
          <w:p w14:paraId="369BE8B2">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5、在实施强制执行措施中玩忽职守、滥用职权的；</w:t>
            </w:r>
          </w:p>
          <w:p w14:paraId="0F394500">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6、在行使行政强制权过程中发生腐败行为的；</w:t>
            </w:r>
          </w:p>
          <w:p w14:paraId="07217B9F">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7、其他违反法律法规规章文件规定的行为。</w:t>
            </w:r>
          </w:p>
        </w:tc>
        <w:tc>
          <w:tcPr>
            <w:tcW w:w="687" w:type="dxa"/>
            <w:vAlign w:val="center"/>
          </w:tcPr>
          <w:p w14:paraId="3580FD5B">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center"/>
              <w:textAlignment w:val="center"/>
              <w:outlineLvl w:val="9"/>
              <w:rPr>
                <w:rFonts w:hint="eastAsia" w:ascii="仿宋_GB2312" w:hAnsi="仿宋_GB2312" w:eastAsia="仿宋_GB2312"/>
                <w:b w:val="0"/>
                <w:i w:val="0"/>
                <w:snapToGrid/>
                <w:color w:val="000000"/>
                <w:sz w:val="22"/>
                <w:szCs w:val="22"/>
                <w:u w:val="none"/>
                <w:lang w:eastAsia="zh-CN"/>
              </w:rPr>
            </w:pPr>
          </w:p>
        </w:tc>
      </w:tr>
      <w:tr w14:paraId="2A86E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47" w:hRule="exact"/>
          <w:jc w:val="center"/>
        </w:trPr>
        <w:tc>
          <w:tcPr>
            <w:tcW w:w="713" w:type="dxa"/>
            <w:vAlign w:val="center"/>
          </w:tcPr>
          <w:p w14:paraId="57169357">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center"/>
              <w:textAlignment w:val="center"/>
              <w:outlineLvl w:val="9"/>
              <w:rPr>
                <w:rFonts w:hint="default"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9</w:t>
            </w:r>
          </w:p>
        </w:tc>
        <w:tc>
          <w:tcPr>
            <w:tcW w:w="1236" w:type="dxa"/>
            <w:vAlign w:val="center"/>
          </w:tcPr>
          <w:p w14:paraId="76ACE8E2">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center"/>
              <w:textAlignment w:val="center"/>
              <w:outlineLvl w:val="9"/>
              <w:rPr>
                <w:rFonts w:hint="eastAsia" w:ascii="仿宋_GB2312" w:hAnsi="仿宋_GB2312"/>
                <w:b w:val="0"/>
                <w:i w:val="0"/>
                <w:snapToGrid/>
                <w:color w:val="000000"/>
                <w:spacing w:val="-5"/>
                <w:sz w:val="22"/>
                <w:szCs w:val="22"/>
                <w:u w:val="none"/>
                <w:lang w:eastAsia="zh-CN"/>
              </w:rPr>
            </w:pPr>
            <w:r>
              <w:rPr>
                <w:rFonts w:hint="eastAsia" w:ascii="仿宋_GB2312" w:hAnsi="仿宋_GB2312"/>
                <w:b w:val="0"/>
                <w:i w:val="0"/>
                <w:snapToGrid/>
                <w:color w:val="000000"/>
                <w:spacing w:val="-5"/>
                <w:sz w:val="22"/>
                <w:szCs w:val="22"/>
                <w:u w:val="none"/>
                <w:lang w:eastAsia="zh-CN"/>
              </w:rPr>
              <w:t>行政检查</w:t>
            </w:r>
          </w:p>
        </w:tc>
        <w:tc>
          <w:tcPr>
            <w:tcW w:w="1176" w:type="dxa"/>
            <w:vAlign w:val="center"/>
          </w:tcPr>
          <w:p w14:paraId="48BB3B23">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b w:val="0"/>
                <w:i w:val="0"/>
                <w:snapToGrid/>
                <w:color w:val="000000"/>
                <w:sz w:val="22"/>
                <w:szCs w:val="22"/>
                <w:u w:val="none"/>
                <w:lang w:eastAsia="zh-CN"/>
              </w:rPr>
            </w:pPr>
            <w:r>
              <w:rPr>
                <w:rFonts w:hint="eastAsia" w:ascii="仿宋_GB2312" w:hAnsi="仿宋_GB2312"/>
                <w:b w:val="0"/>
                <w:i w:val="0"/>
                <w:snapToGrid/>
                <w:color w:val="000000"/>
                <w:sz w:val="22"/>
                <w:szCs w:val="22"/>
                <w:u w:val="none"/>
                <w:lang w:eastAsia="zh-CN"/>
              </w:rPr>
              <w:t>对用人单位和个人遵守医疗保</w:t>
            </w:r>
            <w:r>
              <w:rPr>
                <w:rFonts w:hint="eastAsia" w:ascii="仿宋_GB2312" w:hAnsi="仿宋_GB2312"/>
                <w:b w:val="0"/>
                <w:i w:val="0"/>
                <w:snapToGrid/>
                <w:color w:val="000000"/>
                <w:sz w:val="22"/>
                <w:szCs w:val="22"/>
                <w:u w:val="none"/>
                <w:lang w:val="en-US" w:eastAsia="zh-CN"/>
              </w:rPr>
              <w:t>障</w:t>
            </w:r>
            <w:r>
              <w:rPr>
                <w:rFonts w:hint="eastAsia" w:ascii="仿宋_GB2312" w:hAnsi="仿宋_GB2312"/>
                <w:b w:val="0"/>
                <w:i w:val="0"/>
                <w:snapToGrid/>
                <w:color w:val="000000"/>
                <w:sz w:val="22"/>
                <w:szCs w:val="22"/>
                <w:u w:val="none"/>
                <w:lang w:eastAsia="zh-CN"/>
              </w:rPr>
              <w:t>法律、法规情况</w:t>
            </w:r>
            <w:r>
              <w:rPr>
                <w:rFonts w:hint="eastAsia" w:ascii="仿宋_GB2312" w:hAnsi="仿宋_GB2312"/>
                <w:b w:val="0"/>
                <w:i w:val="0"/>
                <w:snapToGrid/>
                <w:color w:val="000000"/>
                <w:sz w:val="22"/>
                <w:szCs w:val="22"/>
                <w:u w:val="none"/>
                <w:lang w:val="en-US" w:eastAsia="zh-CN"/>
              </w:rPr>
              <w:t>的</w:t>
            </w:r>
            <w:r>
              <w:rPr>
                <w:rFonts w:hint="eastAsia" w:ascii="仿宋_GB2312" w:hAnsi="仿宋_GB2312"/>
                <w:b w:val="0"/>
                <w:i w:val="0"/>
                <w:snapToGrid/>
                <w:color w:val="000000"/>
                <w:sz w:val="22"/>
                <w:szCs w:val="22"/>
                <w:u w:val="none"/>
                <w:lang w:eastAsia="zh-CN"/>
              </w:rPr>
              <w:t>监督检查</w:t>
            </w:r>
          </w:p>
        </w:tc>
        <w:tc>
          <w:tcPr>
            <w:tcW w:w="1128" w:type="dxa"/>
            <w:vAlign w:val="center"/>
          </w:tcPr>
          <w:p w14:paraId="32336B9A">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center"/>
              <w:textAlignment w:val="center"/>
              <w:outlineLvl w:val="9"/>
              <w:rPr>
                <w:rFonts w:hint="eastAsia" w:ascii="仿宋_GB2312" w:hAnsi="仿宋_GB2312"/>
                <w:b w:val="0"/>
                <w:i w:val="0"/>
                <w:snapToGrid/>
                <w:color w:val="000000"/>
                <w:sz w:val="22"/>
                <w:szCs w:val="22"/>
                <w:u w:val="none"/>
                <w:lang w:eastAsia="zh-CN"/>
              </w:rPr>
            </w:pPr>
            <w:r>
              <w:rPr>
                <w:rFonts w:hint="eastAsia" w:ascii="仿宋_GB2312" w:hAnsi="仿宋_GB2312"/>
                <w:b w:val="0"/>
                <w:i w:val="0"/>
                <w:snapToGrid/>
                <w:color w:val="000000"/>
                <w:sz w:val="22"/>
                <w:szCs w:val="22"/>
                <w:u w:val="none"/>
                <w:lang w:val="en-US" w:eastAsia="zh-CN"/>
              </w:rPr>
              <w:t>滦州市医疗保障局</w:t>
            </w:r>
          </w:p>
        </w:tc>
        <w:tc>
          <w:tcPr>
            <w:tcW w:w="3948" w:type="dxa"/>
            <w:vAlign w:val="center"/>
          </w:tcPr>
          <w:p w14:paraId="0B266121">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eastAsia="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《中华人民共和国社会保险法》第七十七条：县级以上人民政府社会保险行政部门应当加强对用人单位和个人遵守社会保险法律、法规情况的监督检查。</w:t>
            </w:r>
          </w:p>
        </w:tc>
        <w:tc>
          <w:tcPr>
            <w:tcW w:w="3744" w:type="dxa"/>
            <w:vAlign w:val="center"/>
          </w:tcPr>
          <w:p w14:paraId="24EBB322">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eastAsia="zh-CN"/>
              </w:rPr>
            </w:pPr>
            <w:r>
              <w:rPr>
                <w:rFonts w:hint="eastAsia" w:ascii="仿宋_GB2312" w:hAnsi="仿宋_GB2312"/>
                <w:b w:val="0"/>
                <w:i w:val="0"/>
                <w:snapToGrid/>
                <w:color w:val="000000"/>
                <w:sz w:val="22"/>
                <w:szCs w:val="22"/>
                <w:u w:val="none"/>
                <w:lang w:val="en-US" w:eastAsia="zh-CN"/>
              </w:rPr>
              <w:t>1、检查责任：</w:t>
            </w:r>
            <w:r>
              <w:rPr>
                <w:rFonts w:hint="eastAsia" w:ascii="仿宋_GB2312" w:hAnsi="仿宋_GB2312"/>
                <w:b w:val="0"/>
                <w:i w:val="0"/>
                <w:snapToGrid/>
                <w:color w:val="000000"/>
                <w:sz w:val="22"/>
                <w:szCs w:val="22"/>
                <w:u w:val="none"/>
                <w:lang w:eastAsia="zh-CN"/>
              </w:rPr>
              <w:t>对用人单位和个人遵守医疗保险法律、法规情况进行监督检查；</w:t>
            </w:r>
          </w:p>
          <w:p w14:paraId="5EE70D0A">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2、处置责任：对监督检查发现的问题，责令限期整改、依法实施处罚；</w:t>
            </w:r>
          </w:p>
          <w:p w14:paraId="5E822878">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3、移送责任：及时予以公告，对构成违法犯罪的移送司法机关；</w:t>
            </w:r>
          </w:p>
          <w:p w14:paraId="6E8F5A99">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4、事后管理责任：对监督检查发现问题的整改情况组织进行核查；</w:t>
            </w:r>
          </w:p>
          <w:p w14:paraId="55F27C0A">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5、其他责任：法律法规规章等规定应履行的责任。</w:t>
            </w:r>
          </w:p>
        </w:tc>
        <w:tc>
          <w:tcPr>
            <w:tcW w:w="3144" w:type="dxa"/>
            <w:vAlign w:val="center"/>
          </w:tcPr>
          <w:p w14:paraId="5649E564">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因不履行或不正确履行行政职责，有下列情形的，行政机关及相关工作人员应承担相应责任：</w:t>
            </w:r>
          </w:p>
          <w:p w14:paraId="0AC17E5C">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1、不对本辖区内用人单位和个人遵守医疗保险法律、法规情况进行监督检查；</w:t>
            </w:r>
          </w:p>
          <w:p w14:paraId="03C98C4A">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2、对在检查中发现的问题，不责令限期整改、不依法实施处罚。</w:t>
            </w:r>
          </w:p>
          <w:p w14:paraId="2D4D0E62">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3、不及时予以公告，对构成违法犯罪的不移交司法机关；</w:t>
            </w:r>
          </w:p>
          <w:p w14:paraId="3A16EEF8">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4、其他违反法律法规规章文件规定的行为。</w:t>
            </w:r>
          </w:p>
        </w:tc>
        <w:tc>
          <w:tcPr>
            <w:tcW w:w="687" w:type="dxa"/>
            <w:vAlign w:val="center"/>
          </w:tcPr>
          <w:p w14:paraId="4F7BF84E">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center"/>
              <w:textAlignment w:val="center"/>
              <w:outlineLvl w:val="9"/>
              <w:rPr>
                <w:rFonts w:hint="eastAsia" w:ascii="仿宋_GB2312" w:hAnsi="仿宋_GB2312" w:eastAsia="仿宋_GB2312"/>
                <w:b w:val="0"/>
                <w:i w:val="0"/>
                <w:snapToGrid/>
                <w:color w:val="000000"/>
                <w:sz w:val="22"/>
                <w:szCs w:val="22"/>
                <w:u w:val="none"/>
                <w:lang w:eastAsia="zh-CN"/>
              </w:rPr>
            </w:pPr>
          </w:p>
        </w:tc>
      </w:tr>
      <w:tr w14:paraId="3FE20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9" w:hRule="exact"/>
          <w:jc w:val="center"/>
        </w:trPr>
        <w:tc>
          <w:tcPr>
            <w:tcW w:w="713" w:type="dxa"/>
            <w:vAlign w:val="center"/>
          </w:tcPr>
          <w:p w14:paraId="2B83127B">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center"/>
              <w:textAlignment w:val="center"/>
              <w:outlineLvl w:val="9"/>
              <w:rPr>
                <w:rFonts w:hint="default"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10</w:t>
            </w:r>
          </w:p>
        </w:tc>
        <w:tc>
          <w:tcPr>
            <w:tcW w:w="1236" w:type="dxa"/>
            <w:vAlign w:val="center"/>
          </w:tcPr>
          <w:p w14:paraId="75BC9142">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center"/>
              <w:textAlignment w:val="center"/>
              <w:outlineLvl w:val="9"/>
              <w:rPr>
                <w:rFonts w:hint="eastAsia" w:ascii="仿宋_GB2312" w:hAnsi="仿宋_GB2312"/>
                <w:b w:val="0"/>
                <w:i w:val="0"/>
                <w:snapToGrid/>
                <w:color w:val="000000"/>
                <w:spacing w:val="-5"/>
                <w:sz w:val="22"/>
                <w:szCs w:val="22"/>
                <w:u w:val="none"/>
                <w:lang w:eastAsia="zh-CN"/>
              </w:rPr>
            </w:pPr>
            <w:r>
              <w:rPr>
                <w:rFonts w:hint="eastAsia" w:ascii="仿宋_GB2312" w:hAnsi="仿宋_GB2312"/>
                <w:b w:val="0"/>
                <w:i w:val="0"/>
                <w:snapToGrid/>
                <w:color w:val="000000"/>
                <w:spacing w:val="-5"/>
                <w:sz w:val="22"/>
                <w:szCs w:val="22"/>
                <w:u w:val="none"/>
                <w:lang w:eastAsia="zh-CN"/>
              </w:rPr>
              <w:t>行政检查</w:t>
            </w:r>
          </w:p>
        </w:tc>
        <w:tc>
          <w:tcPr>
            <w:tcW w:w="1176" w:type="dxa"/>
            <w:vAlign w:val="center"/>
          </w:tcPr>
          <w:p w14:paraId="5EE501D2">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b w:val="0"/>
                <w:i w:val="0"/>
                <w:snapToGrid/>
                <w:color w:val="000000"/>
                <w:sz w:val="22"/>
                <w:szCs w:val="22"/>
                <w:u w:val="none"/>
                <w:lang w:eastAsia="zh-CN"/>
              </w:rPr>
            </w:pPr>
            <w:r>
              <w:rPr>
                <w:rFonts w:hint="eastAsia" w:ascii="仿宋_GB2312" w:hAnsi="仿宋_GB2312"/>
                <w:b w:val="0"/>
                <w:i w:val="0"/>
                <w:snapToGrid/>
                <w:color w:val="000000"/>
                <w:sz w:val="22"/>
                <w:szCs w:val="22"/>
                <w:u w:val="none"/>
                <w:lang w:eastAsia="zh-CN"/>
              </w:rPr>
              <w:t>对纳入医疗保障基金支付范围的医疗服务行为和医疗费用的监督</w:t>
            </w:r>
          </w:p>
        </w:tc>
        <w:tc>
          <w:tcPr>
            <w:tcW w:w="1128" w:type="dxa"/>
            <w:vAlign w:val="center"/>
          </w:tcPr>
          <w:p w14:paraId="38BB1DD8">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center"/>
              <w:textAlignment w:val="center"/>
              <w:outlineLvl w:val="9"/>
              <w:rPr>
                <w:rFonts w:hint="eastAsia" w:ascii="仿宋_GB2312" w:hAnsi="仿宋_GB2312"/>
                <w:b w:val="0"/>
                <w:i w:val="0"/>
                <w:snapToGrid/>
                <w:color w:val="000000"/>
                <w:sz w:val="22"/>
                <w:szCs w:val="22"/>
                <w:u w:val="none"/>
                <w:lang w:eastAsia="zh-CN"/>
              </w:rPr>
            </w:pPr>
            <w:r>
              <w:rPr>
                <w:rFonts w:hint="eastAsia" w:ascii="仿宋_GB2312" w:hAnsi="仿宋_GB2312"/>
                <w:b w:val="0"/>
                <w:i w:val="0"/>
                <w:snapToGrid/>
                <w:color w:val="000000"/>
                <w:sz w:val="22"/>
                <w:szCs w:val="22"/>
                <w:u w:val="none"/>
                <w:lang w:val="en-US" w:eastAsia="zh-CN"/>
              </w:rPr>
              <w:t>滦州市医疗保障局</w:t>
            </w:r>
          </w:p>
        </w:tc>
        <w:tc>
          <w:tcPr>
            <w:tcW w:w="3948" w:type="dxa"/>
            <w:vAlign w:val="center"/>
          </w:tcPr>
          <w:p w14:paraId="5579F1DF">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eastAsia="仿宋_GB2312"/>
                <w:b w:val="0"/>
                <w:i w:val="0"/>
                <w:snapToGrid/>
                <w:color w:val="000000"/>
                <w:sz w:val="22"/>
                <w:szCs w:val="22"/>
                <w:u w:val="none"/>
                <w:lang w:val="en-US" w:eastAsia="zh-CN"/>
              </w:rPr>
            </w:pPr>
            <w:r>
              <w:rPr>
                <w:rFonts w:hint="eastAsia" w:ascii="仿宋_GB2312" w:hAnsi="仿宋_GB2312" w:eastAsia="仿宋_GB2312"/>
                <w:b w:val="0"/>
                <w:i w:val="0"/>
                <w:snapToGrid/>
                <w:color w:val="000000"/>
                <w:sz w:val="22"/>
                <w:szCs w:val="22"/>
                <w:u w:val="none"/>
                <w:lang w:val="en-US" w:eastAsia="zh-CN"/>
              </w:rPr>
              <w:t>1.《中华人民共和国基本医疗卫生与健康促进法》第八十七条：县级以上人民政府医疗保障主管部门应当提高医疗保障监管能力和水平，对纳入基本医疗保险基金支付范围的医疗服务行为和医疗费用加强监督管理。</w:t>
            </w:r>
          </w:p>
          <w:p w14:paraId="77E6B37B">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eastAsia="仿宋_GB2312"/>
                <w:b w:val="0"/>
                <w:i w:val="0"/>
                <w:snapToGrid/>
                <w:color w:val="000000"/>
                <w:sz w:val="22"/>
                <w:szCs w:val="22"/>
                <w:u w:val="none"/>
                <w:lang w:val="en-US" w:eastAsia="zh-CN"/>
              </w:rPr>
              <w:t>2.《医疗保障基金使用监督管理条例》第二十二条：医疗保障行政部门应当加强对纳入医疗保障基金支付范围的医疗服务行为和医疗费用的监督。</w:t>
            </w:r>
          </w:p>
        </w:tc>
        <w:tc>
          <w:tcPr>
            <w:tcW w:w="3744" w:type="dxa"/>
            <w:vAlign w:val="center"/>
          </w:tcPr>
          <w:p w14:paraId="57908CDB">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eastAsia="zh-CN"/>
              </w:rPr>
            </w:pPr>
            <w:r>
              <w:rPr>
                <w:rFonts w:hint="eastAsia" w:ascii="仿宋_GB2312" w:hAnsi="仿宋_GB2312"/>
                <w:b w:val="0"/>
                <w:i w:val="0"/>
                <w:snapToGrid/>
                <w:color w:val="000000"/>
                <w:sz w:val="22"/>
                <w:szCs w:val="22"/>
                <w:u w:val="none"/>
                <w:lang w:val="en-US" w:eastAsia="zh-CN"/>
              </w:rPr>
              <w:t>1、检查责任：对纳入基本医疗保险基金支付范围的医疗服务行为和医疗费用进行监督管理</w:t>
            </w:r>
            <w:r>
              <w:rPr>
                <w:rFonts w:hint="eastAsia" w:ascii="仿宋_GB2312" w:hAnsi="仿宋_GB2312"/>
                <w:b w:val="0"/>
                <w:i w:val="0"/>
                <w:snapToGrid/>
                <w:color w:val="000000"/>
                <w:sz w:val="22"/>
                <w:szCs w:val="22"/>
                <w:u w:val="none"/>
                <w:lang w:eastAsia="zh-CN"/>
              </w:rPr>
              <w:t>；</w:t>
            </w:r>
          </w:p>
          <w:p w14:paraId="09F5C172">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2、处置责任：对监督检查发现的问题，责令限期整改、依法实施处罚；</w:t>
            </w:r>
          </w:p>
          <w:p w14:paraId="1A55EABB">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3、移送责任：及时予以公告，对构成违法犯罪的移送司法机关；</w:t>
            </w:r>
          </w:p>
          <w:p w14:paraId="6EE70FD0">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4、事后管理责任：对监督检查发现问题的整改情况组织进行核查；</w:t>
            </w:r>
          </w:p>
          <w:p w14:paraId="14E07987">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5、其他责任：法律法规规章等规定应履行的责任。</w:t>
            </w:r>
          </w:p>
        </w:tc>
        <w:tc>
          <w:tcPr>
            <w:tcW w:w="3144" w:type="dxa"/>
            <w:vAlign w:val="center"/>
          </w:tcPr>
          <w:p w14:paraId="40B57473">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因不履行或不正确履行行政职责，有下列情形的，行政机关及相关工作人员应承担相应责任：</w:t>
            </w:r>
          </w:p>
          <w:p w14:paraId="077408AF">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1、不对本辖区内纳入基本医疗保险基金支付范围的医疗服务行为和医疗费用进行监督管理；</w:t>
            </w:r>
          </w:p>
          <w:p w14:paraId="1355DBA6">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2、对在检查中发现的问题，不责令限期整改、不依法实施处罚。</w:t>
            </w:r>
          </w:p>
          <w:p w14:paraId="70D1D58E">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3、不及时予以公告，对构成违法犯罪的不移交司法机关；</w:t>
            </w:r>
          </w:p>
          <w:p w14:paraId="0B78E033">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4、其他违反法律法规规章文件规定的行为。</w:t>
            </w:r>
          </w:p>
        </w:tc>
        <w:tc>
          <w:tcPr>
            <w:tcW w:w="687" w:type="dxa"/>
            <w:vAlign w:val="center"/>
          </w:tcPr>
          <w:p w14:paraId="5F90291A">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center"/>
              <w:textAlignment w:val="center"/>
              <w:outlineLvl w:val="9"/>
              <w:rPr>
                <w:rFonts w:hint="eastAsia" w:ascii="仿宋_GB2312" w:hAnsi="仿宋_GB2312" w:eastAsia="仿宋_GB2312"/>
                <w:b w:val="0"/>
                <w:i w:val="0"/>
                <w:snapToGrid/>
                <w:color w:val="000000"/>
                <w:sz w:val="22"/>
                <w:szCs w:val="22"/>
                <w:u w:val="none"/>
                <w:lang w:eastAsia="zh-CN"/>
              </w:rPr>
            </w:pPr>
          </w:p>
        </w:tc>
      </w:tr>
      <w:tr w14:paraId="09CB1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7" w:hRule="exact"/>
          <w:jc w:val="center"/>
        </w:trPr>
        <w:tc>
          <w:tcPr>
            <w:tcW w:w="713" w:type="dxa"/>
            <w:vAlign w:val="center"/>
          </w:tcPr>
          <w:p w14:paraId="39D65812">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center"/>
              <w:textAlignment w:val="center"/>
              <w:outlineLvl w:val="9"/>
              <w:rPr>
                <w:rFonts w:hint="default"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11</w:t>
            </w:r>
          </w:p>
        </w:tc>
        <w:tc>
          <w:tcPr>
            <w:tcW w:w="1236" w:type="dxa"/>
            <w:vAlign w:val="center"/>
          </w:tcPr>
          <w:p w14:paraId="694F2ACF">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center"/>
              <w:textAlignment w:val="center"/>
              <w:outlineLvl w:val="9"/>
              <w:rPr>
                <w:rFonts w:hint="eastAsia" w:ascii="仿宋_GB2312" w:hAnsi="仿宋_GB2312"/>
                <w:b w:val="0"/>
                <w:i w:val="0"/>
                <w:snapToGrid/>
                <w:color w:val="000000"/>
                <w:spacing w:val="-5"/>
                <w:sz w:val="22"/>
                <w:szCs w:val="22"/>
                <w:u w:val="none"/>
                <w:lang w:eastAsia="zh-CN"/>
              </w:rPr>
            </w:pPr>
            <w:r>
              <w:rPr>
                <w:rFonts w:hint="eastAsia" w:ascii="仿宋_GB2312" w:hAnsi="仿宋_GB2312"/>
                <w:b w:val="0"/>
                <w:i w:val="0"/>
                <w:snapToGrid/>
                <w:color w:val="000000"/>
                <w:spacing w:val="-5"/>
                <w:sz w:val="22"/>
                <w:szCs w:val="22"/>
                <w:u w:val="none"/>
                <w:lang w:eastAsia="zh-CN"/>
              </w:rPr>
              <w:t>行政检查</w:t>
            </w:r>
          </w:p>
        </w:tc>
        <w:tc>
          <w:tcPr>
            <w:tcW w:w="1176" w:type="dxa"/>
            <w:vAlign w:val="center"/>
          </w:tcPr>
          <w:p w14:paraId="4C10286F">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b w:val="0"/>
                <w:i w:val="0"/>
                <w:snapToGrid/>
                <w:color w:val="000000"/>
                <w:sz w:val="22"/>
                <w:szCs w:val="22"/>
                <w:u w:val="none"/>
                <w:lang w:eastAsia="zh-CN"/>
              </w:rPr>
            </w:pPr>
            <w:r>
              <w:rPr>
                <w:rFonts w:hint="eastAsia" w:ascii="仿宋_GB2312" w:hAnsi="仿宋_GB2312"/>
                <w:b w:val="0"/>
                <w:i w:val="0"/>
                <w:snapToGrid/>
                <w:color w:val="000000"/>
                <w:sz w:val="22"/>
                <w:szCs w:val="22"/>
                <w:u w:val="none"/>
                <w:lang w:eastAsia="zh-CN"/>
              </w:rPr>
              <w:t>对医疗救助的监督检查</w:t>
            </w:r>
          </w:p>
        </w:tc>
        <w:tc>
          <w:tcPr>
            <w:tcW w:w="1128" w:type="dxa"/>
            <w:vAlign w:val="center"/>
          </w:tcPr>
          <w:p w14:paraId="07504CEE">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center"/>
              <w:textAlignment w:val="center"/>
              <w:outlineLvl w:val="9"/>
              <w:rPr>
                <w:rFonts w:hint="eastAsia" w:ascii="仿宋_GB2312" w:hAnsi="仿宋_GB2312"/>
                <w:b w:val="0"/>
                <w:i w:val="0"/>
                <w:snapToGrid/>
                <w:color w:val="000000"/>
                <w:sz w:val="22"/>
                <w:szCs w:val="22"/>
                <w:u w:val="none"/>
                <w:lang w:eastAsia="zh-CN"/>
              </w:rPr>
            </w:pPr>
            <w:r>
              <w:rPr>
                <w:rFonts w:hint="eastAsia" w:ascii="仿宋_GB2312" w:hAnsi="仿宋_GB2312"/>
                <w:b w:val="0"/>
                <w:i w:val="0"/>
                <w:snapToGrid/>
                <w:color w:val="000000"/>
                <w:sz w:val="22"/>
                <w:szCs w:val="22"/>
                <w:u w:val="none"/>
                <w:lang w:val="en-US" w:eastAsia="zh-CN"/>
              </w:rPr>
              <w:t>滦州市医疗保障局</w:t>
            </w:r>
          </w:p>
        </w:tc>
        <w:tc>
          <w:tcPr>
            <w:tcW w:w="3948" w:type="dxa"/>
            <w:vAlign w:val="center"/>
          </w:tcPr>
          <w:p w14:paraId="315F1A8A">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eastAsia="仿宋_GB2312"/>
                <w:b w:val="0"/>
                <w:i w:val="0"/>
                <w:snapToGrid/>
                <w:color w:val="000000"/>
                <w:sz w:val="22"/>
                <w:szCs w:val="22"/>
                <w:u w:val="none"/>
                <w:lang w:val="en-US" w:eastAsia="zh-CN"/>
              </w:rPr>
            </w:pPr>
            <w:r>
              <w:rPr>
                <w:rFonts w:hint="eastAsia" w:ascii="仿宋_GB2312" w:hAnsi="仿宋_GB2312" w:eastAsia="仿宋_GB2312"/>
                <w:b w:val="0"/>
                <w:i w:val="0"/>
                <w:snapToGrid/>
                <w:color w:val="000000"/>
                <w:sz w:val="22"/>
                <w:szCs w:val="22"/>
                <w:u w:val="none"/>
                <w:lang w:val="en-US" w:eastAsia="zh-CN"/>
              </w:rPr>
              <w:t>《社会救助暂行办法》第五十七条：县级以上人民政府及其社会救助管理部门应当加强对社会救助工作的监督检查。</w:t>
            </w:r>
          </w:p>
        </w:tc>
        <w:tc>
          <w:tcPr>
            <w:tcW w:w="3744" w:type="dxa"/>
            <w:vAlign w:val="center"/>
          </w:tcPr>
          <w:p w14:paraId="6F0EA32F">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eastAsia="zh-CN"/>
              </w:rPr>
            </w:pPr>
            <w:r>
              <w:rPr>
                <w:rFonts w:hint="eastAsia" w:ascii="仿宋_GB2312" w:hAnsi="仿宋_GB2312"/>
                <w:b w:val="0"/>
                <w:i w:val="0"/>
                <w:snapToGrid/>
                <w:color w:val="000000"/>
                <w:sz w:val="22"/>
                <w:szCs w:val="22"/>
                <w:u w:val="none"/>
                <w:lang w:val="en-US" w:eastAsia="zh-CN"/>
              </w:rPr>
              <w:t>1、检查责任：</w:t>
            </w:r>
            <w:r>
              <w:rPr>
                <w:rFonts w:hint="eastAsia" w:ascii="仿宋_GB2312" w:hAnsi="仿宋_GB2312"/>
                <w:b w:val="0"/>
                <w:i w:val="0"/>
                <w:snapToGrid/>
                <w:color w:val="000000"/>
                <w:sz w:val="22"/>
                <w:szCs w:val="22"/>
                <w:u w:val="none"/>
                <w:lang w:eastAsia="zh-CN"/>
              </w:rPr>
              <w:t>对医疗救助的监督检查；</w:t>
            </w:r>
          </w:p>
          <w:p w14:paraId="2AFCDE26">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2、处置责任：对监督检查发现的问题，责令限期整改、依法实施处罚；</w:t>
            </w:r>
          </w:p>
          <w:p w14:paraId="2076C6D6">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3、移送责任：及时予以公告，对构成违法犯罪的移送司法机关；</w:t>
            </w:r>
          </w:p>
          <w:p w14:paraId="2C1582AA">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4、事后管理责任：对监督检查发现问题的整改情况组织进行核查；</w:t>
            </w:r>
          </w:p>
          <w:p w14:paraId="15AC98E0">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eastAsia="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5、其他责任：法律法规规章等规定应履行的责任。</w:t>
            </w:r>
          </w:p>
        </w:tc>
        <w:tc>
          <w:tcPr>
            <w:tcW w:w="3144" w:type="dxa"/>
            <w:vAlign w:val="center"/>
          </w:tcPr>
          <w:p w14:paraId="50EFB6B8">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因不履行或不正确履行行政职责，有下列情形的，行政机关及相关工作人员应承担相应责任：</w:t>
            </w:r>
          </w:p>
          <w:p w14:paraId="5898AC7B">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1、不对本辖区内</w:t>
            </w:r>
            <w:r>
              <w:rPr>
                <w:rFonts w:hint="eastAsia" w:ascii="仿宋_GB2312" w:hAnsi="仿宋_GB2312"/>
                <w:b w:val="0"/>
                <w:i w:val="0"/>
                <w:snapToGrid/>
                <w:color w:val="000000"/>
                <w:sz w:val="22"/>
                <w:szCs w:val="22"/>
                <w:u w:val="none"/>
                <w:lang w:eastAsia="zh-CN"/>
              </w:rPr>
              <w:t>医疗救助</w:t>
            </w:r>
            <w:r>
              <w:rPr>
                <w:rFonts w:hint="eastAsia" w:ascii="仿宋_GB2312" w:hAnsi="仿宋_GB2312"/>
                <w:b w:val="0"/>
                <w:i w:val="0"/>
                <w:snapToGrid/>
                <w:color w:val="000000"/>
                <w:sz w:val="22"/>
                <w:szCs w:val="22"/>
                <w:u w:val="none"/>
                <w:lang w:val="en-US" w:eastAsia="zh-CN"/>
              </w:rPr>
              <w:t>进行监督管理；</w:t>
            </w:r>
          </w:p>
          <w:p w14:paraId="49A76E85">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2、对在检查中发现的问题，不责令限期整改、不依法实施处罚。</w:t>
            </w:r>
          </w:p>
          <w:p w14:paraId="14A66E35">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3、不及时予以公告，对构成违法犯罪的不移交司法机关；</w:t>
            </w:r>
          </w:p>
          <w:p w14:paraId="6585965C">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4、其他违反法律法规规章文件规定的行为。</w:t>
            </w:r>
          </w:p>
        </w:tc>
        <w:tc>
          <w:tcPr>
            <w:tcW w:w="687" w:type="dxa"/>
            <w:vAlign w:val="center"/>
          </w:tcPr>
          <w:p w14:paraId="19F93E5A">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center"/>
              <w:textAlignment w:val="center"/>
              <w:outlineLvl w:val="9"/>
              <w:rPr>
                <w:rFonts w:hint="eastAsia" w:ascii="仿宋_GB2312" w:hAnsi="仿宋_GB2312" w:eastAsia="仿宋_GB2312"/>
                <w:b w:val="0"/>
                <w:i w:val="0"/>
                <w:snapToGrid/>
                <w:color w:val="000000"/>
                <w:sz w:val="22"/>
                <w:szCs w:val="22"/>
                <w:u w:val="none"/>
                <w:lang w:eastAsia="zh-CN"/>
              </w:rPr>
            </w:pPr>
          </w:p>
        </w:tc>
      </w:tr>
      <w:tr w14:paraId="6803F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41" w:hRule="exact"/>
          <w:jc w:val="center"/>
        </w:trPr>
        <w:tc>
          <w:tcPr>
            <w:tcW w:w="713" w:type="dxa"/>
            <w:vAlign w:val="center"/>
          </w:tcPr>
          <w:p w14:paraId="572DB7F4">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center"/>
              <w:textAlignment w:val="center"/>
              <w:outlineLvl w:val="9"/>
              <w:rPr>
                <w:rFonts w:hint="default"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12</w:t>
            </w:r>
          </w:p>
        </w:tc>
        <w:tc>
          <w:tcPr>
            <w:tcW w:w="1236" w:type="dxa"/>
            <w:vAlign w:val="center"/>
          </w:tcPr>
          <w:p w14:paraId="56556EF0">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center"/>
              <w:textAlignment w:val="center"/>
              <w:outlineLvl w:val="9"/>
              <w:rPr>
                <w:rFonts w:hint="eastAsia" w:ascii="仿宋_GB2312" w:hAnsi="仿宋_GB2312"/>
                <w:b w:val="0"/>
                <w:i w:val="0"/>
                <w:snapToGrid/>
                <w:color w:val="000000"/>
                <w:spacing w:val="-5"/>
                <w:sz w:val="22"/>
                <w:szCs w:val="22"/>
                <w:u w:val="none"/>
                <w:lang w:eastAsia="zh-CN"/>
              </w:rPr>
            </w:pPr>
            <w:r>
              <w:rPr>
                <w:rFonts w:hint="eastAsia" w:ascii="仿宋_GB2312" w:hAnsi="仿宋_GB2312"/>
                <w:b w:val="0"/>
                <w:i w:val="0"/>
                <w:snapToGrid/>
                <w:color w:val="000000"/>
                <w:spacing w:val="-5"/>
                <w:sz w:val="22"/>
                <w:szCs w:val="22"/>
                <w:u w:val="none"/>
                <w:lang w:eastAsia="zh-CN"/>
              </w:rPr>
              <w:t>行政检查</w:t>
            </w:r>
          </w:p>
        </w:tc>
        <w:tc>
          <w:tcPr>
            <w:tcW w:w="1176" w:type="dxa"/>
            <w:vAlign w:val="center"/>
          </w:tcPr>
          <w:p w14:paraId="3F1DA4B3">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b w:val="0"/>
                <w:i w:val="0"/>
                <w:snapToGrid/>
                <w:color w:val="000000"/>
                <w:sz w:val="22"/>
                <w:szCs w:val="22"/>
                <w:u w:val="none"/>
                <w:lang w:eastAsia="zh-CN"/>
              </w:rPr>
            </w:pPr>
            <w:r>
              <w:rPr>
                <w:rFonts w:hint="eastAsia" w:ascii="仿宋_GB2312" w:hAnsi="仿宋_GB2312"/>
                <w:b w:val="0"/>
                <w:i w:val="0"/>
                <w:snapToGrid/>
                <w:color w:val="000000"/>
                <w:sz w:val="22"/>
                <w:szCs w:val="22"/>
                <w:u w:val="none"/>
                <w:lang w:eastAsia="zh-CN"/>
              </w:rPr>
              <w:t>对药品、医用耗材价格进行监测和成本调查</w:t>
            </w:r>
          </w:p>
        </w:tc>
        <w:tc>
          <w:tcPr>
            <w:tcW w:w="1128" w:type="dxa"/>
            <w:vAlign w:val="center"/>
          </w:tcPr>
          <w:p w14:paraId="74AC5690">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center"/>
              <w:textAlignment w:val="center"/>
              <w:outlineLvl w:val="9"/>
              <w:rPr>
                <w:rFonts w:hint="eastAsia" w:ascii="仿宋_GB2312" w:hAnsi="仿宋_GB2312"/>
                <w:b w:val="0"/>
                <w:i w:val="0"/>
                <w:snapToGrid/>
                <w:color w:val="000000"/>
                <w:sz w:val="22"/>
                <w:szCs w:val="22"/>
                <w:u w:val="none"/>
                <w:lang w:eastAsia="zh-CN"/>
              </w:rPr>
            </w:pPr>
            <w:r>
              <w:rPr>
                <w:rFonts w:hint="eastAsia" w:ascii="仿宋_GB2312" w:hAnsi="仿宋_GB2312"/>
                <w:b w:val="0"/>
                <w:i w:val="0"/>
                <w:snapToGrid/>
                <w:color w:val="000000"/>
                <w:sz w:val="22"/>
                <w:szCs w:val="22"/>
                <w:u w:val="none"/>
                <w:lang w:val="en-US" w:eastAsia="zh-CN"/>
              </w:rPr>
              <w:t>滦州市医疗保障局</w:t>
            </w:r>
          </w:p>
        </w:tc>
        <w:tc>
          <w:tcPr>
            <w:tcW w:w="3948" w:type="dxa"/>
            <w:vAlign w:val="center"/>
          </w:tcPr>
          <w:p w14:paraId="1397F944">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 xml:space="preserve">1.《中华人民共和国基本医疗卫生与健康促进法》（中华人民共和国主席令第38号，2020年6月1日起施行）第一百零三条：“违反本法规定，参加药品采购投标的投标人以低于成本的报价竞标，或者以欺诈、串通投标、滥用市场支配地位等方式竞标的，由县级以上人民政府医疗保障主管部门责令改正，没收违法所得；中标的，中标无效，处中标项目金额千分之五以上千分之十以下的罚款，对法定代表人、主要负责人、直接负责的主管人员和其他责任人员处对单位罚款数额百分之五以上百分之十以下的罚款；情节严重的，取消其二年至五年内参加药品采购投标的资格并予以公告。”        </w:t>
            </w:r>
          </w:p>
          <w:p w14:paraId="76EB352E">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eastAsia="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2.《中华人民共和国药品管理法》（中华人民共和国主席令第三十一号，2019年12月1日施行）第八十六条：药品上市许可持有人、药品生产企业、药品经营企业和医疗机构应当依法向药品价格主管部门提供其药品的实际购销价格和购销数量等资料。</w:t>
            </w:r>
          </w:p>
        </w:tc>
        <w:tc>
          <w:tcPr>
            <w:tcW w:w="3744" w:type="dxa"/>
            <w:vAlign w:val="center"/>
          </w:tcPr>
          <w:p w14:paraId="2B63667E">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eastAsia="zh-CN"/>
              </w:rPr>
            </w:pPr>
            <w:r>
              <w:rPr>
                <w:rFonts w:hint="eastAsia" w:ascii="仿宋_GB2312" w:hAnsi="仿宋_GB2312"/>
                <w:b w:val="0"/>
                <w:i w:val="0"/>
                <w:snapToGrid/>
                <w:color w:val="000000"/>
                <w:sz w:val="22"/>
                <w:szCs w:val="22"/>
                <w:u w:val="none"/>
                <w:lang w:val="en-US" w:eastAsia="zh-CN"/>
              </w:rPr>
              <w:t>1、检查责任：</w:t>
            </w:r>
            <w:r>
              <w:rPr>
                <w:rFonts w:hint="eastAsia" w:ascii="仿宋_GB2312" w:hAnsi="仿宋_GB2312"/>
                <w:b w:val="0"/>
                <w:i w:val="0"/>
                <w:snapToGrid/>
                <w:color w:val="000000"/>
                <w:sz w:val="22"/>
                <w:szCs w:val="22"/>
                <w:u w:val="none"/>
                <w:lang w:eastAsia="zh-CN"/>
              </w:rPr>
              <w:t>对药品、医用耗材价格进行监测和成本调查；</w:t>
            </w:r>
          </w:p>
          <w:p w14:paraId="3C95A81D">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2、处置责任：对监督检查发现的问题，责令限期整改、依法实施处罚；</w:t>
            </w:r>
          </w:p>
          <w:p w14:paraId="4E345C54">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3、移送责任：及时予以公告，对构成违法犯罪的移送司法机关；</w:t>
            </w:r>
          </w:p>
          <w:p w14:paraId="1DBA2829">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4、事后管理责任：对监督检查发现问题的整改情况组织进行核查；</w:t>
            </w:r>
          </w:p>
          <w:p w14:paraId="14F2D0A4">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5、其他责任：法律法规规章等规定应履行的责任。</w:t>
            </w:r>
          </w:p>
        </w:tc>
        <w:tc>
          <w:tcPr>
            <w:tcW w:w="3144" w:type="dxa"/>
            <w:vAlign w:val="center"/>
          </w:tcPr>
          <w:p w14:paraId="15ABAEB4">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因不履行或不正确履行行政职责，有下列情形的，行政机关及相关工作人员应承担相应责任：</w:t>
            </w:r>
          </w:p>
          <w:p w14:paraId="53F5C7AF">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1、不对本辖区内对</w:t>
            </w:r>
            <w:r>
              <w:rPr>
                <w:rFonts w:hint="eastAsia" w:ascii="仿宋_GB2312" w:hAnsi="仿宋_GB2312"/>
                <w:b w:val="0"/>
                <w:i w:val="0"/>
                <w:snapToGrid/>
                <w:color w:val="000000"/>
                <w:sz w:val="22"/>
                <w:szCs w:val="22"/>
                <w:u w:val="none"/>
                <w:lang w:eastAsia="zh-CN"/>
              </w:rPr>
              <w:t>药品、医用耗材价格进行监测和成本调查</w:t>
            </w:r>
            <w:r>
              <w:rPr>
                <w:rFonts w:hint="eastAsia" w:ascii="仿宋_GB2312" w:hAnsi="仿宋_GB2312"/>
                <w:b w:val="0"/>
                <w:i w:val="0"/>
                <w:snapToGrid/>
                <w:color w:val="000000"/>
                <w:sz w:val="22"/>
                <w:szCs w:val="22"/>
                <w:u w:val="none"/>
                <w:lang w:val="en-US" w:eastAsia="zh-CN"/>
              </w:rPr>
              <w:t>；</w:t>
            </w:r>
          </w:p>
          <w:p w14:paraId="40E716D4">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2、对在检查中发现的问题，不责令限期整改、不依法实施处罚。</w:t>
            </w:r>
          </w:p>
          <w:p w14:paraId="444793C2">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3、不及时予以公告，对构成违法犯罪的不移交司法机关；</w:t>
            </w:r>
          </w:p>
          <w:p w14:paraId="37CC4763">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4、其他违反法律法规规章文件规定的行为。</w:t>
            </w:r>
          </w:p>
        </w:tc>
        <w:tc>
          <w:tcPr>
            <w:tcW w:w="687" w:type="dxa"/>
            <w:vAlign w:val="center"/>
          </w:tcPr>
          <w:p w14:paraId="0F08A8CA">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center"/>
              <w:textAlignment w:val="center"/>
              <w:outlineLvl w:val="9"/>
              <w:rPr>
                <w:rFonts w:hint="eastAsia" w:ascii="仿宋_GB2312" w:hAnsi="仿宋_GB2312" w:eastAsia="仿宋_GB2312"/>
                <w:b w:val="0"/>
                <w:i w:val="0"/>
                <w:snapToGrid/>
                <w:color w:val="000000"/>
                <w:sz w:val="22"/>
                <w:szCs w:val="22"/>
                <w:u w:val="none"/>
                <w:lang w:eastAsia="zh-CN"/>
              </w:rPr>
            </w:pPr>
          </w:p>
        </w:tc>
      </w:tr>
      <w:tr w14:paraId="09C01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0" w:hRule="exact"/>
          <w:jc w:val="center"/>
        </w:trPr>
        <w:tc>
          <w:tcPr>
            <w:tcW w:w="713" w:type="dxa"/>
            <w:vAlign w:val="center"/>
          </w:tcPr>
          <w:p w14:paraId="19F22C08">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center"/>
              <w:textAlignment w:val="center"/>
              <w:outlineLvl w:val="9"/>
              <w:rPr>
                <w:rFonts w:hint="default"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13</w:t>
            </w:r>
          </w:p>
        </w:tc>
        <w:tc>
          <w:tcPr>
            <w:tcW w:w="1236" w:type="dxa"/>
            <w:vAlign w:val="center"/>
          </w:tcPr>
          <w:p w14:paraId="35BA25EF">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center"/>
              <w:textAlignment w:val="center"/>
              <w:outlineLvl w:val="9"/>
              <w:rPr>
                <w:rFonts w:hint="eastAsia" w:ascii="仿宋_GB2312" w:hAnsi="仿宋_GB2312"/>
                <w:b w:val="0"/>
                <w:i w:val="0"/>
                <w:snapToGrid/>
                <w:color w:val="000000"/>
                <w:spacing w:val="-5"/>
                <w:sz w:val="22"/>
                <w:szCs w:val="22"/>
                <w:u w:val="none"/>
                <w:lang w:eastAsia="zh-CN"/>
              </w:rPr>
            </w:pPr>
            <w:r>
              <w:rPr>
                <w:rFonts w:hint="eastAsia" w:ascii="仿宋_GB2312" w:hAnsi="仿宋_GB2312"/>
                <w:b w:val="0"/>
                <w:i w:val="0"/>
                <w:snapToGrid/>
                <w:color w:val="000000"/>
                <w:spacing w:val="-5"/>
                <w:sz w:val="22"/>
                <w:szCs w:val="22"/>
                <w:u w:val="none"/>
                <w:lang w:eastAsia="zh-CN"/>
              </w:rPr>
              <w:t>行政检查</w:t>
            </w:r>
          </w:p>
        </w:tc>
        <w:tc>
          <w:tcPr>
            <w:tcW w:w="1176" w:type="dxa"/>
            <w:vAlign w:val="center"/>
          </w:tcPr>
          <w:p w14:paraId="13F9BE75">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b w:val="0"/>
                <w:i w:val="0"/>
                <w:snapToGrid/>
                <w:color w:val="000000"/>
                <w:sz w:val="22"/>
                <w:szCs w:val="22"/>
                <w:u w:val="none"/>
                <w:lang w:eastAsia="zh-CN"/>
              </w:rPr>
            </w:pPr>
            <w:r>
              <w:rPr>
                <w:rFonts w:hint="eastAsia" w:ascii="仿宋_GB2312" w:hAnsi="仿宋_GB2312"/>
                <w:b w:val="0"/>
                <w:i w:val="0"/>
                <w:snapToGrid/>
                <w:color w:val="000000"/>
                <w:spacing w:val="-9"/>
                <w:sz w:val="22"/>
                <w:szCs w:val="22"/>
                <w:u w:val="none"/>
                <w:lang w:eastAsia="zh-CN"/>
              </w:rPr>
              <w:t>对药品上市许可持有人、药品和医用耗材生产企业、药品经营企业和医疗机构向医药价格主管部门提供其药品、医用耗材的实际购销价格和购销数量等资料的监督检查</w:t>
            </w:r>
          </w:p>
        </w:tc>
        <w:tc>
          <w:tcPr>
            <w:tcW w:w="1128" w:type="dxa"/>
            <w:vAlign w:val="center"/>
          </w:tcPr>
          <w:p w14:paraId="1CA1B960">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center"/>
              <w:textAlignment w:val="center"/>
              <w:outlineLvl w:val="9"/>
              <w:rPr>
                <w:rFonts w:hint="eastAsia" w:ascii="仿宋_GB2312" w:hAnsi="仿宋_GB2312"/>
                <w:b w:val="0"/>
                <w:i w:val="0"/>
                <w:snapToGrid/>
                <w:color w:val="000000"/>
                <w:sz w:val="22"/>
                <w:szCs w:val="22"/>
                <w:u w:val="none"/>
                <w:lang w:eastAsia="zh-CN"/>
              </w:rPr>
            </w:pPr>
            <w:r>
              <w:rPr>
                <w:rFonts w:hint="eastAsia" w:ascii="仿宋_GB2312" w:hAnsi="仿宋_GB2312"/>
                <w:b w:val="0"/>
                <w:i w:val="0"/>
                <w:snapToGrid/>
                <w:color w:val="000000"/>
                <w:sz w:val="22"/>
                <w:szCs w:val="22"/>
                <w:u w:val="none"/>
                <w:lang w:val="en-US" w:eastAsia="zh-CN"/>
              </w:rPr>
              <w:t>滦州市医疗保障局</w:t>
            </w:r>
          </w:p>
        </w:tc>
        <w:tc>
          <w:tcPr>
            <w:tcW w:w="3948" w:type="dxa"/>
            <w:vAlign w:val="center"/>
          </w:tcPr>
          <w:p w14:paraId="0366745D">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eastAsia="仿宋_GB2312"/>
                <w:b w:val="0"/>
                <w:i w:val="0"/>
                <w:snapToGrid/>
                <w:color w:val="000000"/>
                <w:sz w:val="22"/>
                <w:szCs w:val="22"/>
                <w:u w:val="none"/>
                <w:lang w:val="en-US" w:eastAsia="zh-CN"/>
              </w:rPr>
            </w:pPr>
            <w:r>
              <w:rPr>
                <w:rFonts w:hint="eastAsia" w:ascii="仿宋_GB2312" w:hAnsi="仿宋_GB2312" w:eastAsia="仿宋_GB2312"/>
                <w:b w:val="0"/>
                <w:i w:val="0"/>
                <w:snapToGrid/>
                <w:color w:val="000000"/>
                <w:sz w:val="22"/>
                <w:szCs w:val="22"/>
                <w:u w:val="none"/>
                <w:lang w:val="en-US" w:eastAsia="zh-CN"/>
              </w:rPr>
              <w:t>《中华人民共和国药品管理法》（中华人民共和国主席令第三十一号，2019年12月1日施行）第八十六条：药品上市许可持有人、药品生产企业、药品经营企业和医疗机构应当依法向药品价格主管部门提供其药品的实际购销价格和购销数量等资料。</w:t>
            </w:r>
          </w:p>
        </w:tc>
        <w:tc>
          <w:tcPr>
            <w:tcW w:w="3744" w:type="dxa"/>
            <w:vAlign w:val="center"/>
          </w:tcPr>
          <w:p w14:paraId="1AE4625B">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eastAsia="zh-CN"/>
              </w:rPr>
            </w:pPr>
            <w:r>
              <w:rPr>
                <w:rFonts w:hint="eastAsia" w:ascii="仿宋_GB2312" w:hAnsi="仿宋_GB2312"/>
                <w:b w:val="0"/>
                <w:i w:val="0"/>
                <w:snapToGrid/>
                <w:color w:val="000000"/>
                <w:sz w:val="22"/>
                <w:szCs w:val="22"/>
                <w:u w:val="none"/>
                <w:lang w:val="en-US" w:eastAsia="zh-CN"/>
              </w:rPr>
              <w:t>1、检查责任：对药品上市许可持有人、药品和医用耗材生产企业、药品经营企业和医疗机构向医药价格主管部门提供其药品、医用耗材的实际购销价格和购销数量等资料的监督检查</w:t>
            </w:r>
            <w:r>
              <w:rPr>
                <w:rFonts w:hint="eastAsia" w:ascii="仿宋_GB2312" w:hAnsi="仿宋_GB2312"/>
                <w:b w:val="0"/>
                <w:i w:val="0"/>
                <w:snapToGrid/>
                <w:color w:val="000000"/>
                <w:sz w:val="22"/>
                <w:szCs w:val="22"/>
                <w:u w:val="none"/>
                <w:lang w:eastAsia="zh-CN"/>
              </w:rPr>
              <w:t>；</w:t>
            </w:r>
          </w:p>
          <w:p w14:paraId="41C08767">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2、处置责任：对监督检查发现的问题，责令限期整改、依法实施处罚；</w:t>
            </w:r>
          </w:p>
          <w:p w14:paraId="7002E43B">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3、移送责任：及时予以公告，对构成违法犯罪的移送司法机关；</w:t>
            </w:r>
          </w:p>
          <w:p w14:paraId="3A79DD6B">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4、事后管理责任：对监督检查发现问题的整改情况组织进行核查；</w:t>
            </w:r>
          </w:p>
          <w:p w14:paraId="64134525">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5、其他责任：法律法规规章等规定应履行的责任。</w:t>
            </w:r>
          </w:p>
        </w:tc>
        <w:tc>
          <w:tcPr>
            <w:tcW w:w="3144" w:type="dxa"/>
            <w:vAlign w:val="center"/>
          </w:tcPr>
          <w:p w14:paraId="6841475E">
            <w:pPr>
              <w:keepNext w:val="0"/>
              <w:keepLines w:val="0"/>
              <w:pageBreakBefore w:val="0"/>
              <w:widowControl w:val="0"/>
              <w:kinsoku/>
              <w:wordWrap/>
              <w:overflowPunct/>
              <w:topLinePunct w:val="0"/>
              <w:autoSpaceDE/>
              <w:autoSpaceDN w:val="0"/>
              <w:bidi w:val="0"/>
              <w:adjustRightInd/>
              <w:snapToGrid/>
              <w:spacing w:line="280" w:lineRule="exact"/>
              <w:ind w:left="0" w:leftChars="0" w:right="0" w:rightChars="0" w:firstLine="0" w:firstLineChars="0"/>
              <w:jc w:val="both"/>
              <w:textAlignment w:val="center"/>
              <w:outlineLvl w:val="9"/>
              <w:rPr>
                <w:rFonts w:hint="eastAsia" w:ascii="仿宋_GB2312" w:hAnsi="仿宋_GB2312"/>
                <w:b w:val="0"/>
                <w:i w:val="0"/>
                <w:snapToGrid/>
                <w:color w:val="000000"/>
                <w:spacing w:val="-5"/>
                <w:sz w:val="22"/>
                <w:szCs w:val="22"/>
                <w:u w:val="none"/>
                <w:lang w:val="en-US" w:eastAsia="zh-CN"/>
              </w:rPr>
            </w:pPr>
            <w:r>
              <w:rPr>
                <w:rFonts w:hint="eastAsia" w:ascii="仿宋_GB2312" w:hAnsi="仿宋_GB2312"/>
                <w:b w:val="0"/>
                <w:i w:val="0"/>
                <w:snapToGrid/>
                <w:color w:val="000000"/>
                <w:spacing w:val="-5"/>
                <w:sz w:val="22"/>
                <w:szCs w:val="22"/>
                <w:u w:val="none"/>
                <w:lang w:val="en-US" w:eastAsia="zh-CN"/>
              </w:rPr>
              <w:t>因不履行或不正确履行行政职责，有下列情形的，行政机关及相关工作人员应承担相应责任：</w:t>
            </w:r>
          </w:p>
          <w:p w14:paraId="6CAD0EFB">
            <w:pPr>
              <w:keepNext w:val="0"/>
              <w:keepLines w:val="0"/>
              <w:pageBreakBefore w:val="0"/>
              <w:widowControl w:val="0"/>
              <w:kinsoku/>
              <w:wordWrap/>
              <w:overflowPunct/>
              <w:topLinePunct w:val="0"/>
              <w:autoSpaceDE/>
              <w:autoSpaceDN w:val="0"/>
              <w:bidi w:val="0"/>
              <w:adjustRightInd/>
              <w:snapToGrid/>
              <w:spacing w:line="280" w:lineRule="exact"/>
              <w:ind w:left="0" w:leftChars="0" w:right="0" w:rightChars="0" w:firstLine="0" w:firstLineChars="0"/>
              <w:jc w:val="both"/>
              <w:textAlignment w:val="center"/>
              <w:outlineLvl w:val="9"/>
              <w:rPr>
                <w:rFonts w:hint="eastAsia" w:ascii="仿宋_GB2312" w:hAnsi="仿宋_GB2312"/>
                <w:b w:val="0"/>
                <w:i w:val="0"/>
                <w:snapToGrid/>
                <w:color w:val="000000"/>
                <w:spacing w:val="-5"/>
                <w:sz w:val="22"/>
                <w:szCs w:val="22"/>
                <w:u w:val="none"/>
                <w:lang w:val="en-US" w:eastAsia="zh-CN"/>
              </w:rPr>
            </w:pPr>
            <w:r>
              <w:rPr>
                <w:rFonts w:hint="eastAsia" w:ascii="仿宋_GB2312" w:hAnsi="仿宋_GB2312"/>
                <w:b w:val="0"/>
                <w:i w:val="0"/>
                <w:snapToGrid/>
                <w:color w:val="000000"/>
                <w:spacing w:val="-5"/>
                <w:sz w:val="22"/>
                <w:szCs w:val="22"/>
                <w:u w:val="none"/>
                <w:lang w:val="en-US" w:eastAsia="zh-CN"/>
              </w:rPr>
              <w:t>1、不对本辖区内药品上市许可持有人、药品和医用耗材生产企业、药品经营企业和医疗机构向医药价格主管部门提供其药品、医用耗材的实际购销价格和购销数量等资料的监督检查；</w:t>
            </w:r>
          </w:p>
          <w:p w14:paraId="3FBEBD01">
            <w:pPr>
              <w:keepNext w:val="0"/>
              <w:keepLines w:val="0"/>
              <w:pageBreakBefore w:val="0"/>
              <w:widowControl w:val="0"/>
              <w:kinsoku/>
              <w:wordWrap/>
              <w:overflowPunct/>
              <w:topLinePunct w:val="0"/>
              <w:autoSpaceDE/>
              <w:autoSpaceDN w:val="0"/>
              <w:bidi w:val="0"/>
              <w:adjustRightInd/>
              <w:snapToGrid/>
              <w:spacing w:line="280" w:lineRule="exact"/>
              <w:ind w:left="0" w:leftChars="0" w:right="0" w:rightChars="0" w:firstLine="0" w:firstLineChars="0"/>
              <w:jc w:val="both"/>
              <w:textAlignment w:val="center"/>
              <w:outlineLvl w:val="9"/>
              <w:rPr>
                <w:rFonts w:hint="eastAsia" w:ascii="仿宋_GB2312" w:hAnsi="仿宋_GB2312"/>
                <w:b w:val="0"/>
                <w:i w:val="0"/>
                <w:snapToGrid/>
                <w:color w:val="000000"/>
                <w:spacing w:val="-5"/>
                <w:sz w:val="22"/>
                <w:szCs w:val="22"/>
                <w:u w:val="none"/>
                <w:lang w:val="en-US" w:eastAsia="zh-CN"/>
              </w:rPr>
            </w:pPr>
            <w:r>
              <w:rPr>
                <w:rFonts w:hint="eastAsia" w:ascii="仿宋_GB2312" w:hAnsi="仿宋_GB2312"/>
                <w:b w:val="0"/>
                <w:i w:val="0"/>
                <w:snapToGrid/>
                <w:color w:val="000000"/>
                <w:spacing w:val="-5"/>
                <w:sz w:val="22"/>
                <w:szCs w:val="22"/>
                <w:u w:val="none"/>
                <w:lang w:val="en-US" w:eastAsia="zh-CN"/>
              </w:rPr>
              <w:t>2、对在检查中发现的问题，不责令限期整改、不依法实施处罚。</w:t>
            </w:r>
          </w:p>
          <w:p w14:paraId="52F01790">
            <w:pPr>
              <w:keepNext w:val="0"/>
              <w:keepLines w:val="0"/>
              <w:pageBreakBefore w:val="0"/>
              <w:widowControl w:val="0"/>
              <w:kinsoku/>
              <w:wordWrap/>
              <w:overflowPunct/>
              <w:topLinePunct w:val="0"/>
              <w:autoSpaceDE/>
              <w:autoSpaceDN w:val="0"/>
              <w:bidi w:val="0"/>
              <w:adjustRightInd/>
              <w:snapToGrid/>
              <w:spacing w:line="280" w:lineRule="exact"/>
              <w:ind w:left="0" w:leftChars="0" w:right="0" w:rightChars="0" w:firstLine="0" w:firstLineChars="0"/>
              <w:jc w:val="both"/>
              <w:textAlignment w:val="center"/>
              <w:outlineLvl w:val="9"/>
              <w:rPr>
                <w:rFonts w:hint="eastAsia" w:ascii="仿宋_GB2312" w:hAnsi="仿宋_GB2312"/>
                <w:b w:val="0"/>
                <w:i w:val="0"/>
                <w:snapToGrid/>
                <w:color w:val="000000"/>
                <w:spacing w:val="-5"/>
                <w:sz w:val="22"/>
                <w:szCs w:val="22"/>
                <w:u w:val="none"/>
                <w:lang w:val="en-US" w:eastAsia="zh-CN"/>
              </w:rPr>
            </w:pPr>
            <w:r>
              <w:rPr>
                <w:rFonts w:hint="eastAsia" w:ascii="仿宋_GB2312" w:hAnsi="仿宋_GB2312"/>
                <w:b w:val="0"/>
                <w:i w:val="0"/>
                <w:snapToGrid/>
                <w:color w:val="000000"/>
                <w:spacing w:val="-5"/>
                <w:sz w:val="22"/>
                <w:szCs w:val="22"/>
                <w:u w:val="none"/>
                <w:lang w:val="en-US" w:eastAsia="zh-CN"/>
              </w:rPr>
              <w:t>3、不及时予以公告，对构成违法犯罪的不移交司法机关；</w:t>
            </w:r>
          </w:p>
          <w:p w14:paraId="7CF021CF">
            <w:pPr>
              <w:keepNext w:val="0"/>
              <w:keepLines w:val="0"/>
              <w:pageBreakBefore w:val="0"/>
              <w:widowControl w:val="0"/>
              <w:kinsoku/>
              <w:wordWrap/>
              <w:overflowPunct/>
              <w:topLinePunct w:val="0"/>
              <w:autoSpaceDE/>
              <w:autoSpaceDN w:val="0"/>
              <w:bidi w:val="0"/>
              <w:adjustRightInd/>
              <w:snapToGrid/>
              <w:spacing w:line="28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pacing w:val="-5"/>
                <w:sz w:val="22"/>
                <w:szCs w:val="22"/>
                <w:u w:val="none"/>
                <w:lang w:val="en-US" w:eastAsia="zh-CN"/>
              </w:rPr>
              <w:t>4、其他违反法律法规规章文件规定的行为。</w:t>
            </w:r>
          </w:p>
        </w:tc>
        <w:tc>
          <w:tcPr>
            <w:tcW w:w="687" w:type="dxa"/>
            <w:vAlign w:val="center"/>
          </w:tcPr>
          <w:p w14:paraId="03688A2A">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center"/>
              <w:textAlignment w:val="center"/>
              <w:outlineLvl w:val="9"/>
              <w:rPr>
                <w:rFonts w:hint="eastAsia" w:ascii="仿宋_GB2312" w:hAnsi="仿宋_GB2312" w:eastAsia="仿宋_GB2312"/>
                <w:b w:val="0"/>
                <w:i w:val="0"/>
                <w:snapToGrid/>
                <w:color w:val="000000"/>
                <w:sz w:val="22"/>
                <w:szCs w:val="22"/>
                <w:u w:val="none"/>
                <w:lang w:eastAsia="zh-CN"/>
              </w:rPr>
            </w:pPr>
          </w:p>
        </w:tc>
      </w:tr>
      <w:tr w14:paraId="7DC53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4" w:hRule="exact"/>
          <w:jc w:val="center"/>
        </w:trPr>
        <w:tc>
          <w:tcPr>
            <w:tcW w:w="713" w:type="dxa"/>
            <w:vAlign w:val="center"/>
          </w:tcPr>
          <w:p w14:paraId="0EE793CF">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center"/>
              <w:textAlignment w:val="center"/>
              <w:outlineLvl w:val="9"/>
              <w:rPr>
                <w:rFonts w:hint="default"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14</w:t>
            </w:r>
          </w:p>
        </w:tc>
        <w:tc>
          <w:tcPr>
            <w:tcW w:w="1236" w:type="dxa"/>
            <w:vAlign w:val="center"/>
          </w:tcPr>
          <w:p w14:paraId="78DE2578">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center"/>
              <w:textAlignment w:val="center"/>
              <w:outlineLvl w:val="9"/>
              <w:rPr>
                <w:rFonts w:hint="eastAsia" w:ascii="仿宋_GB2312" w:hAnsi="仿宋_GB2312"/>
                <w:b w:val="0"/>
                <w:i w:val="0"/>
                <w:snapToGrid/>
                <w:color w:val="000000"/>
                <w:spacing w:val="-5"/>
                <w:sz w:val="22"/>
                <w:szCs w:val="22"/>
                <w:u w:val="none"/>
                <w:lang w:eastAsia="zh-CN"/>
              </w:rPr>
            </w:pPr>
            <w:r>
              <w:rPr>
                <w:rFonts w:hint="eastAsia" w:ascii="仿宋_GB2312" w:hAnsi="仿宋_GB2312"/>
                <w:b w:val="0"/>
                <w:i w:val="0"/>
                <w:snapToGrid/>
                <w:color w:val="000000"/>
                <w:spacing w:val="-5"/>
                <w:sz w:val="22"/>
                <w:szCs w:val="22"/>
                <w:u w:val="none"/>
                <w:lang w:eastAsia="zh-CN"/>
              </w:rPr>
              <w:t>行政检查</w:t>
            </w:r>
          </w:p>
        </w:tc>
        <w:tc>
          <w:tcPr>
            <w:tcW w:w="1176" w:type="dxa"/>
            <w:vAlign w:val="center"/>
          </w:tcPr>
          <w:p w14:paraId="6F287048">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b w:val="0"/>
                <w:i w:val="0"/>
                <w:snapToGrid/>
                <w:color w:val="000000"/>
                <w:sz w:val="22"/>
                <w:szCs w:val="22"/>
                <w:u w:val="none"/>
                <w:lang w:eastAsia="zh-CN"/>
              </w:rPr>
            </w:pPr>
            <w:r>
              <w:rPr>
                <w:rFonts w:hint="eastAsia" w:ascii="仿宋_GB2312" w:hAnsi="仿宋_GB2312"/>
                <w:b w:val="0"/>
                <w:i w:val="0"/>
                <w:snapToGrid/>
                <w:color w:val="000000"/>
                <w:sz w:val="22"/>
                <w:szCs w:val="22"/>
                <w:u w:val="none"/>
                <w:lang w:eastAsia="zh-CN"/>
              </w:rPr>
              <w:t>对公立医疗机构药品和高值医用耗材集中采购行为合规性的监督检查</w:t>
            </w:r>
          </w:p>
        </w:tc>
        <w:tc>
          <w:tcPr>
            <w:tcW w:w="1128" w:type="dxa"/>
            <w:vAlign w:val="center"/>
          </w:tcPr>
          <w:p w14:paraId="74A4B1FE">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center"/>
              <w:textAlignment w:val="center"/>
              <w:outlineLvl w:val="9"/>
              <w:rPr>
                <w:rFonts w:hint="eastAsia" w:ascii="仿宋_GB2312" w:hAnsi="仿宋_GB2312"/>
                <w:b w:val="0"/>
                <w:i w:val="0"/>
                <w:snapToGrid/>
                <w:color w:val="000000"/>
                <w:sz w:val="22"/>
                <w:szCs w:val="22"/>
                <w:u w:val="none"/>
                <w:lang w:eastAsia="zh-CN"/>
              </w:rPr>
            </w:pPr>
            <w:r>
              <w:rPr>
                <w:rFonts w:hint="eastAsia" w:ascii="仿宋_GB2312" w:hAnsi="仿宋_GB2312"/>
                <w:b w:val="0"/>
                <w:i w:val="0"/>
                <w:snapToGrid/>
                <w:color w:val="000000"/>
                <w:sz w:val="22"/>
                <w:szCs w:val="22"/>
                <w:u w:val="none"/>
                <w:lang w:val="en-US" w:eastAsia="zh-CN"/>
              </w:rPr>
              <w:t>滦州市医疗保障局</w:t>
            </w:r>
          </w:p>
        </w:tc>
        <w:tc>
          <w:tcPr>
            <w:tcW w:w="3948" w:type="dxa"/>
            <w:vAlign w:val="center"/>
          </w:tcPr>
          <w:p w14:paraId="2A623D70">
            <w:pPr>
              <w:keepNext w:val="0"/>
              <w:keepLines w:val="0"/>
              <w:pageBreakBefore w:val="0"/>
              <w:widowControl w:val="0"/>
              <w:kinsoku/>
              <w:wordWrap/>
              <w:overflowPunct/>
              <w:topLinePunct w:val="0"/>
              <w:autoSpaceDE/>
              <w:autoSpaceDN w:val="0"/>
              <w:bidi w:val="0"/>
              <w:adjustRightInd/>
              <w:snapToGrid/>
              <w:spacing w:before="0" w:beforeLines="0" w:after="0" w:afterLines="0" w:line="260" w:lineRule="exact"/>
              <w:ind w:left="0" w:leftChars="0" w:right="0" w:rightChars="0" w:firstLine="0" w:firstLineChars="0"/>
              <w:jc w:val="both"/>
              <w:textAlignment w:val="center"/>
              <w:outlineLvl w:val="9"/>
              <w:rPr>
                <w:rFonts w:hint="eastAsia" w:ascii="仿宋_GB2312" w:hAnsi="仿宋_GB2312" w:eastAsia="仿宋_GB2312"/>
                <w:b w:val="0"/>
                <w:i w:val="0"/>
                <w:snapToGrid/>
                <w:color w:val="auto"/>
                <w:sz w:val="22"/>
                <w:szCs w:val="22"/>
                <w:u w:val="none"/>
                <w:lang w:val="en-US" w:eastAsia="zh-CN"/>
              </w:rPr>
            </w:pPr>
            <w:r>
              <w:rPr>
                <w:rFonts w:hint="eastAsia" w:ascii="仿宋_GB2312" w:hAnsi="仿宋_GB2312" w:eastAsia="仿宋_GB2312"/>
                <w:b w:val="0"/>
                <w:i w:val="0"/>
                <w:snapToGrid/>
                <w:color w:val="auto"/>
                <w:sz w:val="22"/>
                <w:szCs w:val="22"/>
                <w:u w:val="none"/>
                <w:lang w:val="en-US" w:eastAsia="zh-CN"/>
              </w:rPr>
              <w:t>1《国务院办公厅关于推动药品集中带量采购工作常态化制度化开展的意见》（国办发〔2021〕2号）第十八条：“国家医保局要切实担负起药品集中带量采购工作常态化制度化开展的统筹协调和督促指导责任，完善相关政策措施，适时开展监测分析、督导检查、总结评估。”</w:t>
            </w:r>
          </w:p>
          <w:p w14:paraId="2246E4A1">
            <w:pPr>
              <w:keepNext w:val="0"/>
              <w:keepLines w:val="0"/>
              <w:pageBreakBefore w:val="0"/>
              <w:widowControl w:val="0"/>
              <w:kinsoku/>
              <w:wordWrap/>
              <w:overflowPunct/>
              <w:topLinePunct w:val="0"/>
              <w:autoSpaceDE/>
              <w:autoSpaceDN w:val="0"/>
              <w:bidi w:val="0"/>
              <w:adjustRightInd/>
              <w:snapToGrid/>
              <w:spacing w:before="0" w:beforeLines="0" w:after="0" w:afterLines="0" w:line="260" w:lineRule="exact"/>
              <w:ind w:left="0" w:leftChars="0" w:right="0" w:rightChars="0" w:firstLine="0" w:firstLineChars="0"/>
              <w:jc w:val="both"/>
              <w:textAlignment w:val="center"/>
              <w:outlineLvl w:val="9"/>
              <w:rPr>
                <w:rFonts w:hint="eastAsia" w:ascii="仿宋_GB2312" w:hAnsi="仿宋_GB2312" w:eastAsia="仿宋_GB2312"/>
                <w:b w:val="0"/>
                <w:i w:val="0"/>
                <w:snapToGrid/>
                <w:color w:val="000000"/>
                <w:sz w:val="22"/>
                <w:szCs w:val="22"/>
                <w:u w:val="none"/>
                <w:lang w:val="en-US" w:eastAsia="zh-CN"/>
              </w:rPr>
            </w:pPr>
            <w:r>
              <w:rPr>
                <w:rFonts w:hint="eastAsia" w:ascii="仿宋_GB2312" w:hAnsi="仿宋_GB2312" w:eastAsia="仿宋_GB2312"/>
                <w:b w:val="0"/>
                <w:i w:val="0"/>
                <w:snapToGrid/>
                <w:color w:val="auto"/>
                <w:sz w:val="22"/>
                <w:szCs w:val="22"/>
                <w:u w:val="none"/>
                <w:lang w:val="en-US" w:eastAsia="zh-CN"/>
              </w:rPr>
              <w:t>2.《河北省医疗保障局 河北省财政厅 河北省卫生健康委员会 河北省市场监督管理局 河北省工业和信息化厅 河北省商务厅 河北省药品监督管理局关于印发〈推动药品集中带量采购工作常态化制度化开展实施方案〉</w:t>
            </w:r>
            <w:bookmarkStart w:id="0" w:name="_GoBack"/>
            <w:bookmarkEnd w:id="0"/>
            <w:r>
              <w:rPr>
                <w:rFonts w:hint="eastAsia" w:ascii="仿宋_GB2312" w:hAnsi="仿宋_GB2312" w:eastAsia="仿宋_GB2312"/>
                <w:b w:val="0"/>
                <w:i w:val="0"/>
                <w:snapToGrid/>
                <w:color w:val="auto"/>
                <w:sz w:val="22"/>
                <w:szCs w:val="22"/>
                <w:u w:val="none"/>
                <w:lang w:val="en-US" w:eastAsia="zh-CN"/>
              </w:rPr>
              <w:t>的通知》第六部分：“省医疗保障局要切实担负起药品集中带量采购工作常态化制度化开展的统筹协调和督促指导责任，完善相关政策措施，适时开展监测分析、督导检查、总结评估。”</w:t>
            </w:r>
          </w:p>
        </w:tc>
        <w:tc>
          <w:tcPr>
            <w:tcW w:w="3744" w:type="dxa"/>
            <w:vAlign w:val="center"/>
          </w:tcPr>
          <w:p w14:paraId="693624ED">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eastAsia="zh-CN"/>
              </w:rPr>
            </w:pPr>
            <w:r>
              <w:rPr>
                <w:rFonts w:hint="eastAsia" w:ascii="仿宋_GB2312" w:hAnsi="仿宋_GB2312"/>
                <w:b w:val="0"/>
                <w:i w:val="0"/>
                <w:snapToGrid/>
                <w:color w:val="000000"/>
                <w:sz w:val="22"/>
                <w:szCs w:val="22"/>
                <w:u w:val="none"/>
                <w:lang w:val="en-US" w:eastAsia="zh-CN"/>
              </w:rPr>
              <w:t>1、检查责任：对</w:t>
            </w:r>
            <w:r>
              <w:rPr>
                <w:rFonts w:hint="eastAsia" w:ascii="仿宋_GB2312" w:hAnsi="仿宋_GB2312"/>
                <w:b w:val="0"/>
                <w:i w:val="0"/>
                <w:snapToGrid/>
                <w:color w:val="000000"/>
                <w:sz w:val="22"/>
                <w:szCs w:val="22"/>
                <w:u w:val="none"/>
                <w:lang w:eastAsia="zh-CN"/>
              </w:rPr>
              <w:t>公立医疗机构药品和高值医用耗材集中采购行为合规性的监督检查；</w:t>
            </w:r>
          </w:p>
          <w:p w14:paraId="410321CD">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2、处置责任：对监督检查发现的问题，责令限期整改、依法实施处罚；</w:t>
            </w:r>
          </w:p>
          <w:p w14:paraId="6E90E72F">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3、移送责任：及时予以公告，对构成违法犯罪的移送司法机关；</w:t>
            </w:r>
          </w:p>
          <w:p w14:paraId="79F21D8F">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4、事后管理责任：对监督检查发现问题的整改情况组织进行核查；</w:t>
            </w:r>
          </w:p>
          <w:p w14:paraId="1A09BAD3">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5、其他责任：法律法规规章等规定应履行的责任。</w:t>
            </w:r>
          </w:p>
        </w:tc>
        <w:tc>
          <w:tcPr>
            <w:tcW w:w="3144" w:type="dxa"/>
            <w:vAlign w:val="center"/>
          </w:tcPr>
          <w:p w14:paraId="09186A36">
            <w:pPr>
              <w:keepNext w:val="0"/>
              <w:keepLines w:val="0"/>
              <w:pageBreakBefore w:val="0"/>
              <w:widowControl w:val="0"/>
              <w:kinsoku/>
              <w:wordWrap/>
              <w:overflowPunct/>
              <w:topLinePunct w:val="0"/>
              <w:autoSpaceDE/>
              <w:autoSpaceDN w:val="0"/>
              <w:bidi w:val="0"/>
              <w:adjustRightInd/>
              <w:snapToGrid/>
              <w:spacing w:line="28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因不履行或不正确履行行政职责，有下列情形的，行政机关及相关工作人员应承担相应责任：</w:t>
            </w:r>
          </w:p>
          <w:p w14:paraId="33FC1A45">
            <w:pPr>
              <w:keepNext w:val="0"/>
              <w:keepLines w:val="0"/>
              <w:pageBreakBefore w:val="0"/>
              <w:widowControl w:val="0"/>
              <w:kinsoku/>
              <w:wordWrap/>
              <w:overflowPunct/>
              <w:topLinePunct w:val="0"/>
              <w:autoSpaceDE/>
              <w:autoSpaceDN w:val="0"/>
              <w:bidi w:val="0"/>
              <w:adjustRightInd/>
              <w:snapToGrid/>
              <w:spacing w:line="28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1、不对本辖区内公立医疗机构药品和高值医用耗材集中采购行为合规性的监督检查；</w:t>
            </w:r>
          </w:p>
          <w:p w14:paraId="01F99E2E">
            <w:pPr>
              <w:keepNext w:val="0"/>
              <w:keepLines w:val="0"/>
              <w:pageBreakBefore w:val="0"/>
              <w:widowControl w:val="0"/>
              <w:kinsoku/>
              <w:wordWrap/>
              <w:overflowPunct/>
              <w:topLinePunct w:val="0"/>
              <w:autoSpaceDE/>
              <w:autoSpaceDN w:val="0"/>
              <w:bidi w:val="0"/>
              <w:adjustRightInd/>
              <w:snapToGrid/>
              <w:spacing w:line="28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2、对在检查中发现的问题，不责令限期整改、不依法实施处罚。</w:t>
            </w:r>
          </w:p>
          <w:p w14:paraId="1C5B0939">
            <w:pPr>
              <w:keepNext w:val="0"/>
              <w:keepLines w:val="0"/>
              <w:pageBreakBefore w:val="0"/>
              <w:widowControl w:val="0"/>
              <w:kinsoku/>
              <w:wordWrap/>
              <w:overflowPunct/>
              <w:topLinePunct w:val="0"/>
              <w:autoSpaceDE/>
              <w:autoSpaceDN w:val="0"/>
              <w:bidi w:val="0"/>
              <w:adjustRightInd/>
              <w:snapToGrid/>
              <w:spacing w:line="28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3、不及时予以公告，对构成违法犯罪的不移交司法机关；</w:t>
            </w:r>
          </w:p>
          <w:p w14:paraId="493D958C">
            <w:pPr>
              <w:keepNext w:val="0"/>
              <w:keepLines w:val="0"/>
              <w:pageBreakBefore w:val="0"/>
              <w:widowControl w:val="0"/>
              <w:kinsoku/>
              <w:wordWrap/>
              <w:overflowPunct/>
              <w:topLinePunct w:val="0"/>
              <w:autoSpaceDE/>
              <w:autoSpaceDN w:val="0"/>
              <w:bidi w:val="0"/>
              <w:adjustRightInd/>
              <w:snapToGrid/>
              <w:spacing w:line="28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4、其他违反法律法规规章文件规定的行为。</w:t>
            </w:r>
          </w:p>
        </w:tc>
        <w:tc>
          <w:tcPr>
            <w:tcW w:w="687" w:type="dxa"/>
            <w:vAlign w:val="center"/>
          </w:tcPr>
          <w:p w14:paraId="7476F725">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center"/>
              <w:textAlignment w:val="center"/>
              <w:outlineLvl w:val="9"/>
              <w:rPr>
                <w:rFonts w:hint="eastAsia" w:ascii="仿宋_GB2312" w:hAnsi="仿宋_GB2312" w:eastAsia="仿宋_GB2312"/>
                <w:b w:val="0"/>
                <w:i w:val="0"/>
                <w:snapToGrid/>
                <w:color w:val="000000"/>
                <w:sz w:val="22"/>
                <w:szCs w:val="22"/>
                <w:u w:val="none"/>
                <w:lang w:eastAsia="zh-CN"/>
              </w:rPr>
            </w:pPr>
          </w:p>
        </w:tc>
      </w:tr>
      <w:tr w14:paraId="5DA86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6" w:hRule="exact"/>
          <w:jc w:val="center"/>
        </w:trPr>
        <w:tc>
          <w:tcPr>
            <w:tcW w:w="713" w:type="dxa"/>
            <w:vAlign w:val="center"/>
          </w:tcPr>
          <w:p w14:paraId="50EE9112">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center"/>
              <w:textAlignment w:val="center"/>
              <w:outlineLvl w:val="9"/>
              <w:rPr>
                <w:rFonts w:hint="default"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15</w:t>
            </w:r>
          </w:p>
        </w:tc>
        <w:tc>
          <w:tcPr>
            <w:tcW w:w="1236" w:type="dxa"/>
            <w:vAlign w:val="center"/>
          </w:tcPr>
          <w:p w14:paraId="4CB7B426">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center"/>
              <w:textAlignment w:val="center"/>
              <w:outlineLvl w:val="9"/>
              <w:rPr>
                <w:rFonts w:hint="eastAsia" w:ascii="仿宋_GB2312" w:hAnsi="仿宋_GB2312"/>
                <w:b w:val="0"/>
                <w:i w:val="0"/>
                <w:snapToGrid/>
                <w:color w:val="000000"/>
                <w:spacing w:val="-5"/>
                <w:sz w:val="22"/>
                <w:szCs w:val="22"/>
                <w:u w:val="none"/>
                <w:lang w:eastAsia="zh-CN"/>
              </w:rPr>
            </w:pPr>
            <w:r>
              <w:rPr>
                <w:rFonts w:hint="eastAsia" w:ascii="仿宋_GB2312" w:hAnsi="仿宋_GB2312"/>
                <w:b w:val="0"/>
                <w:i w:val="0"/>
                <w:snapToGrid/>
                <w:color w:val="000000"/>
                <w:spacing w:val="-5"/>
                <w:sz w:val="22"/>
                <w:szCs w:val="22"/>
                <w:u w:val="none"/>
                <w:lang w:eastAsia="zh-CN"/>
              </w:rPr>
              <w:t>行政检查</w:t>
            </w:r>
          </w:p>
        </w:tc>
        <w:tc>
          <w:tcPr>
            <w:tcW w:w="1176" w:type="dxa"/>
            <w:vAlign w:val="center"/>
          </w:tcPr>
          <w:p w14:paraId="54617D89">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b w:val="0"/>
                <w:i w:val="0"/>
                <w:snapToGrid/>
                <w:color w:val="000000"/>
                <w:sz w:val="22"/>
                <w:szCs w:val="22"/>
                <w:u w:val="none"/>
                <w:lang w:eastAsia="zh-CN"/>
              </w:rPr>
            </w:pPr>
            <w:r>
              <w:rPr>
                <w:rFonts w:hint="eastAsia" w:ascii="仿宋_GB2312" w:hAnsi="仿宋_GB2312"/>
                <w:b w:val="0"/>
                <w:i w:val="0"/>
                <w:snapToGrid/>
                <w:color w:val="000000"/>
                <w:spacing w:val="-11"/>
                <w:sz w:val="22"/>
                <w:szCs w:val="22"/>
                <w:u w:val="none"/>
                <w:lang w:eastAsia="zh-CN"/>
              </w:rPr>
              <w:t>医疗保险稽核</w:t>
            </w:r>
          </w:p>
        </w:tc>
        <w:tc>
          <w:tcPr>
            <w:tcW w:w="1128" w:type="dxa"/>
            <w:vAlign w:val="center"/>
          </w:tcPr>
          <w:p w14:paraId="74E49A35">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center"/>
              <w:textAlignment w:val="center"/>
              <w:outlineLvl w:val="9"/>
              <w:rPr>
                <w:rFonts w:hint="eastAsia" w:ascii="仿宋_GB2312" w:hAnsi="仿宋_GB2312"/>
                <w:b w:val="0"/>
                <w:i w:val="0"/>
                <w:snapToGrid/>
                <w:color w:val="000000"/>
                <w:sz w:val="22"/>
                <w:szCs w:val="22"/>
                <w:u w:val="none"/>
                <w:lang w:eastAsia="zh-CN"/>
              </w:rPr>
            </w:pPr>
            <w:r>
              <w:rPr>
                <w:rFonts w:hint="eastAsia" w:ascii="仿宋_GB2312" w:hAnsi="仿宋_GB2312"/>
                <w:b w:val="0"/>
                <w:i w:val="0"/>
                <w:snapToGrid/>
                <w:color w:val="000000"/>
                <w:sz w:val="22"/>
                <w:szCs w:val="22"/>
                <w:u w:val="none"/>
                <w:lang w:val="en-US" w:eastAsia="zh-CN"/>
              </w:rPr>
              <w:t>滦州市医疗保障局</w:t>
            </w:r>
          </w:p>
        </w:tc>
        <w:tc>
          <w:tcPr>
            <w:tcW w:w="3948" w:type="dxa"/>
            <w:vAlign w:val="center"/>
          </w:tcPr>
          <w:p w14:paraId="5C0BA20C">
            <w:pPr>
              <w:keepNext w:val="0"/>
              <w:keepLines w:val="0"/>
              <w:pageBreakBefore w:val="0"/>
              <w:widowControl w:val="0"/>
              <w:kinsoku/>
              <w:wordWrap/>
              <w:overflowPunct/>
              <w:topLinePunct w:val="0"/>
              <w:autoSpaceDE/>
              <w:autoSpaceDN w:val="0"/>
              <w:bidi w:val="0"/>
              <w:adjustRightInd/>
              <w:snapToGrid/>
              <w:spacing w:line="280" w:lineRule="exact"/>
              <w:ind w:left="0" w:leftChars="0" w:right="0" w:rightChars="0" w:firstLine="0" w:firstLineChars="0"/>
              <w:jc w:val="both"/>
              <w:textAlignment w:val="center"/>
              <w:outlineLvl w:val="9"/>
              <w:rPr>
                <w:rFonts w:hint="eastAsia" w:ascii="仿宋_GB2312" w:hAnsi="仿宋_GB2312" w:eastAsia="仿宋_GB2312"/>
                <w:b w:val="0"/>
                <w:i w:val="0"/>
                <w:snapToGrid/>
                <w:color w:val="000000"/>
                <w:spacing w:val="-11"/>
                <w:sz w:val="22"/>
                <w:szCs w:val="22"/>
                <w:u w:val="none"/>
                <w:lang w:val="en-US" w:eastAsia="zh-CN"/>
              </w:rPr>
            </w:pPr>
            <w:r>
              <w:rPr>
                <w:rFonts w:hint="eastAsia" w:ascii="仿宋_GB2312" w:hAnsi="仿宋_GB2312" w:eastAsia="仿宋_GB2312"/>
                <w:b w:val="0"/>
                <w:i w:val="0"/>
                <w:snapToGrid/>
                <w:color w:val="000000"/>
                <w:spacing w:val="-11"/>
                <w:sz w:val="22"/>
                <w:szCs w:val="22"/>
                <w:u w:val="none"/>
                <w:lang w:val="en-US" w:eastAsia="zh-CN"/>
              </w:rPr>
              <w:t>1.《中华人民共和国社会保险法》（中华人民共和国主席令第35号，2018年12月29日施行）第三十一条：社会保险经办机构根据管理服务的需要，可以与医疗机构、药品经营单位签订服务协议，规范医疗服务行为。</w:t>
            </w:r>
          </w:p>
          <w:p w14:paraId="71681ACB">
            <w:pPr>
              <w:keepNext w:val="0"/>
              <w:keepLines w:val="0"/>
              <w:pageBreakBefore w:val="0"/>
              <w:widowControl w:val="0"/>
              <w:kinsoku/>
              <w:wordWrap/>
              <w:overflowPunct/>
              <w:topLinePunct w:val="0"/>
              <w:autoSpaceDE/>
              <w:autoSpaceDN w:val="0"/>
              <w:bidi w:val="0"/>
              <w:adjustRightInd/>
              <w:snapToGrid/>
              <w:spacing w:line="280" w:lineRule="exact"/>
              <w:ind w:left="0" w:leftChars="0" w:right="0" w:rightChars="0" w:firstLine="0" w:firstLineChars="0"/>
              <w:jc w:val="both"/>
              <w:textAlignment w:val="center"/>
              <w:outlineLvl w:val="9"/>
              <w:rPr>
                <w:rFonts w:hint="eastAsia" w:ascii="仿宋_GB2312" w:hAnsi="仿宋_GB2312" w:eastAsia="仿宋_GB2312"/>
                <w:b w:val="0"/>
                <w:i w:val="0"/>
                <w:snapToGrid/>
                <w:color w:val="000000"/>
                <w:spacing w:val="-11"/>
                <w:sz w:val="22"/>
                <w:szCs w:val="22"/>
                <w:u w:val="none"/>
                <w:lang w:val="en-US" w:eastAsia="zh-CN"/>
              </w:rPr>
            </w:pPr>
            <w:r>
              <w:rPr>
                <w:rFonts w:hint="eastAsia" w:ascii="仿宋_GB2312" w:hAnsi="仿宋_GB2312" w:eastAsia="仿宋_GB2312"/>
                <w:b w:val="0"/>
                <w:i w:val="0"/>
                <w:snapToGrid/>
                <w:color w:val="000000"/>
                <w:spacing w:val="-11"/>
                <w:sz w:val="22"/>
                <w:szCs w:val="22"/>
                <w:u w:val="none"/>
                <w:lang w:val="en-US" w:eastAsia="zh-CN"/>
              </w:rPr>
              <w:t>2.《河北省基本医疗保险服务监督管理办法》（河北省人民政府令〔2015〕第12号，2016年2月1日施行 根据2023年1月20日河北省人民政府令〔2023〕第1号修正）第十一条：医疗保险经办机构应当按照国家、本省和本统筹区有关规定以及基本医疗保险服务协议的约定，建立有关费用结算关系，对医疗机构和零售药店履行协议的情况进行日常监督管理。</w:t>
            </w:r>
          </w:p>
        </w:tc>
        <w:tc>
          <w:tcPr>
            <w:tcW w:w="3744" w:type="dxa"/>
            <w:vAlign w:val="center"/>
          </w:tcPr>
          <w:p w14:paraId="0D5FAF31">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eastAsia="zh-CN"/>
              </w:rPr>
            </w:pPr>
            <w:r>
              <w:rPr>
                <w:rFonts w:hint="eastAsia" w:ascii="仿宋_GB2312" w:hAnsi="仿宋_GB2312"/>
                <w:b w:val="0"/>
                <w:i w:val="0"/>
                <w:snapToGrid/>
                <w:color w:val="000000"/>
                <w:sz w:val="22"/>
                <w:szCs w:val="22"/>
                <w:u w:val="none"/>
                <w:lang w:val="en-US" w:eastAsia="zh-CN"/>
              </w:rPr>
              <w:t>1、检查责任：</w:t>
            </w:r>
            <w:r>
              <w:rPr>
                <w:rFonts w:hint="eastAsia" w:ascii="仿宋_GB2312" w:hAnsi="仿宋_GB2312"/>
                <w:b w:val="0"/>
                <w:i w:val="0"/>
                <w:snapToGrid/>
                <w:color w:val="000000"/>
                <w:sz w:val="22"/>
                <w:szCs w:val="22"/>
                <w:u w:val="none"/>
                <w:lang w:eastAsia="zh-CN"/>
              </w:rPr>
              <w:t>对</w:t>
            </w:r>
            <w:r>
              <w:rPr>
                <w:rFonts w:hint="eastAsia" w:ascii="仿宋_GB2312" w:hAnsi="仿宋_GB2312"/>
                <w:b w:val="0"/>
                <w:i w:val="0"/>
                <w:snapToGrid/>
                <w:color w:val="000000"/>
                <w:spacing w:val="-11"/>
                <w:sz w:val="22"/>
                <w:szCs w:val="22"/>
                <w:u w:val="none"/>
                <w:lang w:val="en-US" w:eastAsia="zh-CN"/>
              </w:rPr>
              <w:t>医疗保险费</w:t>
            </w:r>
            <w:r>
              <w:rPr>
                <w:rFonts w:hint="eastAsia" w:ascii="仿宋_GB2312" w:hAnsi="仿宋_GB2312" w:eastAsia="仿宋_GB2312"/>
                <w:b w:val="0"/>
                <w:i w:val="0"/>
                <w:snapToGrid/>
                <w:color w:val="000000"/>
                <w:spacing w:val="-11"/>
                <w:sz w:val="22"/>
                <w:szCs w:val="22"/>
                <w:u w:val="none"/>
                <w:lang w:val="en-US" w:eastAsia="zh-CN"/>
              </w:rPr>
              <w:t>开展稽核工作</w:t>
            </w:r>
            <w:r>
              <w:rPr>
                <w:rFonts w:hint="eastAsia" w:ascii="仿宋_GB2312" w:hAnsi="仿宋_GB2312"/>
                <w:b w:val="0"/>
                <w:i w:val="0"/>
                <w:snapToGrid/>
                <w:color w:val="000000"/>
                <w:sz w:val="22"/>
                <w:szCs w:val="22"/>
                <w:u w:val="none"/>
                <w:lang w:eastAsia="zh-CN"/>
              </w:rPr>
              <w:t>；</w:t>
            </w:r>
          </w:p>
          <w:p w14:paraId="57925EAD">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2、处置责任：对监督检查发现的问题，责令限期整改、依法实施处罚；</w:t>
            </w:r>
          </w:p>
          <w:p w14:paraId="7004761D">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3、移送责任：及时予以公告，对构成违法犯罪的移送司法机关；</w:t>
            </w:r>
          </w:p>
          <w:p w14:paraId="0985C901">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4、事后管理责任：对稽核发现问题的整改情况组织进行核查；</w:t>
            </w:r>
          </w:p>
          <w:p w14:paraId="634B433A">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5、其他责任：法律法规规章等规定应履行的责任。</w:t>
            </w:r>
          </w:p>
        </w:tc>
        <w:tc>
          <w:tcPr>
            <w:tcW w:w="3144" w:type="dxa"/>
            <w:vAlign w:val="center"/>
          </w:tcPr>
          <w:p w14:paraId="37FCC7D1">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因不履行或不正确履行行政职责，有下列情形的，行政机关及相关工作人员应承担相应责任：</w:t>
            </w:r>
          </w:p>
          <w:p w14:paraId="7A8C446A">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1、未依法履行基本医疗保险管理服务职责的；</w:t>
            </w:r>
          </w:p>
          <w:p w14:paraId="6B51C5FF">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2、克扣或者拒不按时支付基本医疗保险基金的；</w:t>
            </w:r>
          </w:p>
          <w:p w14:paraId="21A7BC0D">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3、</w:t>
            </w:r>
            <w:r>
              <w:rPr>
                <w:rFonts w:hint="eastAsia" w:ascii="仿宋_GB2312"/>
                <w:sz w:val="22"/>
                <w:szCs w:val="22"/>
                <w:vertAlign w:val="baseline"/>
                <w:lang w:val="en-US" w:eastAsia="zh-CN"/>
              </w:rPr>
              <w:t>丢失或者篡改基本医疗保险待遇记录的</w:t>
            </w:r>
            <w:r>
              <w:rPr>
                <w:rFonts w:hint="eastAsia" w:ascii="仿宋_GB2312" w:hAnsi="仿宋_GB2312"/>
                <w:b w:val="0"/>
                <w:i w:val="0"/>
                <w:snapToGrid/>
                <w:color w:val="000000"/>
                <w:sz w:val="22"/>
                <w:szCs w:val="22"/>
                <w:u w:val="none"/>
                <w:lang w:val="en-US" w:eastAsia="zh-CN"/>
              </w:rPr>
              <w:t>；</w:t>
            </w:r>
          </w:p>
          <w:p w14:paraId="29D03E5B">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4、骗取或者协助他人骗取基本医疗保险基金支出的；</w:t>
            </w:r>
          </w:p>
          <w:p w14:paraId="217493E6">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5.在稽核工作中滥用职权、徇私舞弊、玩忽职守的；</w:t>
            </w:r>
          </w:p>
          <w:p w14:paraId="561DDD97">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6.其他违反法律法规规章文件规定的行为。</w:t>
            </w:r>
          </w:p>
        </w:tc>
        <w:tc>
          <w:tcPr>
            <w:tcW w:w="687" w:type="dxa"/>
            <w:vAlign w:val="center"/>
          </w:tcPr>
          <w:p w14:paraId="5F222177">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center"/>
              <w:textAlignment w:val="center"/>
              <w:outlineLvl w:val="9"/>
              <w:rPr>
                <w:rFonts w:hint="eastAsia" w:ascii="仿宋_GB2312" w:hAnsi="仿宋_GB2312" w:eastAsia="仿宋_GB2312"/>
                <w:b w:val="0"/>
                <w:i w:val="0"/>
                <w:snapToGrid/>
                <w:color w:val="000000"/>
                <w:sz w:val="22"/>
                <w:szCs w:val="22"/>
                <w:u w:val="none"/>
                <w:lang w:eastAsia="zh-CN"/>
              </w:rPr>
            </w:pPr>
          </w:p>
        </w:tc>
      </w:tr>
      <w:tr w14:paraId="2AE43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9" w:hRule="exact"/>
          <w:jc w:val="center"/>
        </w:trPr>
        <w:tc>
          <w:tcPr>
            <w:tcW w:w="713" w:type="dxa"/>
            <w:vAlign w:val="center"/>
          </w:tcPr>
          <w:p w14:paraId="1FCB01EB">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center"/>
              <w:textAlignment w:val="center"/>
              <w:outlineLvl w:val="9"/>
              <w:rPr>
                <w:rFonts w:hint="default"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16</w:t>
            </w:r>
          </w:p>
        </w:tc>
        <w:tc>
          <w:tcPr>
            <w:tcW w:w="1236" w:type="dxa"/>
            <w:vAlign w:val="center"/>
          </w:tcPr>
          <w:p w14:paraId="3F148D90">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center"/>
              <w:textAlignment w:val="center"/>
              <w:outlineLvl w:val="9"/>
              <w:rPr>
                <w:rFonts w:hint="eastAsia" w:ascii="仿宋_GB2312" w:hAnsi="仿宋_GB2312"/>
                <w:b w:val="0"/>
                <w:i w:val="0"/>
                <w:snapToGrid/>
                <w:color w:val="000000"/>
                <w:spacing w:val="-5"/>
                <w:sz w:val="22"/>
                <w:szCs w:val="22"/>
                <w:u w:val="none"/>
                <w:lang w:eastAsia="zh-CN"/>
              </w:rPr>
            </w:pPr>
            <w:r>
              <w:rPr>
                <w:rFonts w:hint="eastAsia" w:ascii="仿宋_GB2312" w:hAnsi="仿宋_GB2312"/>
                <w:b w:val="0"/>
                <w:i w:val="0"/>
                <w:snapToGrid/>
                <w:color w:val="000000"/>
                <w:spacing w:val="-5"/>
                <w:sz w:val="22"/>
                <w:szCs w:val="22"/>
                <w:u w:val="none"/>
                <w:lang w:eastAsia="zh-CN"/>
              </w:rPr>
              <w:t>行政奖励</w:t>
            </w:r>
          </w:p>
        </w:tc>
        <w:tc>
          <w:tcPr>
            <w:tcW w:w="1176" w:type="dxa"/>
            <w:vAlign w:val="center"/>
          </w:tcPr>
          <w:p w14:paraId="591B78CB">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b w:val="0"/>
                <w:i w:val="0"/>
                <w:snapToGrid/>
                <w:color w:val="000000"/>
                <w:sz w:val="22"/>
                <w:szCs w:val="22"/>
                <w:u w:val="none"/>
                <w:lang w:eastAsia="zh-CN"/>
              </w:rPr>
            </w:pPr>
            <w:r>
              <w:rPr>
                <w:rFonts w:hint="eastAsia" w:ascii="仿宋_GB2312" w:hAnsi="仿宋_GB2312"/>
                <w:b w:val="0"/>
                <w:i w:val="0"/>
                <w:snapToGrid/>
                <w:color w:val="000000"/>
                <w:sz w:val="22"/>
                <w:szCs w:val="22"/>
                <w:u w:val="none"/>
                <w:lang w:eastAsia="zh-CN"/>
              </w:rPr>
              <w:t>对举报人举报欺诈骗取医保基金行为进行奖励</w:t>
            </w:r>
          </w:p>
        </w:tc>
        <w:tc>
          <w:tcPr>
            <w:tcW w:w="1128" w:type="dxa"/>
            <w:vAlign w:val="center"/>
          </w:tcPr>
          <w:p w14:paraId="1744B311">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center"/>
              <w:textAlignment w:val="center"/>
              <w:outlineLvl w:val="9"/>
              <w:rPr>
                <w:rFonts w:hint="eastAsia" w:ascii="仿宋_GB2312" w:hAnsi="仿宋_GB2312"/>
                <w:b w:val="0"/>
                <w:i w:val="0"/>
                <w:snapToGrid/>
                <w:color w:val="000000"/>
                <w:sz w:val="22"/>
                <w:szCs w:val="22"/>
                <w:u w:val="none"/>
                <w:lang w:eastAsia="zh-CN"/>
              </w:rPr>
            </w:pPr>
            <w:r>
              <w:rPr>
                <w:rFonts w:hint="eastAsia" w:ascii="仿宋_GB2312" w:hAnsi="仿宋_GB2312"/>
                <w:b w:val="0"/>
                <w:i w:val="0"/>
                <w:snapToGrid/>
                <w:color w:val="000000"/>
                <w:sz w:val="22"/>
                <w:szCs w:val="22"/>
                <w:u w:val="none"/>
                <w:lang w:val="en-US" w:eastAsia="zh-CN"/>
              </w:rPr>
              <w:t>滦州市医疗保障局</w:t>
            </w:r>
          </w:p>
        </w:tc>
        <w:tc>
          <w:tcPr>
            <w:tcW w:w="3948" w:type="dxa"/>
            <w:vAlign w:val="center"/>
          </w:tcPr>
          <w:p w14:paraId="273D77FB">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eastAsia="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《河北省违法违规使用医疗保障基金举报奖励办法实施细则》（冀医保规〔2023〕1号）</w:t>
            </w:r>
          </w:p>
        </w:tc>
        <w:tc>
          <w:tcPr>
            <w:tcW w:w="3744" w:type="dxa"/>
            <w:vAlign w:val="center"/>
          </w:tcPr>
          <w:p w14:paraId="52365646">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1、受理责任：依法受理、办理本级管辖范围内及上级交办、同级转办的欺诈骗取医疗保障基金行为举报线索；</w:t>
            </w:r>
          </w:p>
          <w:p w14:paraId="30EB448B">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2、督办责任：对属于下级医疗保障部门管辖范围的欺诈骗取医疗保障基金行为举报进行转办和督办；</w:t>
            </w:r>
          </w:p>
          <w:p w14:paraId="046E0463">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3、查处责任：根据受理的举报案件线索，开展立案调查，积极会同有关部门协同办理跨行政区域、跨统筹层级及跨管理部门的欺诈骗取医疗保障基金行为举报线索；</w:t>
            </w:r>
          </w:p>
          <w:p w14:paraId="4CA55911">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4、奖励责任：根据举报案件查处金额，按照规定比例对调查属实的举报案件举报人实施奖励；</w:t>
            </w:r>
          </w:p>
          <w:p w14:paraId="30DE15D3">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5、其他法律法规规章文件规定应履行的责任。</w:t>
            </w:r>
          </w:p>
        </w:tc>
        <w:tc>
          <w:tcPr>
            <w:tcW w:w="3144" w:type="dxa"/>
            <w:vAlign w:val="center"/>
          </w:tcPr>
          <w:p w14:paraId="541965C6">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因不履行或不正确履行行政职责，有下列情形的，行政机关及相关工作人员应承担相应责任：</w:t>
            </w:r>
          </w:p>
          <w:p w14:paraId="3B99CEC8">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1、对举报线索应当依法受理、立案调查，不受理的；</w:t>
            </w:r>
          </w:p>
          <w:p w14:paraId="4569243A">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2.泄露举报人相关信息的；</w:t>
            </w:r>
          </w:p>
          <w:p w14:paraId="71535417">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3、伪造或者教唆、伙同他人伪造举报材料,冒领举报奖金的；</w:t>
            </w:r>
          </w:p>
          <w:p w14:paraId="71F85BCB">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4、工作中滥用职权、徇私舞弊、玩忽职守造成不良后果的；</w:t>
            </w:r>
          </w:p>
          <w:p w14:paraId="559C22B7">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5、工作中贪污、挪用、私分、截留奖励资金的；</w:t>
            </w:r>
          </w:p>
          <w:p w14:paraId="65C28762">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6、其他违反法律法规规章文件规定的行为。</w:t>
            </w:r>
          </w:p>
        </w:tc>
        <w:tc>
          <w:tcPr>
            <w:tcW w:w="687" w:type="dxa"/>
            <w:vAlign w:val="center"/>
          </w:tcPr>
          <w:p w14:paraId="25D64D1E">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center"/>
              <w:textAlignment w:val="center"/>
              <w:outlineLvl w:val="9"/>
              <w:rPr>
                <w:rFonts w:hint="eastAsia" w:ascii="仿宋_GB2312" w:hAnsi="仿宋_GB2312" w:eastAsia="仿宋_GB2312"/>
                <w:b w:val="0"/>
                <w:i w:val="0"/>
                <w:snapToGrid/>
                <w:color w:val="000000"/>
                <w:sz w:val="22"/>
                <w:szCs w:val="22"/>
                <w:u w:val="none"/>
                <w:lang w:eastAsia="zh-CN"/>
              </w:rPr>
            </w:pPr>
          </w:p>
        </w:tc>
      </w:tr>
      <w:tr w14:paraId="07493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9" w:hRule="exact"/>
          <w:jc w:val="center"/>
        </w:trPr>
        <w:tc>
          <w:tcPr>
            <w:tcW w:w="713" w:type="dxa"/>
            <w:vAlign w:val="center"/>
          </w:tcPr>
          <w:p w14:paraId="43A37FFF">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center"/>
              <w:textAlignment w:val="center"/>
              <w:outlineLvl w:val="9"/>
              <w:rPr>
                <w:rFonts w:hint="default" w:ascii="仿宋_GB2312" w:hAnsi="仿宋_GB2312"/>
                <w:b w:val="0"/>
                <w:i w:val="0"/>
                <w:snapToGrid/>
                <w:color w:val="000000"/>
                <w:sz w:val="22"/>
                <w:szCs w:val="22"/>
                <w:u w:val="none"/>
                <w:lang w:val="en-US" w:eastAsia="zh-CN"/>
              </w:rPr>
            </w:pPr>
            <w:r>
              <w:rPr>
                <w:rFonts w:hint="default" w:ascii="仿宋_GB2312" w:hAnsi="仿宋_GB2312"/>
                <w:b w:val="0"/>
                <w:i w:val="0"/>
                <w:snapToGrid/>
                <w:color w:val="000000"/>
                <w:sz w:val="22"/>
                <w:szCs w:val="22"/>
                <w:u w:val="none"/>
                <w:lang w:val="en-US" w:eastAsia="zh-CN"/>
              </w:rPr>
              <w:t>1</w:t>
            </w:r>
            <w:r>
              <w:rPr>
                <w:rFonts w:hint="eastAsia" w:ascii="仿宋_GB2312" w:hAnsi="仿宋_GB2312"/>
                <w:b w:val="0"/>
                <w:i w:val="0"/>
                <w:snapToGrid/>
                <w:color w:val="000000"/>
                <w:sz w:val="22"/>
                <w:szCs w:val="22"/>
                <w:u w:val="none"/>
                <w:lang w:val="en-US" w:eastAsia="zh-CN"/>
              </w:rPr>
              <w:t>7</w:t>
            </w:r>
          </w:p>
        </w:tc>
        <w:tc>
          <w:tcPr>
            <w:tcW w:w="1236" w:type="dxa"/>
            <w:vAlign w:val="center"/>
          </w:tcPr>
          <w:p w14:paraId="5373B7B4">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center"/>
              <w:textAlignment w:val="center"/>
              <w:outlineLvl w:val="9"/>
              <w:rPr>
                <w:rFonts w:hint="default" w:ascii="仿宋_GB2312" w:hAnsi="仿宋_GB2312"/>
                <w:b w:val="0"/>
                <w:i w:val="0"/>
                <w:snapToGrid/>
                <w:color w:val="000000"/>
                <w:spacing w:val="-5"/>
                <w:sz w:val="22"/>
                <w:szCs w:val="22"/>
                <w:u w:val="none"/>
                <w:lang w:val="en-US" w:eastAsia="zh-CN"/>
              </w:rPr>
            </w:pPr>
            <w:r>
              <w:rPr>
                <w:rFonts w:hint="eastAsia" w:ascii="仿宋_GB2312" w:hAnsi="仿宋_GB2312"/>
                <w:b w:val="0"/>
                <w:i w:val="0"/>
                <w:snapToGrid/>
                <w:color w:val="000000"/>
                <w:spacing w:val="-5"/>
                <w:sz w:val="22"/>
                <w:szCs w:val="22"/>
                <w:u w:val="none"/>
                <w:lang w:val="en-US" w:eastAsia="zh-CN"/>
              </w:rPr>
              <w:t>行政备案</w:t>
            </w:r>
          </w:p>
        </w:tc>
        <w:tc>
          <w:tcPr>
            <w:tcW w:w="1176" w:type="dxa"/>
            <w:vAlign w:val="center"/>
          </w:tcPr>
          <w:p w14:paraId="61B79CC9">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left"/>
              <w:textAlignment w:val="center"/>
              <w:outlineLvl w:val="9"/>
              <w:rPr>
                <w:rFonts w:hint="eastAsia" w:ascii="仿宋_GB2312" w:hAnsi="仿宋_GB2312"/>
                <w:b w:val="0"/>
                <w:i w:val="0"/>
                <w:snapToGrid/>
                <w:color w:val="000000"/>
                <w:sz w:val="22"/>
                <w:szCs w:val="22"/>
                <w:u w:val="none"/>
                <w:lang w:eastAsia="zh-CN"/>
              </w:rPr>
            </w:pPr>
            <w:r>
              <w:rPr>
                <w:rFonts w:hint="eastAsia" w:ascii="仿宋_GB2312" w:hAnsi="仿宋_GB2312"/>
                <w:b w:val="0"/>
                <w:i w:val="0"/>
                <w:snapToGrid/>
                <w:color w:val="000000"/>
                <w:sz w:val="22"/>
                <w:szCs w:val="22"/>
                <w:u w:val="none"/>
                <w:lang w:eastAsia="zh-CN"/>
              </w:rPr>
              <w:t>基本医疗保险参保人员异地就医备案</w:t>
            </w:r>
          </w:p>
        </w:tc>
        <w:tc>
          <w:tcPr>
            <w:tcW w:w="1128" w:type="dxa"/>
            <w:vAlign w:val="center"/>
          </w:tcPr>
          <w:p w14:paraId="518475CC">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center"/>
              <w:textAlignment w:val="center"/>
              <w:outlineLvl w:val="9"/>
              <w:rPr>
                <w:rFonts w:hint="default"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滦州市医疗保障局</w:t>
            </w:r>
          </w:p>
        </w:tc>
        <w:tc>
          <w:tcPr>
            <w:tcW w:w="3948" w:type="dxa"/>
            <w:vAlign w:val="center"/>
          </w:tcPr>
          <w:p w14:paraId="481226B4">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0"/>
              <w:rPr>
                <w:rFonts w:hint="eastAsia" w:ascii="仿宋_GB2312" w:hAnsi="仿宋_GB2312" w:eastAsia="仿宋_GB2312" w:cstheme="minorBidi"/>
                <w:b w:val="0"/>
                <w:i w:val="0"/>
                <w:snapToGrid/>
                <w:color w:val="000000"/>
                <w:kern w:val="2"/>
                <w:sz w:val="22"/>
                <w:szCs w:val="22"/>
                <w:u w:val="none"/>
                <w:lang w:val="en-US" w:eastAsia="zh-CN" w:bidi="ar-SA"/>
              </w:rPr>
            </w:pPr>
            <w:r>
              <w:rPr>
                <w:rFonts w:hint="eastAsia" w:ascii="仿宋_GB2312" w:hAnsi="仿宋_GB2312" w:eastAsia="仿宋_GB2312" w:cstheme="minorBidi"/>
                <w:b w:val="0"/>
                <w:i w:val="0"/>
                <w:snapToGrid/>
                <w:color w:val="000000"/>
                <w:kern w:val="2"/>
                <w:sz w:val="22"/>
                <w:szCs w:val="22"/>
                <w:u w:val="none"/>
                <w:lang w:val="en-US" w:eastAsia="zh-CN" w:bidi="ar-SA"/>
              </w:rPr>
              <w:t>《中华人民共和国社会保险法》第二十九条：参保人员医疗费用中应当由基本医疗保险基金支付的部分，由社会保险经办机构与医疗机构、药品经营单位直接结算。社会保险行政部门和卫生行政部门应当建立异地就医医疗费用结算制度，方便参保人员享受基本医疗保险待遇。</w:t>
            </w:r>
          </w:p>
          <w:p w14:paraId="185A2665">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p>
        </w:tc>
        <w:tc>
          <w:tcPr>
            <w:tcW w:w="3744" w:type="dxa"/>
            <w:vAlign w:val="center"/>
          </w:tcPr>
          <w:p w14:paraId="7075DA84">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1、受理责任：依法受理、办理本级管辖范围内</w:t>
            </w:r>
            <w:r>
              <w:rPr>
                <w:rFonts w:hint="eastAsia" w:ascii="仿宋_GB2312" w:hAnsi="仿宋_GB2312"/>
                <w:b w:val="0"/>
                <w:i w:val="0"/>
                <w:snapToGrid/>
                <w:color w:val="000000"/>
                <w:sz w:val="22"/>
                <w:szCs w:val="22"/>
                <w:u w:val="none"/>
                <w:lang w:eastAsia="zh-CN"/>
              </w:rPr>
              <w:t>基本医疗保险参保人员异地就医备案</w:t>
            </w:r>
            <w:r>
              <w:rPr>
                <w:rFonts w:hint="eastAsia" w:ascii="仿宋_GB2312" w:hAnsi="仿宋_GB2312"/>
                <w:b w:val="0"/>
                <w:i w:val="0"/>
                <w:snapToGrid/>
                <w:color w:val="000000"/>
                <w:sz w:val="22"/>
                <w:szCs w:val="22"/>
                <w:u w:val="none"/>
                <w:lang w:val="en-US" w:eastAsia="zh-CN"/>
              </w:rPr>
              <w:t>；</w:t>
            </w:r>
          </w:p>
          <w:p w14:paraId="23B81B3D">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2、公示责任：依法依规公示办理依据、办理条件、办理程序、办理期限等内容。</w:t>
            </w:r>
          </w:p>
          <w:p w14:paraId="2768141C">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3、监督责任：对已办理服务对象提供信息的真实性、准确性进行监督检查，对服务对象的不当行为进行纠正；</w:t>
            </w:r>
          </w:p>
          <w:p w14:paraId="67CAC411">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4、其他法律法规规章文件规定应履行的责任。</w:t>
            </w:r>
          </w:p>
        </w:tc>
        <w:tc>
          <w:tcPr>
            <w:tcW w:w="3144" w:type="dxa"/>
            <w:vAlign w:val="center"/>
          </w:tcPr>
          <w:p w14:paraId="4E374B2E">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因不履行或不正确履行行政职责，有下列情形的，行政机关及相关工作人员应承担相应责任：</w:t>
            </w:r>
          </w:p>
          <w:p w14:paraId="4029D638">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1、对参保人员异地就医备案应当依法受理、不受理的；</w:t>
            </w:r>
          </w:p>
          <w:p w14:paraId="772969BC">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2.泄露参保人员备案相关信息的；</w:t>
            </w:r>
          </w:p>
          <w:p w14:paraId="492D3C2E">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eastAsia" w:ascii="仿宋_GB2312" w:hAnsi="仿宋_GB2312"/>
                <w:b w:val="0"/>
                <w:i w:val="0"/>
                <w:snapToGrid/>
                <w:color w:val="000000"/>
                <w:sz w:val="22"/>
                <w:szCs w:val="22"/>
                <w:u w:val="none"/>
                <w:lang w:val="en-US" w:eastAsia="zh-CN"/>
              </w:rPr>
              <w:t>3、工作中滥用职权、徇私舞弊、玩忽职守造成不良后果的；</w:t>
            </w:r>
          </w:p>
          <w:p w14:paraId="50B9FE19">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仿宋_GB2312" w:hAnsi="仿宋_GB2312"/>
                <w:b w:val="0"/>
                <w:i w:val="0"/>
                <w:snapToGrid/>
                <w:color w:val="000000"/>
                <w:sz w:val="22"/>
                <w:szCs w:val="22"/>
                <w:u w:val="none"/>
                <w:lang w:val="en-US" w:eastAsia="zh-CN"/>
              </w:rPr>
            </w:pPr>
            <w:r>
              <w:rPr>
                <w:rFonts w:hint="default" w:ascii="仿宋_GB2312" w:hAnsi="仿宋_GB2312"/>
                <w:b w:val="0"/>
                <w:i w:val="0"/>
                <w:snapToGrid/>
                <w:color w:val="000000"/>
                <w:sz w:val="22"/>
                <w:szCs w:val="22"/>
                <w:u w:val="none"/>
                <w:lang w:val="en-US" w:eastAsia="zh-CN"/>
              </w:rPr>
              <w:t>4</w:t>
            </w:r>
            <w:r>
              <w:rPr>
                <w:rFonts w:hint="eastAsia" w:ascii="仿宋_GB2312" w:hAnsi="仿宋_GB2312"/>
                <w:b w:val="0"/>
                <w:i w:val="0"/>
                <w:snapToGrid/>
                <w:color w:val="000000"/>
                <w:sz w:val="22"/>
                <w:szCs w:val="22"/>
                <w:u w:val="none"/>
                <w:lang w:val="en-US" w:eastAsia="zh-CN"/>
              </w:rPr>
              <w:t>、其他违反法律法规规章文件规定的行为。</w:t>
            </w:r>
          </w:p>
        </w:tc>
        <w:tc>
          <w:tcPr>
            <w:tcW w:w="687" w:type="dxa"/>
            <w:vAlign w:val="center"/>
          </w:tcPr>
          <w:p w14:paraId="4973CE07">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center"/>
              <w:textAlignment w:val="center"/>
              <w:outlineLvl w:val="9"/>
              <w:rPr>
                <w:rFonts w:hint="eastAsia" w:ascii="仿宋_GB2312" w:hAnsi="仿宋_GB2312" w:eastAsia="仿宋_GB2312"/>
                <w:b w:val="0"/>
                <w:i w:val="0"/>
                <w:snapToGrid/>
                <w:color w:val="000000"/>
                <w:sz w:val="22"/>
                <w:szCs w:val="22"/>
                <w:u w:val="none"/>
                <w:lang w:eastAsia="zh-CN"/>
              </w:rPr>
            </w:pPr>
          </w:p>
        </w:tc>
      </w:tr>
    </w:tbl>
    <w:p w14:paraId="45DB1754">
      <w:pPr>
        <w:keepNext w:val="0"/>
        <w:keepLines w:val="0"/>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480" w:firstLineChars="200"/>
        <w:jc w:val="both"/>
        <w:textAlignment w:val="auto"/>
        <w:outlineLvl w:val="9"/>
        <w:rPr>
          <w:rFonts w:hint="eastAsia" w:ascii="楷体_GB2312" w:hAnsi="楷体_GB2312" w:eastAsia="楷体_GB2312"/>
          <w:sz w:val="24"/>
          <w:lang w:val="en-US" w:eastAsia="zh-CN"/>
        </w:rPr>
      </w:pPr>
    </w:p>
    <w:p w14:paraId="7AAB2016"/>
    <w:sectPr>
      <w:pgSz w:w="16838" w:h="11906" w:orient="landscape"/>
      <w:pgMar w:top="964" w:right="397" w:bottom="397" w:left="397" w:header="851" w:footer="992" w:gutter="0"/>
      <w:cols w:space="0" w:num="1"/>
      <w:rtlGutter w:val="0"/>
      <w:docGrid w:type="lines" w:linePitch="47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240"/>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4A2E54"/>
    <w:rsid w:val="00264436"/>
    <w:rsid w:val="002D0239"/>
    <w:rsid w:val="003D4F47"/>
    <w:rsid w:val="005040DE"/>
    <w:rsid w:val="00B904B9"/>
    <w:rsid w:val="00C27D3A"/>
    <w:rsid w:val="00E032E2"/>
    <w:rsid w:val="00EF4674"/>
    <w:rsid w:val="01260504"/>
    <w:rsid w:val="012E48B9"/>
    <w:rsid w:val="014B67BA"/>
    <w:rsid w:val="015D43F1"/>
    <w:rsid w:val="016131F3"/>
    <w:rsid w:val="01AF37C5"/>
    <w:rsid w:val="020240E1"/>
    <w:rsid w:val="02574FB7"/>
    <w:rsid w:val="027642EC"/>
    <w:rsid w:val="028271DF"/>
    <w:rsid w:val="02AF398C"/>
    <w:rsid w:val="02F372F2"/>
    <w:rsid w:val="03043BC5"/>
    <w:rsid w:val="03A8611F"/>
    <w:rsid w:val="03B0298E"/>
    <w:rsid w:val="03BB2984"/>
    <w:rsid w:val="03D37826"/>
    <w:rsid w:val="04112D3A"/>
    <w:rsid w:val="04115588"/>
    <w:rsid w:val="042E1588"/>
    <w:rsid w:val="04683010"/>
    <w:rsid w:val="050E148F"/>
    <w:rsid w:val="053B0BA1"/>
    <w:rsid w:val="059F35A2"/>
    <w:rsid w:val="05A71B54"/>
    <w:rsid w:val="05C161A5"/>
    <w:rsid w:val="06562033"/>
    <w:rsid w:val="0745201F"/>
    <w:rsid w:val="07595B89"/>
    <w:rsid w:val="077027F3"/>
    <w:rsid w:val="07720A33"/>
    <w:rsid w:val="077457F9"/>
    <w:rsid w:val="07992C65"/>
    <w:rsid w:val="07C413C1"/>
    <w:rsid w:val="07F1253B"/>
    <w:rsid w:val="08023E0F"/>
    <w:rsid w:val="08A24D8A"/>
    <w:rsid w:val="08B55046"/>
    <w:rsid w:val="08E55248"/>
    <w:rsid w:val="092807A2"/>
    <w:rsid w:val="09663694"/>
    <w:rsid w:val="0A2075B2"/>
    <w:rsid w:val="0A340EFD"/>
    <w:rsid w:val="0A67148E"/>
    <w:rsid w:val="0A793B32"/>
    <w:rsid w:val="0AC03AE4"/>
    <w:rsid w:val="0B275FA5"/>
    <w:rsid w:val="0B4C187E"/>
    <w:rsid w:val="0B5E4037"/>
    <w:rsid w:val="0B9F7F70"/>
    <w:rsid w:val="0BD7425E"/>
    <w:rsid w:val="0BE94B4E"/>
    <w:rsid w:val="0C01587B"/>
    <w:rsid w:val="0C1D1640"/>
    <w:rsid w:val="0C3B1A9C"/>
    <w:rsid w:val="0C4048B9"/>
    <w:rsid w:val="0C4C57C9"/>
    <w:rsid w:val="0C7552D8"/>
    <w:rsid w:val="0D744FEB"/>
    <w:rsid w:val="0D7D524A"/>
    <w:rsid w:val="0D880B19"/>
    <w:rsid w:val="0DB255E5"/>
    <w:rsid w:val="0DFB75B0"/>
    <w:rsid w:val="0ECF4E8C"/>
    <w:rsid w:val="0F2F2DC3"/>
    <w:rsid w:val="0F4A2E54"/>
    <w:rsid w:val="0F5B46BF"/>
    <w:rsid w:val="0FE6065C"/>
    <w:rsid w:val="100707A5"/>
    <w:rsid w:val="103F6174"/>
    <w:rsid w:val="107A53B0"/>
    <w:rsid w:val="109B0EF9"/>
    <w:rsid w:val="10D078C2"/>
    <w:rsid w:val="11CF7C60"/>
    <w:rsid w:val="12A01CF7"/>
    <w:rsid w:val="13157781"/>
    <w:rsid w:val="13217E57"/>
    <w:rsid w:val="133F6D81"/>
    <w:rsid w:val="137220FE"/>
    <w:rsid w:val="138C387D"/>
    <w:rsid w:val="13E02804"/>
    <w:rsid w:val="13F54010"/>
    <w:rsid w:val="14184A96"/>
    <w:rsid w:val="146F5876"/>
    <w:rsid w:val="14CB7FA5"/>
    <w:rsid w:val="14E244AE"/>
    <w:rsid w:val="14F97943"/>
    <w:rsid w:val="157F0EA2"/>
    <w:rsid w:val="15EF1E23"/>
    <w:rsid w:val="16232AB6"/>
    <w:rsid w:val="16246498"/>
    <w:rsid w:val="162C6302"/>
    <w:rsid w:val="16385413"/>
    <w:rsid w:val="16C43EFD"/>
    <w:rsid w:val="16D7565C"/>
    <w:rsid w:val="16F90E68"/>
    <w:rsid w:val="173F0680"/>
    <w:rsid w:val="17767301"/>
    <w:rsid w:val="17D168E6"/>
    <w:rsid w:val="17EB5169"/>
    <w:rsid w:val="18197EE6"/>
    <w:rsid w:val="181A1358"/>
    <w:rsid w:val="182D458E"/>
    <w:rsid w:val="18441237"/>
    <w:rsid w:val="18B123F5"/>
    <w:rsid w:val="18BF5336"/>
    <w:rsid w:val="19710EFD"/>
    <w:rsid w:val="198C62DA"/>
    <w:rsid w:val="199A357F"/>
    <w:rsid w:val="1A0517D8"/>
    <w:rsid w:val="1A083D6F"/>
    <w:rsid w:val="1A1603B0"/>
    <w:rsid w:val="1A4178C9"/>
    <w:rsid w:val="1A9277C5"/>
    <w:rsid w:val="1ADF54AF"/>
    <w:rsid w:val="1B703008"/>
    <w:rsid w:val="1BCF6F3E"/>
    <w:rsid w:val="1BD31D8D"/>
    <w:rsid w:val="1C8E1259"/>
    <w:rsid w:val="1CC6612B"/>
    <w:rsid w:val="1D7C45F8"/>
    <w:rsid w:val="1D97177C"/>
    <w:rsid w:val="1DC2510D"/>
    <w:rsid w:val="1DDA08BB"/>
    <w:rsid w:val="1DDC4E9E"/>
    <w:rsid w:val="1DF15907"/>
    <w:rsid w:val="1F2C7A66"/>
    <w:rsid w:val="1F397B5C"/>
    <w:rsid w:val="1F5836E0"/>
    <w:rsid w:val="1F590C97"/>
    <w:rsid w:val="1F744CD8"/>
    <w:rsid w:val="20133930"/>
    <w:rsid w:val="20A53D0D"/>
    <w:rsid w:val="20AE0446"/>
    <w:rsid w:val="20BE7C8F"/>
    <w:rsid w:val="20E46CD8"/>
    <w:rsid w:val="21583A0C"/>
    <w:rsid w:val="21AE4629"/>
    <w:rsid w:val="21C210A9"/>
    <w:rsid w:val="21F636AC"/>
    <w:rsid w:val="22254E18"/>
    <w:rsid w:val="229A418D"/>
    <w:rsid w:val="22B505B6"/>
    <w:rsid w:val="22DE0238"/>
    <w:rsid w:val="22EF4C72"/>
    <w:rsid w:val="22F74EA0"/>
    <w:rsid w:val="23101519"/>
    <w:rsid w:val="23181B03"/>
    <w:rsid w:val="23203368"/>
    <w:rsid w:val="2352138C"/>
    <w:rsid w:val="23D45B07"/>
    <w:rsid w:val="23F558D7"/>
    <w:rsid w:val="244A4B64"/>
    <w:rsid w:val="246C0357"/>
    <w:rsid w:val="252D795E"/>
    <w:rsid w:val="26005C02"/>
    <w:rsid w:val="260976EE"/>
    <w:rsid w:val="26AB34AC"/>
    <w:rsid w:val="2703192A"/>
    <w:rsid w:val="276305C7"/>
    <w:rsid w:val="27642843"/>
    <w:rsid w:val="2779396C"/>
    <w:rsid w:val="277C0026"/>
    <w:rsid w:val="27A12F7C"/>
    <w:rsid w:val="27BE4785"/>
    <w:rsid w:val="27CF6F88"/>
    <w:rsid w:val="27FF68FB"/>
    <w:rsid w:val="28625C0D"/>
    <w:rsid w:val="28827F66"/>
    <w:rsid w:val="2889354C"/>
    <w:rsid w:val="291812D9"/>
    <w:rsid w:val="291D0160"/>
    <w:rsid w:val="29C80F86"/>
    <w:rsid w:val="2A454A26"/>
    <w:rsid w:val="2AA77887"/>
    <w:rsid w:val="2AB62E6C"/>
    <w:rsid w:val="2ABF550B"/>
    <w:rsid w:val="2ACE4FE9"/>
    <w:rsid w:val="2B637A6C"/>
    <w:rsid w:val="2B9411CB"/>
    <w:rsid w:val="2B9E78E9"/>
    <w:rsid w:val="2C3346DE"/>
    <w:rsid w:val="2C743906"/>
    <w:rsid w:val="2CB0181B"/>
    <w:rsid w:val="2CE806E5"/>
    <w:rsid w:val="2D0B507A"/>
    <w:rsid w:val="2D1C428E"/>
    <w:rsid w:val="2D3A3D42"/>
    <w:rsid w:val="2D74523D"/>
    <w:rsid w:val="2DFE78AA"/>
    <w:rsid w:val="2E4200AC"/>
    <w:rsid w:val="2E456EF4"/>
    <w:rsid w:val="2E98151B"/>
    <w:rsid w:val="2EAD1BF6"/>
    <w:rsid w:val="2F264491"/>
    <w:rsid w:val="2F2D1BD2"/>
    <w:rsid w:val="2F81360A"/>
    <w:rsid w:val="302C2584"/>
    <w:rsid w:val="305F34A0"/>
    <w:rsid w:val="3084772A"/>
    <w:rsid w:val="30C26D4E"/>
    <w:rsid w:val="30C6482C"/>
    <w:rsid w:val="31051061"/>
    <w:rsid w:val="312A7E00"/>
    <w:rsid w:val="31561600"/>
    <w:rsid w:val="32140300"/>
    <w:rsid w:val="3215301F"/>
    <w:rsid w:val="321B4EDA"/>
    <w:rsid w:val="322C5F62"/>
    <w:rsid w:val="329908EA"/>
    <w:rsid w:val="33722B6E"/>
    <w:rsid w:val="33800FA7"/>
    <w:rsid w:val="33DA271C"/>
    <w:rsid w:val="33FF566E"/>
    <w:rsid w:val="341E32A9"/>
    <w:rsid w:val="348602CC"/>
    <w:rsid w:val="34BC2C62"/>
    <w:rsid w:val="351331CA"/>
    <w:rsid w:val="35603817"/>
    <w:rsid w:val="356176EF"/>
    <w:rsid w:val="358565C4"/>
    <w:rsid w:val="35887D95"/>
    <w:rsid w:val="36452B7C"/>
    <w:rsid w:val="364819D2"/>
    <w:rsid w:val="36627155"/>
    <w:rsid w:val="36631976"/>
    <w:rsid w:val="369D411A"/>
    <w:rsid w:val="36B819FA"/>
    <w:rsid w:val="36CE4C6C"/>
    <w:rsid w:val="36D14CAA"/>
    <w:rsid w:val="36DC3C78"/>
    <w:rsid w:val="3723135D"/>
    <w:rsid w:val="37CF5B79"/>
    <w:rsid w:val="38297581"/>
    <w:rsid w:val="385A409F"/>
    <w:rsid w:val="38A11FF1"/>
    <w:rsid w:val="38CB477E"/>
    <w:rsid w:val="38CD11D8"/>
    <w:rsid w:val="38DC666E"/>
    <w:rsid w:val="38ED4286"/>
    <w:rsid w:val="38FD76A3"/>
    <w:rsid w:val="39112D88"/>
    <w:rsid w:val="392A290A"/>
    <w:rsid w:val="39906F65"/>
    <w:rsid w:val="39C43830"/>
    <w:rsid w:val="39F56C7E"/>
    <w:rsid w:val="3A0970E1"/>
    <w:rsid w:val="3AA43608"/>
    <w:rsid w:val="3AAE5CA1"/>
    <w:rsid w:val="3AC40737"/>
    <w:rsid w:val="3B002D6B"/>
    <w:rsid w:val="3B2D4B79"/>
    <w:rsid w:val="3B494DC5"/>
    <w:rsid w:val="3B4B5C4C"/>
    <w:rsid w:val="3B6D29AF"/>
    <w:rsid w:val="3BA337A0"/>
    <w:rsid w:val="3C054E97"/>
    <w:rsid w:val="3C7F3AEB"/>
    <w:rsid w:val="3CCF7C8B"/>
    <w:rsid w:val="3D6C4EAB"/>
    <w:rsid w:val="3D9A5EC5"/>
    <w:rsid w:val="3E5662CC"/>
    <w:rsid w:val="3E6C77C7"/>
    <w:rsid w:val="3E7773F9"/>
    <w:rsid w:val="3EAB48AF"/>
    <w:rsid w:val="3EDC13D4"/>
    <w:rsid w:val="3EDE7E49"/>
    <w:rsid w:val="3F1508F9"/>
    <w:rsid w:val="3FA053A4"/>
    <w:rsid w:val="3FA55288"/>
    <w:rsid w:val="3FAE0CAE"/>
    <w:rsid w:val="3FC35562"/>
    <w:rsid w:val="40344ECB"/>
    <w:rsid w:val="40482040"/>
    <w:rsid w:val="40C42920"/>
    <w:rsid w:val="41E50F20"/>
    <w:rsid w:val="420B08CE"/>
    <w:rsid w:val="42893EC1"/>
    <w:rsid w:val="42A55AD8"/>
    <w:rsid w:val="42CB588A"/>
    <w:rsid w:val="43BA4423"/>
    <w:rsid w:val="441A6BB0"/>
    <w:rsid w:val="441C5EC4"/>
    <w:rsid w:val="44207B55"/>
    <w:rsid w:val="442C4B14"/>
    <w:rsid w:val="444C00AD"/>
    <w:rsid w:val="44690CD8"/>
    <w:rsid w:val="44D23F26"/>
    <w:rsid w:val="45495BDA"/>
    <w:rsid w:val="45521B2F"/>
    <w:rsid w:val="4556689C"/>
    <w:rsid w:val="457C54E4"/>
    <w:rsid w:val="46093209"/>
    <w:rsid w:val="46A66C70"/>
    <w:rsid w:val="46B1111D"/>
    <w:rsid w:val="46C946A9"/>
    <w:rsid w:val="47662241"/>
    <w:rsid w:val="479A2493"/>
    <w:rsid w:val="47DC0B10"/>
    <w:rsid w:val="480901F9"/>
    <w:rsid w:val="48483DDF"/>
    <w:rsid w:val="48520470"/>
    <w:rsid w:val="48BA3384"/>
    <w:rsid w:val="48CB3B4D"/>
    <w:rsid w:val="49194F05"/>
    <w:rsid w:val="495C2CEF"/>
    <w:rsid w:val="49920BED"/>
    <w:rsid w:val="4A6431EF"/>
    <w:rsid w:val="4AB81078"/>
    <w:rsid w:val="4ABB0C65"/>
    <w:rsid w:val="4B320869"/>
    <w:rsid w:val="4B60237E"/>
    <w:rsid w:val="4B7B590F"/>
    <w:rsid w:val="4BBA7AF5"/>
    <w:rsid w:val="4C1348DF"/>
    <w:rsid w:val="4C5751DC"/>
    <w:rsid w:val="4C8B33D8"/>
    <w:rsid w:val="4CBB7354"/>
    <w:rsid w:val="4CC933A4"/>
    <w:rsid w:val="4CE14E37"/>
    <w:rsid w:val="4CE4450F"/>
    <w:rsid w:val="4D0D5607"/>
    <w:rsid w:val="4D2745BF"/>
    <w:rsid w:val="4E2C743A"/>
    <w:rsid w:val="4E4423D3"/>
    <w:rsid w:val="4E71365E"/>
    <w:rsid w:val="4E8512B2"/>
    <w:rsid w:val="4EB524EC"/>
    <w:rsid w:val="4EE233BA"/>
    <w:rsid w:val="4F0D349F"/>
    <w:rsid w:val="4F7B58D6"/>
    <w:rsid w:val="4F881BDE"/>
    <w:rsid w:val="4F9412B8"/>
    <w:rsid w:val="4FA630C9"/>
    <w:rsid w:val="4FE41FCE"/>
    <w:rsid w:val="500F4415"/>
    <w:rsid w:val="507C1A9E"/>
    <w:rsid w:val="510E14B4"/>
    <w:rsid w:val="51594781"/>
    <w:rsid w:val="51B0386F"/>
    <w:rsid w:val="51D260BC"/>
    <w:rsid w:val="52150468"/>
    <w:rsid w:val="521E264A"/>
    <w:rsid w:val="52353494"/>
    <w:rsid w:val="525F126A"/>
    <w:rsid w:val="52794644"/>
    <w:rsid w:val="529A652C"/>
    <w:rsid w:val="52B9121A"/>
    <w:rsid w:val="52E15415"/>
    <w:rsid w:val="535D0A9B"/>
    <w:rsid w:val="536C11D5"/>
    <w:rsid w:val="5393057B"/>
    <w:rsid w:val="53AB4FCA"/>
    <w:rsid w:val="53C75FC4"/>
    <w:rsid w:val="54192E36"/>
    <w:rsid w:val="54516BEF"/>
    <w:rsid w:val="548C0961"/>
    <w:rsid w:val="54912E55"/>
    <w:rsid w:val="54A97B72"/>
    <w:rsid w:val="55334C41"/>
    <w:rsid w:val="55366E7E"/>
    <w:rsid w:val="55B57788"/>
    <w:rsid w:val="56426BF2"/>
    <w:rsid w:val="577E5886"/>
    <w:rsid w:val="57856C4F"/>
    <w:rsid w:val="57AD0D36"/>
    <w:rsid w:val="57C516B1"/>
    <w:rsid w:val="57E02DBF"/>
    <w:rsid w:val="58346797"/>
    <w:rsid w:val="587A050C"/>
    <w:rsid w:val="587B1981"/>
    <w:rsid w:val="5886189A"/>
    <w:rsid w:val="58870107"/>
    <w:rsid w:val="58D40835"/>
    <w:rsid w:val="598D0825"/>
    <w:rsid w:val="59AC7B02"/>
    <w:rsid w:val="59E93470"/>
    <w:rsid w:val="5A237216"/>
    <w:rsid w:val="5AA924D7"/>
    <w:rsid w:val="5B876532"/>
    <w:rsid w:val="5B9B6374"/>
    <w:rsid w:val="5BD54241"/>
    <w:rsid w:val="5C196749"/>
    <w:rsid w:val="5C6B7B3D"/>
    <w:rsid w:val="5C714432"/>
    <w:rsid w:val="5CA120FE"/>
    <w:rsid w:val="5CA93A24"/>
    <w:rsid w:val="5CDD7AC6"/>
    <w:rsid w:val="5CFB22D0"/>
    <w:rsid w:val="5D315C26"/>
    <w:rsid w:val="5D5365DB"/>
    <w:rsid w:val="5DB84E80"/>
    <w:rsid w:val="5DD306E7"/>
    <w:rsid w:val="5DE920DB"/>
    <w:rsid w:val="5E2756D4"/>
    <w:rsid w:val="5E88565E"/>
    <w:rsid w:val="5EF7102B"/>
    <w:rsid w:val="5F9078BE"/>
    <w:rsid w:val="5FC164D8"/>
    <w:rsid w:val="5FF91830"/>
    <w:rsid w:val="60106556"/>
    <w:rsid w:val="60721A8D"/>
    <w:rsid w:val="608E04A8"/>
    <w:rsid w:val="6116421D"/>
    <w:rsid w:val="611C3E47"/>
    <w:rsid w:val="61CA2251"/>
    <w:rsid w:val="61DB60A0"/>
    <w:rsid w:val="61E820D4"/>
    <w:rsid w:val="623B3998"/>
    <w:rsid w:val="62490973"/>
    <w:rsid w:val="62B03BB3"/>
    <w:rsid w:val="62BC4ECF"/>
    <w:rsid w:val="62CC20C6"/>
    <w:rsid w:val="62CF1152"/>
    <w:rsid w:val="63013777"/>
    <w:rsid w:val="631270FD"/>
    <w:rsid w:val="631E5351"/>
    <w:rsid w:val="63453226"/>
    <w:rsid w:val="63554BFD"/>
    <w:rsid w:val="635E69B4"/>
    <w:rsid w:val="63AD372F"/>
    <w:rsid w:val="63C20A69"/>
    <w:rsid w:val="63DD0AB5"/>
    <w:rsid w:val="63ED0CA2"/>
    <w:rsid w:val="64300ED2"/>
    <w:rsid w:val="64764975"/>
    <w:rsid w:val="64972A6F"/>
    <w:rsid w:val="649F3405"/>
    <w:rsid w:val="65321724"/>
    <w:rsid w:val="659F3119"/>
    <w:rsid w:val="65E818B9"/>
    <w:rsid w:val="66825A18"/>
    <w:rsid w:val="668C7A9E"/>
    <w:rsid w:val="66E31721"/>
    <w:rsid w:val="66F05A9F"/>
    <w:rsid w:val="66FB5CF5"/>
    <w:rsid w:val="67177DA9"/>
    <w:rsid w:val="672A0265"/>
    <w:rsid w:val="67342531"/>
    <w:rsid w:val="679E2AE3"/>
    <w:rsid w:val="67C34DC0"/>
    <w:rsid w:val="68E23F3E"/>
    <w:rsid w:val="69845707"/>
    <w:rsid w:val="69A11DD3"/>
    <w:rsid w:val="69F15A64"/>
    <w:rsid w:val="6A1409D4"/>
    <w:rsid w:val="6A560F45"/>
    <w:rsid w:val="6A7F732E"/>
    <w:rsid w:val="6A8364BD"/>
    <w:rsid w:val="6B556BB7"/>
    <w:rsid w:val="6B640E5E"/>
    <w:rsid w:val="6B7764C1"/>
    <w:rsid w:val="6BC0382D"/>
    <w:rsid w:val="6BCF0BE9"/>
    <w:rsid w:val="6BD71487"/>
    <w:rsid w:val="6C0F07E5"/>
    <w:rsid w:val="6C4C6280"/>
    <w:rsid w:val="6CA57A59"/>
    <w:rsid w:val="6CD0150E"/>
    <w:rsid w:val="6D027084"/>
    <w:rsid w:val="6D8A3F53"/>
    <w:rsid w:val="6D8A4D77"/>
    <w:rsid w:val="6E087612"/>
    <w:rsid w:val="6E106118"/>
    <w:rsid w:val="6E7D6756"/>
    <w:rsid w:val="6E8554E7"/>
    <w:rsid w:val="6E8918D5"/>
    <w:rsid w:val="6F3B5392"/>
    <w:rsid w:val="6FDF21F2"/>
    <w:rsid w:val="6FFE3F01"/>
    <w:rsid w:val="70134D61"/>
    <w:rsid w:val="70981D83"/>
    <w:rsid w:val="70E23371"/>
    <w:rsid w:val="71034CC6"/>
    <w:rsid w:val="711577E5"/>
    <w:rsid w:val="71393743"/>
    <w:rsid w:val="71682301"/>
    <w:rsid w:val="7176144B"/>
    <w:rsid w:val="71880977"/>
    <w:rsid w:val="71E66C63"/>
    <w:rsid w:val="71F03EFA"/>
    <w:rsid w:val="71FF3F88"/>
    <w:rsid w:val="72037A4B"/>
    <w:rsid w:val="721B6771"/>
    <w:rsid w:val="72423B34"/>
    <w:rsid w:val="727C321E"/>
    <w:rsid w:val="72A73C6F"/>
    <w:rsid w:val="72AA6EE8"/>
    <w:rsid w:val="72D76E99"/>
    <w:rsid w:val="737B6168"/>
    <w:rsid w:val="73D27055"/>
    <w:rsid w:val="73E208E1"/>
    <w:rsid w:val="73FC73C9"/>
    <w:rsid w:val="740136DD"/>
    <w:rsid w:val="74304F43"/>
    <w:rsid w:val="746D29B8"/>
    <w:rsid w:val="74952401"/>
    <w:rsid w:val="749A2D06"/>
    <w:rsid w:val="74BE0A91"/>
    <w:rsid w:val="74E07068"/>
    <w:rsid w:val="7540694D"/>
    <w:rsid w:val="76876A9D"/>
    <w:rsid w:val="768D4881"/>
    <w:rsid w:val="76C53B7D"/>
    <w:rsid w:val="774F1376"/>
    <w:rsid w:val="77F554ED"/>
    <w:rsid w:val="781110A6"/>
    <w:rsid w:val="783378D6"/>
    <w:rsid w:val="78396995"/>
    <w:rsid w:val="78464465"/>
    <w:rsid w:val="784D0AA4"/>
    <w:rsid w:val="78674EB6"/>
    <w:rsid w:val="786E52B6"/>
    <w:rsid w:val="78D84CC3"/>
    <w:rsid w:val="78D862E1"/>
    <w:rsid w:val="795E52BF"/>
    <w:rsid w:val="79760849"/>
    <w:rsid w:val="79FC31B1"/>
    <w:rsid w:val="7A1C46F0"/>
    <w:rsid w:val="7A2D57C1"/>
    <w:rsid w:val="7A81649F"/>
    <w:rsid w:val="7A9E1E3E"/>
    <w:rsid w:val="7AC6499D"/>
    <w:rsid w:val="7B291CB7"/>
    <w:rsid w:val="7B5E3ED4"/>
    <w:rsid w:val="7B644734"/>
    <w:rsid w:val="7B6B21F3"/>
    <w:rsid w:val="7BA646C2"/>
    <w:rsid w:val="7BCC5F63"/>
    <w:rsid w:val="7C3374DE"/>
    <w:rsid w:val="7C7775F6"/>
    <w:rsid w:val="7C930E77"/>
    <w:rsid w:val="7CBB4EEF"/>
    <w:rsid w:val="7CE13D5A"/>
    <w:rsid w:val="7D534384"/>
    <w:rsid w:val="7DA24A7F"/>
    <w:rsid w:val="7E062C24"/>
    <w:rsid w:val="7E0A60A1"/>
    <w:rsid w:val="7E564414"/>
    <w:rsid w:val="7E58338C"/>
    <w:rsid w:val="7E7C4CB7"/>
    <w:rsid w:val="7E9612A5"/>
    <w:rsid w:val="7F3734DA"/>
    <w:rsid w:val="7F6B4245"/>
    <w:rsid w:val="7F875871"/>
    <w:rsid w:val="7FDE3758"/>
    <w:rsid w:val="7FE2417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仿宋_GB2312" w:asciiTheme="minorHAnsi" w:hAnsiTheme="minorHAnsi" w:cstheme="minorBidi"/>
      <w:kern w:val="2"/>
      <w:sz w:val="32"/>
      <w:szCs w:val="32"/>
      <w:lang w:val="en-US" w:eastAsia="zh-CN" w:bidi="ar-SA"/>
    </w:rPr>
  </w:style>
  <w:style w:type="paragraph" w:styleId="3">
    <w:name w:val="heading 3"/>
    <w:basedOn w:val="1"/>
    <w:next w:val="1"/>
    <w:unhideWhenUsed/>
    <w:qFormat/>
    <w:uiPriority w:val="0"/>
    <w:pPr>
      <w:keepNext/>
      <w:keepLines/>
      <w:spacing w:beforeLines="0" w:beforeAutospacing="0" w:afterLines="0" w:afterAutospacing="0" w:line="600" w:lineRule="exact"/>
      <w:outlineLvl w:val="2"/>
    </w:pPr>
    <w:rPr>
      <w:rFonts w:eastAsia="仿宋_GB2312"/>
      <w:sz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afterLines="0" w:afterAutospacing="0"/>
    </w:p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FollowedHyperlink"/>
    <w:basedOn w:val="6"/>
    <w:qFormat/>
    <w:uiPriority w:val="0"/>
    <w:rPr>
      <w:color w:val="000000"/>
      <w:u w:val="none"/>
    </w:rPr>
  </w:style>
  <w:style w:type="character" w:styleId="8">
    <w:name w:val="Emphasis"/>
    <w:basedOn w:val="6"/>
    <w:qFormat/>
    <w:uiPriority w:val="0"/>
  </w:style>
  <w:style w:type="character" w:styleId="9">
    <w:name w:val="Hyperlink"/>
    <w:basedOn w:val="6"/>
    <w:qFormat/>
    <w:uiPriority w:val="0"/>
    <w:rPr>
      <w:color w:val="000000"/>
      <w:u w:val="none"/>
    </w:rPr>
  </w:style>
  <w:style w:type="character" w:styleId="10">
    <w:name w:val="HTML Cite"/>
    <w:basedOn w:val="6"/>
    <w:qFormat/>
    <w:uiPriority w:val="0"/>
  </w:style>
  <w:style w:type="character" w:customStyle="1" w:styleId="11">
    <w:name w:val="bsharetext"/>
    <w:basedOn w:val="6"/>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13893</Words>
  <Characters>13996</Characters>
  <Lines>0</Lines>
  <Paragraphs>0</Paragraphs>
  <TotalTime>0</TotalTime>
  <ScaleCrop>false</ScaleCrop>
  <LinksUpToDate>false</LinksUpToDate>
  <CharactersWithSpaces>14011</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2020-11-02T08:34:00Z</dcterms:created>
  <dc:creator>lenovo</dc:creator>
  <cp:lastModifiedBy>与梦孤城  丶</cp:lastModifiedBy>
  <cp:lastPrinted>2024-12-25T01:05:00Z</cp:lastPrinted>
  <dcterms:modified xsi:type="dcterms:W3CDTF">2026-04-02T08:04:49Z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226721DF5BEB47C0BE18168ACAD38974_13</vt:lpwstr>
  </property>
  <property fmtid="{D5CDD505-2E9C-101B-9397-08002B2CF9AE}" pid="4" name="KSOTemplateDocerSaveRecord">
    <vt:lpwstr>eyJoZGlkIjoiOTcxM2Y5MjIxZDA2ZmVmNDQ5YzMzNjljYzExOTE2MzEiLCJ1c2VySWQiOiI3NDE4MzMzMTMifQ==</vt:lpwstr>
  </property>
</Properties>
</file>