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8F83A">
      <w:pPr>
        <w:keepNext/>
        <w:keepLines/>
        <w:pageBreakBefore w:val="0"/>
        <w:widowControl/>
        <w:kinsoku w:val="0"/>
        <w:wordWrap/>
        <w:overflowPunct/>
        <w:topLinePunct w:val="0"/>
        <w:autoSpaceDE w:val="0"/>
        <w:autoSpaceDN w:val="0"/>
        <w:bidi w:val="0"/>
        <w:adjustRightInd w:val="0"/>
        <w:snapToGrid w:val="0"/>
        <w:spacing w:before="0" w:beforeLines="0" w:after="0" w:afterLines="0" w:line="560" w:lineRule="exact"/>
        <w:ind w:left="0" w:firstLine="0" w:firstLineChars="0"/>
        <w:jc w:val="center"/>
        <w:textAlignment w:val="baseline"/>
        <w:outlineLvl w:val="9"/>
        <w:rPr>
          <w:rFonts w:hint="eastAsia" w:ascii="黑体" w:hAnsi="黑体" w:eastAsia="黑体" w:cs="黑体"/>
          <w:b w:val="0"/>
          <w:bCs/>
          <w:spacing w:val="-6"/>
          <w:sz w:val="44"/>
          <w:szCs w:val="44"/>
          <w:lang w:val="en-US" w:eastAsia="zh-CN"/>
        </w:rPr>
      </w:pPr>
      <w:bookmarkStart w:id="17" w:name="_GoBack"/>
      <w:bookmarkEnd w:id="17"/>
      <w:r>
        <w:rPr>
          <w:rFonts w:hint="eastAsia" w:ascii="黑体" w:hAnsi="黑体" w:eastAsia="黑体" w:cs="黑体"/>
          <w:b w:val="0"/>
          <w:bCs/>
          <w:spacing w:val="-6"/>
          <w:sz w:val="44"/>
          <w:szCs w:val="44"/>
          <w:lang w:val="en-US" w:eastAsia="zh-CN"/>
        </w:rPr>
        <w:t>2025年滦州市城市体检报告</w:t>
      </w:r>
    </w:p>
    <w:p w14:paraId="198EDB78">
      <w:pPr>
        <w:keepNext/>
        <w:keepLines/>
        <w:pageBreakBefore w:val="0"/>
        <w:widowControl/>
        <w:kinsoku w:val="0"/>
        <w:wordWrap/>
        <w:overflowPunct/>
        <w:topLinePunct w:val="0"/>
        <w:autoSpaceDE w:val="0"/>
        <w:autoSpaceDN w:val="0"/>
        <w:bidi w:val="0"/>
        <w:adjustRightInd w:val="0"/>
        <w:snapToGrid w:val="0"/>
        <w:spacing w:before="0" w:beforeLines="0" w:after="0" w:afterLines="0" w:line="560" w:lineRule="exact"/>
        <w:ind w:left="0" w:firstLine="0" w:firstLineChars="0"/>
        <w:jc w:val="center"/>
        <w:textAlignment w:val="baseline"/>
        <w:outlineLvl w:val="9"/>
        <w:rPr>
          <w:rFonts w:hint="eastAsia" w:ascii="黑体" w:hAnsi="黑体" w:eastAsia="黑体" w:cs="黑体"/>
          <w:b w:val="0"/>
          <w:bCs/>
          <w:spacing w:val="-6"/>
          <w:sz w:val="44"/>
          <w:szCs w:val="44"/>
          <w:lang w:val="en-US" w:eastAsia="zh-CN"/>
        </w:rPr>
      </w:pPr>
      <w:r>
        <w:rPr>
          <w:rFonts w:hint="eastAsia" w:ascii="黑体" w:hAnsi="黑体" w:eastAsia="黑体" w:cs="黑体"/>
          <w:b w:val="0"/>
          <w:bCs/>
          <w:spacing w:val="-6"/>
          <w:sz w:val="44"/>
          <w:szCs w:val="44"/>
          <w:lang w:val="en-US" w:eastAsia="zh-CN"/>
        </w:rPr>
        <w:t>（公示稿）</w:t>
      </w:r>
    </w:p>
    <w:p w14:paraId="072E0E28">
      <w:pPr>
        <w:pageBreakBefore w:val="0"/>
        <w:wordWrap/>
        <w:bidi w:val="0"/>
        <w:spacing w:line="560" w:lineRule="exact"/>
        <w:rPr>
          <w:rFonts w:hint="eastAsia" w:ascii="方正仿宋_GB2312" w:hAnsi="方正仿宋_GB2312" w:eastAsia="方正仿宋_GB2312" w:cs="方正仿宋_GB2312"/>
          <w:lang w:val="en-US" w:eastAsia="zh-CN"/>
        </w:rPr>
      </w:pPr>
    </w:p>
    <w:p w14:paraId="5FDA0B49">
      <w:pPr>
        <w:pStyle w:val="3"/>
        <w:pageBreakBefore w:val="0"/>
        <w:wordWrap/>
        <w:overflowPunct/>
        <w:bidi w:val="0"/>
        <w:spacing w:before="0" w:line="560" w:lineRule="exact"/>
        <w:ind w:left="0" w:firstLine="616" w:firstLineChars="200"/>
        <w:jc w:val="both"/>
        <w:rPr>
          <w:rFonts w:hint="eastAsia" w:ascii="黑体" w:hAnsi="黑体" w:eastAsia="黑体" w:cs="黑体"/>
          <w:spacing w:val="-6"/>
          <w:sz w:val="32"/>
          <w:szCs w:val="32"/>
          <w:lang w:val="en-US" w:eastAsia="zh-CN"/>
        </w:rPr>
      </w:pPr>
      <w:bookmarkStart w:id="0" w:name="_Toc18931"/>
      <w:bookmarkStart w:id="1" w:name="_Toc26665"/>
      <w:r>
        <w:rPr>
          <w:rFonts w:hint="eastAsia" w:ascii="黑体" w:hAnsi="黑体" w:eastAsia="黑体" w:cs="黑体"/>
          <w:spacing w:val="-6"/>
          <w:sz w:val="32"/>
          <w:szCs w:val="32"/>
          <w:lang w:val="en-US" w:eastAsia="zh-CN"/>
        </w:rPr>
        <w:t>一、工作概述</w:t>
      </w:r>
    </w:p>
    <w:p w14:paraId="7E3E6005">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pacing w:val="-6"/>
          <w:sz w:val="32"/>
          <w:szCs w:val="32"/>
          <w:lang w:val="en-US" w:eastAsia="zh-CN"/>
        </w:rPr>
        <w:t>（一）体检对象</w:t>
      </w:r>
    </w:p>
    <w:p w14:paraId="519008AF">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住房维度：调查社区范围内居住建筑的安全耐久、功能完备、绿色智能3方面情况，开展房屋使用安全、管线管道、入户水质、建筑节能、数字家庭等体检，重点关注住宅建筑本身的问题和公共空间部分存在问题，为既有建筑更新改造、老旧小区改造提供支撑。</w:t>
      </w:r>
    </w:p>
    <w:p w14:paraId="60DA85AF">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社区（小区）维度：调查社区的设施完善、生态宜居、闲置低效和管理健全4方面情况，开展养老、托幼、停车、充电等体检，重点关注社区级设施、环境、闲置空间、管理方面的问题，为完整社区建设提供方向。</w:t>
      </w:r>
    </w:p>
    <w:p w14:paraId="6DA53B20">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街道（街区）维度：调查街道的功能完善、整洁有序和特色活力3方面情况，开展15分钟生活圈社区文化设施、多功能运动场地、教育设施等公共服务设施配置及建设情况的体检，重点关注街道公共服务设施缺口、街道环境整治、老旧街区、老旧厂区、老旧商务区、老旧商贸市场、老旧商务楼宇、闲置用地的更新改造方面问题，推进活力街区建设。</w:t>
      </w:r>
    </w:p>
    <w:p w14:paraId="5536184A">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城区维度：围绕城市的承载力、竞争力和可持续能力，主要调查城市建成区（部分指标为市域）的生态宜居、历史文化保护利用、产城融合职住平衡、活力吸引力、安全韧性5方面的短板弱项，综合评价城市生命体征状况和建设发展质量，找准短板和差距，推进宜居、韧性、智慧城市建设。</w:t>
      </w:r>
    </w:p>
    <w:p w14:paraId="3DBD1A8B">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专项体检：本次体检选取燕赵宜居县城作为城市体检专项对象，滦州市作为样板县在河北县城建设中具有典型性和代表性。依据《燕赵宜居县城建设行动方案（2023—2027年）》，河北省自2023年起，通过样板县培育和经验推广，</w:t>
      </w:r>
      <w:r>
        <w:rPr>
          <w:rFonts w:hint="eastAsia" w:ascii="方正仿宋_GB2312" w:hAnsi="方正仿宋_GB2312" w:eastAsia="方正仿宋_GB2312" w:cs="方正仿宋_GB2312"/>
          <w:b/>
          <w:bCs/>
          <w:snapToGrid w:val="0"/>
          <w:color w:val="000000"/>
          <w:spacing w:val="-6"/>
          <w:kern w:val="0"/>
          <w:sz w:val="32"/>
          <w:szCs w:val="32"/>
          <w:highlight w:val="none"/>
          <w:lang w:val="en-US" w:eastAsia="zh-CN" w:bidi="ar-SA"/>
        </w:rPr>
        <w:t>样板县（市）</w:t>
      </w: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先试先行、积累经验、形成特色，通过开展县城人居环境、基础设施和安全保障三大提升行动，因地制宜补齐县城建设短板弱项，全力提升县城建设品质。计划到2025年基本补齐短板，到2027年打造一批具有示范效应的现代化县城。</w:t>
      </w:r>
    </w:p>
    <w:p w14:paraId="1BF7A308">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片区体检：城市更新片区专项体检，其目的是通过细化查找片区内更新潜力、基础设施、道路交通、环境景观、功能业态、文化魅力等方面的短板弱项问题，有效指导下一步片区城市更新的实施，对照问题谋划片区城市更新项目，尽力补齐短板弱项，增强片区活动，探索一体化推进城市体检与城市更新工作。</w:t>
      </w:r>
    </w:p>
    <w:p w14:paraId="434A70A0">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（二）体检范围</w:t>
      </w:r>
    </w:p>
    <w:p w14:paraId="60624570">
      <w:pPr>
        <w:pageBreakBefore w:val="0"/>
        <w:kinsoku/>
        <w:wordWrap/>
        <w:topLinePunct w:val="0"/>
        <w:autoSpaceDE/>
        <w:autoSpaceDN/>
        <w:bidi w:val="0"/>
        <w:adjustRightInd/>
        <w:snapToGrid/>
        <w:spacing w:before="0" w:line="560" w:lineRule="exact"/>
        <w:ind w:left="0" w:leftChars="0" w:firstLine="560"/>
        <w:textAlignment w:val="auto"/>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城区（城市）维度和专项体检的体检范围：结合最小社会管理单元（社区）或行政村边界，本次城区体检范围与2024年城市体检范围保持一致，总面积30.6平方公里，总人口100694人。</w:t>
      </w:r>
    </w:p>
    <w:p w14:paraId="17450BC9">
      <w:pPr>
        <w:pageBreakBefore w:val="0"/>
        <w:kinsoku/>
        <w:wordWrap/>
        <w:topLinePunct w:val="0"/>
        <w:autoSpaceDE/>
        <w:autoSpaceDN/>
        <w:bidi w:val="0"/>
        <w:adjustRightInd/>
        <w:snapToGrid/>
        <w:spacing w:before="0" w:line="560" w:lineRule="exact"/>
        <w:ind w:left="0" w:leftChars="0" w:firstLine="560"/>
        <w:textAlignment w:val="auto"/>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住房、小区（社区）、街区维度的体检范围：严格按照河北省要求，滦州市</w:t>
      </w:r>
      <w:bookmarkStart w:id="2" w:name="OLE_LINK246"/>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作为省级城市体检样本城市，</w:t>
      </w:r>
      <w:bookmarkEnd w:id="2"/>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实现</w:t>
      </w:r>
      <w:bookmarkStart w:id="3" w:name="OLE_LINK245"/>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小区、社区、街道全覆盖</w:t>
      </w:r>
      <w:bookmarkEnd w:id="3"/>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w:t>
      </w:r>
      <w:bookmarkStart w:id="4" w:name="OLE_LINK241"/>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住房</w:t>
      </w:r>
      <w:bookmarkEnd w:id="4"/>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维度覆盖建成区</w:t>
      </w:r>
      <w:bookmarkStart w:id="5" w:name="OLE_LINK242"/>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范围内所有住宅建筑</w:t>
      </w:r>
      <w:bookmarkEnd w:id="5"/>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，即包括</w:t>
      </w:r>
      <w:bookmarkStart w:id="6" w:name="OLE_LINK239"/>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古城街道、滦河街道和滦城路</w:t>
      </w:r>
      <w:bookmarkEnd w:id="6"/>
      <w:bookmarkStart w:id="7" w:name="OLE_LINK238"/>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3个街道</w:t>
      </w:r>
      <w:bookmarkEnd w:id="7"/>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在内的共计</w:t>
      </w:r>
      <w:bookmarkStart w:id="8" w:name="OLE_LINK240"/>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32个社区</w:t>
      </w:r>
      <w:bookmarkEnd w:id="8"/>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w:t>
      </w:r>
      <w:bookmarkStart w:id="9" w:name="OLE_LINK243"/>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社区总面积8.55平方公里</w:t>
      </w:r>
      <w:bookmarkEnd w:id="9"/>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w:t>
      </w:r>
    </w:p>
    <w:p w14:paraId="041953EB">
      <w:pPr>
        <w:pageBreakBefore w:val="0"/>
        <w:kinsoku/>
        <w:wordWrap/>
        <w:topLinePunct w:val="0"/>
        <w:autoSpaceDE/>
        <w:autoSpaceDN/>
        <w:bidi w:val="0"/>
        <w:adjustRightInd/>
        <w:snapToGrid/>
        <w:spacing w:before="0" w:line="560" w:lineRule="exact"/>
        <w:ind w:left="0" w:leftChars="0" w:firstLine="560"/>
        <w:textAlignment w:val="auto"/>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pPr>
      <w:r>
        <w:rPr>
          <w:rFonts w:hint="eastAsia" w:ascii="方正仿宋_GB2312" w:hAnsi="方正仿宋_GB2312" w:eastAsia="方正仿宋_GB2312" w:cs="方正仿宋_GB2312"/>
          <w:b w:val="0"/>
          <w:bCs w:val="0"/>
          <w:snapToGrid w:val="0"/>
          <w:color w:val="000000"/>
          <w:spacing w:val="-6"/>
          <w:kern w:val="0"/>
          <w:sz w:val="32"/>
          <w:szCs w:val="32"/>
          <w:highlight w:val="none"/>
          <w:lang w:val="en-US" w:eastAsia="zh-CN" w:bidi="ar-SA"/>
        </w:rPr>
        <w:t>片区体检范围：本次选定的城市更新片区为滦州市新城北部片区城市更新单元。其位于城区北侧，西至建材市场西，东至平青路，北至205国道，南至人民道、胜利道，单元范围220.69公顷。片区常住总人口15899人，总建筑面积约153.45万平方米。</w:t>
      </w:r>
    </w:p>
    <w:p w14:paraId="6370D275">
      <w:pPr>
        <w:keepNext/>
        <w:keepLines/>
        <w:pageBreakBefore w:val="0"/>
        <w:widowControl/>
        <w:numPr>
          <w:ilvl w:val="4"/>
          <w:numId w:val="2"/>
        </w:numPr>
        <w:tabs>
          <w:tab w:val="left" w:pos="3968"/>
        </w:tabs>
        <w:wordWrap/>
        <w:bidi w:val="0"/>
        <w:spacing w:before="100" w:after="100" w:line="560" w:lineRule="exact"/>
        <w:ind w:left="0" w:leftChars="0" w:firstLine="0" w:firstLineChars="0"/>
        <w:jc w:val="center"/>
        <w:textAlignment w:val="center"/>
        <w:outlineLvl w:val="4"/>
        <w:rPr>
          <w:rFonts w:hint="eastAsia" w:ascii="方正仿宋_GB2312" w:hAnsi="方正仿宋_GB2312" w:eastAsia="方正仿宋_GB2312" w:cs="方正仿宋_GB2312"/>
          <w:b/>
          <w:color w:val="000000"/>
          <w:kern w:val="2"/>
          <w:sz w:val="21"/>
          <w:szCs w:val="22"/>
          <w:lang w:val="en-US" w:eastAsia="zh-CN" w:bidi="ar-SA"/>
        </w:rPr>
      </w:pPr>
      <w:r>
        <w:rPr>
          <w:rFonts w:hint="eastAsia" w:ascii="方正仿宋_GB2312" w:hAnsi="方正仿宋_GB2312" w:eastAsia="方正仿宋_GB2312" w:cs="方正仿宋_GB2312"/>
          <w:b/>
          <w:color w:val="000000"/>
          <w:kern w:val="2"/>
          <w:sz w:val="21"/>
          <w:szCs w:val="22"/>
          <w:lang w:val="en-US" w:eastAsia="zh-CN" w:bidi="ar-SA"/>
        </w:rPr>
        <w:t>滦州2025年城市体检街区、社区统计表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2290"/>
        <w:gridCol w:w="996"/>
        <w:gridCol w:w="5770"/>
      </w:tblGrid>
      <w:tr w14:paraId="73AA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tblHeader/>
          <w:jc w:val="center"/>
        </w:trPr>
        <w:tc>
          <w:tcPr>
            <w:tcW w:w="1264" w:type="pct"/>
            <w:shd w:val="clear" w:color="auto" w:fill="FFFFFF"/>
            <w:vAlign w:val="center"/>
          </w:tcPr>
          <w:p w14:paraId="6BFB3F6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b/>
                <w:bCs/>
                <w:snapToGrid/>
                <w:color w:val="000000"/>
                <w:spacing w:val="0"/>
                <w:kern w:val="2"/>
                <w:sz w:val="21"/>
                <w:szCs w:val="21"/>
              </w:rPr>
            </w:pPr>
            <w:r>
              <w:rPr>
                <w:rFonts w:hint="eastAsia" w:ascii="方正仿宋_GB2312" w:hAnsi="方正仿宋_GB2312" w:eastAsia="方正仿宋_GB2312" w:cs="方正仿宋_GB2312"/>
                <w:b/>
                <w:bCs/>
                <w:snapToGrid/>
                <w:color w:val="000000"/>
                <w:spacing w:val="0"/>
                <w:kern w:val="2"/>
                <w:sz w:val="21"/>
                <w:szCs w:val="21"/>
              </w:rPr>
              <w:t>街区名称</w:t>
            </w:r>
          </w:p>
        </w:tc>
        <w:tc>
          <w:tcPr>
            <w:tcW w:w="550" w:type="pct"/>
            <w:shd w:val="clear" w:color="auto" w:fill="FFFFFF"/>
            <w:vAlign w:val="center"/>
          </w:tcPr>
          <w:p w14:paraId="75A0664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b/>
                <w:bCs/>
                <w:snapToGrid/>
                <w:color w:val="000000"/>
                <w:spacing w:val="0"/>
                <w:kern w:val="2"/>
                <w:sz w:val="21"/>
                <w:szCs w:val="21"/>
              </w:rPr>
            </w:pPr>
            <w:r>
              <w:rPr>
                <w:rFonts w:hint="eastAsia" w:ascii="方正仿宋_GB2312" w:hAnsi="方正仿宋_GB2312" w:eastAsia="方正仿宋_GB2312" w:cs="方正仿宋_GB2312"/>
                <w:b/>
                <w:bCs/>
                <w:snapToGrid/>
                <w:color w:val="000000"/>
                <w:spacing w:val="0"/>
                <w:kern w:val="2"/>
                <w:sz w:val="21"/>
                <w:szCs w:val="21"/>
              </w:rPr>
              <w:t>序号</w:t>
            </w:r>
          </w:p>
        </w:tc>
        <w:tc>
          <w:tcPr>
            <w:tcW w:w="3185" w:type="pct"/>
            <w:shd w:val="clear" w:color="auto" w:fill="FFFFFF"/>
            <w:vAlign w:val="center"/>
          </w:tcPr>
          <w:p w14:paraId="6193BDB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b/>
                <w:bCs/>
                <w:snapToGrid/>
                <w:color w:val="000000"/>
                <w:spacing w:val="0"/>
                <w:kern w:val="2"/>
                <w:sz w:val="21"/>
                <w:szCs w:val="21"/>
              </w:rPr>
            </w:pPr>
            <w:r>
              <w:rPr>
                <w:rFonts w:hint="eastAsia" w:ascii="方正仿宋_GB2312" w:hAnsi="方正仿宋_GB2312" w:eastAsia="方正仿宋_GB2312" w:cs="方正仿宋_GB2312"/>
                <w:b/>
                <w:bCs/>
                <w:snapToGrid/>
                <w:color w:val="000000"/>
                <w:spacing w:val="0"/>
                <w:kern w:val="2"/>
                <w:sz w:val="21"/>
                <w:szCs w:val="21"/>
              </w:rPr>
              <w:t>社区名称</w:t>
            </w:r>
          </w:p>
        </w:tc>
      </w:tr>
      <w:tr w14:paraId="21FC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restart"/>
            <w:shd w:val="clear" w:color="auto" w:fill="FFFFFF"/>
            <w:vAlign w:val="center"/>
          </w:tcPr>
          <w:p w14:paraId="3CE1D18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古城街道</w:t>
            </w:r>
          </w:p>
        </w:tc>
        <w:tc>
          <w:tcPr>
            <w:tcW w:w="550" w:type="pct"/>
            <w:shd w:val="clear" w:color="auto" w:fill="FFFFFF"/>
            <w:vAlign w:val="center"/>
          </w:tcPr>
          <w:p w14:paraId="31DE942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w:t>
            </w:r>
          </w:p>
        </w:tc>
        <w:tc>
          <w:tcPr>
            <w:tcW w:w="3185" w:type="pct"/>
            <w:shd w:val="clear" w:color="auto" w:fill="FFFFFF"/>
            <w:vAlign w:val="center"/>
          </w:tcPr>
          <w:p w14:paraId="6A8FF7E5">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汇通</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72CC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72262DD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68DC64C5">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w:t>
            </w:r>
          </w:p>
        </w:tc>
        <w:tc>
          <w:tcPr>
            <w:tcW w:w="3185" w:type="pct"/>
            <w:shd w:val="clear" w:color="auto" w:fill="FFFFFF"/>
            <w:vAlign w:val="center"/>
          </w:tcPr>
          <w:p w14:paraId="307D86B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惠泽园</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3DC9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54B04819">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15505AEF">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3</w:t>
            </w:r>
          </w:p>
        </w:tc>
        <w:tc>
          <w:tcPr>
            <w:tcW w:w="3185" w:type="pct"/>
            <w:shd w:val="clear" w:color="auto" w:fill="FFFFFF"/>
            <w:vAlign w:val="center"/>
          </w:tcPr>
          <w:p w14:paraId="6A29A59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老站</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28FB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04FBB29E">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567C89C4">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4</w:t>
            </w:r>
          </w:p>
        </w:tc>
        <w:tc>
          <w:tcPr>
            <w:tcW w:w="3185" w:type="pct"/>
            <w:shd w:val="clear" w:color="auto" w:fill="FFFFFF"/>
            <w:vAlign w:val="center"/>
          </w:tcPr>
          <w:p w14:paraId="1CB7FE37">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新站</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46A6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7584DB3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2BAF6875">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5</w:t>
            </w:r>
          </w:p>
        </w:tc>
        <w:tc>
          <w:tcPr>
            <w:tcW w:w="3185" w:type="pct"/>
            <w:shd w:val="clear" w:color="auto" w:fill="FFFFFF"/>
            <w:vAlign w:val="center"/>
          </w:tcPr>
          <w:p w14:paraId="707F276C">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阁北</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2A82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28E75277">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2942F2EF">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6</w:t>
            </w:r>
          </w:p>
        </w:tc>
        <w:tc>
          <w:tcPr>
            <w:tcW w:w="3185" w:type="pct"/>
            <w:shd w:val="clear" w:color="auto" w:fill="FFFFFF"/>
            <w:vAlign w:val="center"/>
          </w:tcPr>
          <w:p w14:paraId="45DFA8D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北关</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4BB4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3F67449F">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5C27199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7</w:t>
            </w:r>
          </w:p>
        </w:tc>
        <w:tc>
          <w:tcPr>
            <w:tcW w:w="3185" w:type="pct"/>
            <w:shd w:val="clear" w:color="auto" w:fill="FFFFFF"/>
            <w:vAlign w:val="center"/>
          </w:tcPr>
          <w:p w14:paraId="5337403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阁南</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4F9A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0CEB8964">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635F71CF">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8</w:t>
            </w:r>
          </w:p>
        </w:tc>
        <w:tc>
          <w:tcPr>
            <w:tcW w:w="3185" w:type="pct"/>
            <w:shd w:val="clear" w:color="auto" w:fill="FFFFFF"/>
            <w:vAlign w:val="center"/>
          </w:tcPr>
          <w:p w14:paraId="3250BE4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胜利街</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7950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49EDB05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66375F7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9</w:t>
            </w:r>
          </w:p>
        </w:tc>
        <w:tc>
          <w:tcPr>
            <w:tcW w:w="3185" w:type="pct"/>
            <w:shd w:val="clear" w:color="auto" w:fill="FFFFFF"/>
            <w:vAlign w:val="center"/>
          </w:tcPr>
          <w:p w14:paraId="52E7AB9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复兴路</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4570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036FADA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3126FDF6">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10</w:t>
            </w:r>
          </w:p>
        </w:tc>
        <w:tc>
          <w:tcPr>
            <w:tcW w:w="3185" w:type="pct"/>
            <w:shd w:val="clear" w:color="auto" w:fill="FFFFFF"/>
            <w:vAlign w:val="center"/>
          </w:tcPr>
          <w:p w14:paraId="140706A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榆关街</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04F3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restart"/>
            <w:shd w:val="clear" w:color="auto" w:fill="FFFFFF"/>
            <w:vAlign w:val="center"/>
          </w:tcPr>
          <w:p w14:paraId="0A7BF025">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滦城路街道</w:t>
            </w:r>
          </w:p>
        </w:tc>
        <w:tc>
          <w:tcPr>
            <w:tcW w:w="550" w:type="pct"/>
            <w:shd w:val="clear" w:color="auto" w:fill="FFFFFF"/>
            <w:vAlign w:val="center"/>
          </w:tcPr>
          <w:p w14:paraId="67CF93C7">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11</w:t>
            </w:r>
          </w:p>
        </w:tc>
        <w:tc>
          <w:tcPr>
            <w:tcW w:w="3185" w:type="pct"/>
            <w:shd w:val="clear" w:color="auto" w:fill="FFFFFF"/>
            <w:vAlign w:val="center"/>
          </w:tcPr>
          <w:p w14:paraId="5972C270">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龙山帝景</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2FBE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330ECDD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0B669CB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12</w:t>
            </w:r>
          </w:p>
        </w:tc>
        <w:tc>
          <w:tcPr>
            <w:tcW w:w="3185" w:type="pct"/>
            <w:shd w:val="clear" w:color="auto" w:fill="FFFFFF"/>
            <w:vAlign w:val="center"/>
          </w:tcPr>
          <w:p w14:paraId="1BEF1507">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东南都会</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5848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030D6C9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079C8BC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13</w:t>
            </w:r>
          </w:p>
        </w:tc>
        <w:tc>
          <w:tcPr>
            <w:tcW w:w="3185" w:type="pct"/>
            <w:shd w:val="clear" w:color="auto" w:fill="FFFFFF"/>
            <w:vAlign w:val="center"/>
          </w:tcPr>
          <w:p w14:paraId="3AA8732A">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卧龙山庄</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031F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restart"/>
            <w:shd w:val="clear" w:color="auto" w:fill="FFFFFF"/>
            <w:vAlign w:val="center"/>
          </w:tcPr>
          <w:p w14:paraId="2FF9BF2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滦河街道</w:t>
            </w:r>
          </w:p>
        </w:tc>
        <w:tc>
          <w:tcPr>
            <w:tcW w:w="550" w:type="pct"/>
            <w:shd w:val="clear" w:color="auto" w:fill="FFFFFF"/>
            <w:vAlign w:val="center"/>
          </w:tcPr>
          <w:p w14:paraId="0D2C421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14</w:t>
            </w:r>
          </w:p>
        </w:tc>
        <w:tc>
          <w:tcPr>
            <w:tcW w:w="3185" w:type="pct"/>
            <w:shd w:val="clear" w:color="auto" w:fill="FFFFFF"/>
            <w:vAlign w:val="center"/>
          </w:tcPr>
          <w:p w14:paraId="1BF90A9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昌盛里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67BA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36D1EDC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0E1A9DA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15</w:t>
            </w:r>
          </w:p>
        </w:tc>
        <w:tc>
          <w:tcPr>
            <w:tcW w:w="3185" w:type="pct"/>
            <w:shd w:val="clear" w:color="auto" w:fill="FFFFFF"/>
            <w:vAlign w:val="center"/>
          </w:tcPr>
          <w:p w14:paraId="1D19ABD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团结里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375D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67E7435E">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71C96EA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16</w:t>
            </w:r>
          </w:p>
        </w:tc>
        <w:tc>
          <w:tcPr>
            <w:tcW w:w="3185" w:type="pct"/>
            <w:shd w:val="clear" w:color="auto" w:fill="FFFFFF"/>
            <w:vAlign w:val="center"/>
          </w:tcPr>
          <w:p w14:paraId="05122049">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光辉里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5E15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63A10C2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2E38FAC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17</w:t>
            </w:r>
          </w:p>
        </w:tc>
        <w:tc>
          <w:tcPr>
            <w:tcW w:w="3185" w:type="pct"/>
            <w:shd w:val="clear" w:color="auto" w:fill="FFFFFF"/>
            <w:vAlign w:val="center"/>
          </w:tcPr>
          <w:p w14:paraId="44CFE895">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朝阳里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1C82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11F6DF4F">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6BC125E4">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18</w:t>
            </w:r>
          </w:p>
        </w:tc>
        <w:tc>
          <w:tcPr>
            <w:tcW w:w="3185" w:type="pct"/>
            <w:shd w:val="clear" w:color="auto" w:fill="FFFFFF"/>
            <w:vAlign w:val="center"/>
          </w:tcPr>
          <w:p w14:paraId="10567C8F">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晨光里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2DCC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2A1B324A">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14DC9D0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19</w:t>
            </w:r>
          </w:p>
        </w:tc>
        <w:tc>
          <w:tcPr>
            <w:tcW w:w="3185" w:type="pct"/>
            <w:shd w:val="clear" w:color="auto" w:fill="FFFFFF"/>
            <w:vAlign w:val="center"/>
          </w:tcPr>
          <w:p w14:paraId="7B269C7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晨光南里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1EB5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23106E9E">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331CFA5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20</w:t>
            </w:r>
          </w:p>
        </w:tc>
        <w:tc>
          <w:tcPr>
            <w:tcW w:w="3185" w:type="pct"/>
            <w:shd w:val="clear" w:color="auto" w:fill="FFFFFF"/>
            <w:vAlign w:val="center"/>
          </w:tcPr>
          <w:p w14:paraId="067C776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晨光西里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615E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40A9F72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6F791BD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21</w:t>
            </w:r>
          </w:p>
        </w:tc>
        <w:tc>
          <w:tcPr>
            <w:tcW w:w="3185" w:type="pct"/>
            <w:shd w:val="clear" w:color="auto" w:fill="FFFFFF"/>
            <w:vAlign w:val="center"/>
          </w:tcPr>
          <w:p w14:paraId="2D2F7CF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冀东人家</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41D3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55E31600">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2003EF37">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22</w:t>
            </w:r>
          </w:p>
        </w:tc>
        <w:tc>
          <w:tcPr>
            <w:tcW w:w="3185" w:type="pct"/>
            <w:shd w:val="clear" w:color="auto" w:fill="FFFFFF"/>
            <w:vAlign w:val="center"/>
          </w:tcPr>
          <w:p w14:paraId="673EDFD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嘉凤园</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5B5E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3E134E7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5341632E">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23</w:t>
            </w:r>
          </w:p>
        </w:tc>
        <w:tc>
          <w:tcPr>
            <w:tcW w:w="3185" w:type="pct"/>
            <w:shd w:val="clear" w:color="auto" w:fill="FFFFFF"/>
            <w:vAlign w:val="center"/>
          </w:tcPr>
          <w:p w14:paraId="6568BBF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金鼎丽城</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15A0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372F8CF4">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3357A30A">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24</w:t>
            </w:r>
          </w:p>
        </w:tc>
        <w:tc>
          <w:tcPr>
            <w:tcW w:w="3185" w:type="pct"/>
            <w:shd w:val="clear" w:color="auto" w:fill="FFFFFF"/>
            <w:vAlign w:val="center"/>
          </w:tcPr>
          <w:p w14:paraId="072A5594">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金瑞国际</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5E38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1C47CB9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66F1397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25</w:t>
            </w:r>
          </w:p>
        </w:tc>
        <w:tc>
          <w:tcPr>
            <w:tcW w:w="3185" w:type="pct"/>
            <w:shd w:val="clear" w:color="auto" w:fill="FFFFFF"/>
            <w:vAlign w:val="center"/>
          </w:tcPr>
          <w:p w14:paraId="6C73939A">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龙盛花园</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7F00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322EBDC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41ED60A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26</w:t>
            </w:r>
          </w:p>
        </w:tc>
        <w:tc>
          <w:tcPr>
            <w:tcW w:w="3185" w:type="pct"/>
            <w:shd w:val="clear" w:color="auto" w:fill="FFFFFF"/>
            <w:vAlign w:val="center"/>
          </w:tcPr>
          <w:p w14:paraId="49A2ADA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新华里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1C88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57A382A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186F7C5C">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27</w:t>
            </w:r>
          </w:p>
        </w:tc>
        <w:tc>
          <w:tcPr>
            <w:tcW w:w="3185" w:type="pct"/>
            <w:shd w:val="clear" w:color="auto" w:fill="FFFFFF"/>
            <w:vAlign w:val="center"/>
          </w:tcPr>
          <w:p w14:paraId="0E63E35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永安里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702B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606B2078">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73B576E6">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28</w:t>
            </w:r>
          </w:p>
        </w:tc>
        <w:tc>
          <w:tcPr>
            <w:tcW w:w="3185" w:type="pct"/>
            <w:shd w:val="clear" w:color="auto" w:fill="FFFFFF"/>
            <w:vAlign w:val="center"/>
          </w:tcPr>
          <w:p w14:paraId="4CE90D0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友谊里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3428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6A2FBF97">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27369F1A">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29</w:t>
            </w:r>
          </w:p>
        </w:tc>
        <w:tc>
          <w:tcPr>
            <w:tcW w:w="3185" w:type="pct"/>
            <w:shd w:val="clear" w:color="auto" w:fill="FFFFFF"/>
            <w:vAlign w:val="center"/>
          </w:tcPr>
          <w:p w14:paraId="621093D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紫薇园</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6353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00DBC693">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49E941C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30</w:t>
            </w:r>
          </w:p>
        </w:tc>
        <w:tc>
          <w:tcPr>
            <w:tcW w:w="3185" w:type="pct"/>
            <w:shd w:val="clear" w:color="auto" w:fill="FFFFFF"/>
            <w:vAlign w:val="center"/>
          </w:tcPr>
          <w:p w14:paraId="6FF42F6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自强里</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1883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2AA67456">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4FECC47B">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31</w:t>
            </w:r>
          </w:p>
        </w:tc>
        <w:tc>
          <w:tcPr>
            <w:tcW w:w="3185" w:type="pct"/>
            <w:shd w:val="clear" w:color="auto" w:fill="FFFFFF"/>
            <w:vAlign w:val="center"/>
          </w:tcPr>
          <w:p w14:paraId="45A53535">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胜利道</w:t>
            </w:r>
            <w:r>
              <w:rPr>
                <w:rFonts w:hint="eastAsia" w:ascii="方正仿宋_GB2312" w:hAnsi="方正仿宋_GB2312" w:eastAsia="方正仿宋_GB2312" w:cs="方正仿宋_GB2312"/>
                <w:snapToGrid/>
                <w:color w:val="000000"/>
                <w:spacing w:val="0"/>
                <w:kern w:val="2"/>
                <w:sz w:val="21"/>
                <w:szCs w:val="21"/>
                <w:lang w:eastAsia="zh-CN"/>
              </w:rPr>
              <w:t>社区</w:t>
            </w:r>
          </w:p>
        </w:tc>
      </w:tr>
      <w:tr w14:paraId="0FF6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 w:hRule="atLeast"/>
          <w:jc w:val="center"/>
        </w:trPr>
        <w:tc>
          <w:tcPr>
            <w:tcW w:w="1264" w:type="pct"/>
            <w:vMerge w:val="continue"/>
            <w:shd w:val="clear" w:color="auto" w:fill="FFFFFF"/>
            <w:vAlign w:val="center"/>
          </w:tcPr>
          <w:p w14:paraId="0C70D6C6">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p>
        </w:tc>
        <w:tc>
          <w:tcPr>
            <w:tcW w:w="550" w:type="pct"/>
            <w:shd w:val="clear" w:color="auto" w:fill="FFFFFF"/>
            <w:vAlign w:val="center"/>
          </w:tcPr>
          <w:p w14:paraId="26681D0D">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rPr>
            </w:pPr>
            <w:r>
              <w:rPr>
                <w:rFonts w:hint="eastAsia" w:ascii="方正仿宋_GB2312" w:hAnsi="方正仿宋_GB2312" w:eastAsia="方正仿宋_GB2312" w:cs="方正仿宋_GB2312"/>
                <w:snapToGrid/>
                <w:color w:val="000000"/>
                <w:spacing w:val="0"/>
                <w:kern w:val="2"/>
                <w:sz w:val="21"/>
                <w:szCs w:val="21"/>
              </w:rPr>
              <w:t>32</w:t>
            </w:r>
          </w:p>
        </w:tc>
        <w:tc>
          <w:tcPr>
            <w:tcW w:w="3185" w:type="pct"/>
            <w:shd w:val="clear" w:color="auto" w:fill="FFFFFF"/>
            <w:vAlign w:val="center"/>
          </w:tcPr>
          <w:p w14:paraId="5B3FAD71">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1"/>
                <w:szCs w:val="21"/>
                <w:lang w:eastAsia="zh-CN"/>
              </w:rPr>
            </w:pPr>
            <w:r>
              <w:rPr>
                <w:rFonts w:hint="eastAsia" w:ascii="方正仿宋_GB2312" w:hAnsi="方正仿宋_GB2312" w:eastAsia="方正仿宋_GB2312" w:cs="方正仿宋_GB2312"/>
                <w:snapToGrid/>
                <w:color w:val="000000"/>
                <w:spacing w:val="0"/>
                <w:kern w:val="2"/>
                <w:sz w:val="21"/>
                <w:szCs w:val="21"/>
              </w:rPr>
              <w:t>文化里</w:t>
            </w:r>
            <w:r>
              <w:rPr>
                <w:rFonts w:hint="eastAsia" w:ascii="方正仿宋_GB2312" w:hAnsi="方正仿宋_GB2312" w:eastAsia="方正仿宋_GB2312" w:cs="方正仿宋_GB2312"/>
                <w:snapToGrid/>
                <w:color w:val="000000"/>
                <w:spacing w:val="0"/>
                <w:kern w:val="2"/>
                <w:sz w:val="21"/>
                <w:szCs w:val="21"/>
                <w:lang w:eastAsia="zh-CN"/>
              </w:rPr>
              <w:t>社区</w:t>
            </w:r>
          </w:p>
        </w:tc>
      </w:tr>
    </w:tbl>
    <w:p w14:paraId="745AF872">
      <w:pPr>
        <w:pageBreakBefore w:val="0"/>
        <w:kinsoku/>
        <w:wordWrap/>
        <w:topLinePunct w:val="0"/>
        <w:autoSpaceDE/>
        <w:autoSpaceDN/>
        <w:bidi w:val="0"/>
        <w:adjustRightInd/>
        <w:snapToGrid/>
        <w:spacing w:before="0" w:line="560" w:lineRule="exact"/>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4"/>
          <w:szCs w:val="22"/>
        </w:rPr>
      </w:pPr>
    </w:p>
    <w:p w14:paraId="2C224812">
      <w:pPr>
        <w:pageBreakBefore w:val="0"/>
        <w:kinsoku/>
        <w:wordWrap/>
        <w:topLinePunct w:val="0"/>
        <w:autoSpaceDE/>
        <w:autoSpaceDN/>
        <w:bidi w:val="0"/>
        <w:adjustRightInd/>
        <w:snapToGrid/>
        <w:spacing w:before="0" w:line="240" w:lineRule="auto"/>
        <w:ind w:left="0" w:leftChars="0" w:firstLine="0" w:firstLineChars="0"/>
        <w:jc w:val="center"/>
        <w:textAlignment w:val="auto"/>
        <w:rPr>
          <w:rFonts w:hint="eastAsia" w:ascii="方正仿宋_GB2312" w:hAnsi="方正仿宋_GB2312" w:eastAsia="方正仿宋_GB2312" w:cs="方正仿宋_GB2312"/>
          <w:snapToGrid/>
          <w:color w:val="000000"/>
          <w:spacing w:val="0"/>
          <w:kern w:val="2"/>
          <w:sz w:val="24"/>
          <w:szCs w:val="22"/>
        </w:rPr>
      </w:pPr>
      <w:r>
        <w:rPr>
          <w:rFonts w:hint="eastAsia" w:ascii="方正仿宋_GB2312" w:hAnsi="方正仿宋_GB2312" w:eastAsia="方正仿宋_GB2312" w:cs="方正仿宋_GB2312"/>
          <w:snapToGrid/>
          <w:color w:val="000000"/>
          <w:spacing w:val="0"/>
          <w:kern w:val="2"/>
          <w:sz w:val="24"/>
          <w:szCs w:val="22"/>
        </w:rPr>
        <w:drawing>
          <wp:inline distT="0" distB="0" distL="114300" distR="114300">
            <wp:extent cx="5587365" cy="3645535"/>
            <wp:effectExtent l="0" t="0" r="13335" b="12065"/>
            <wp:docPr id="9" name="图片 9" descr="F:/04-张双全2024/20-滦州市2024年城市自体检/02-规划设计/02-图纸/1-体检报告中用的图纸/1-体检范围图（城区）.jpg1-体检范围图（城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04-张双全2024/20-滦州市2024年城市自体检/02-规划设计/02-图纸/1-体检报告中用的图纸/1-体检范围图（城区）.jpg1-体检范围图（城区）"/>
                    <pic:cNvPicPr>
                      <a:picLocks noChangeAspect="1"/>
                    </pic:cNvPicPr>
                  </pic:nvPicPr>
                  <pic:blipFill>
                    <a:blip r:embed="rId7"/>
                    <a:srcRect l="8" r="8"/>
                    <a:stretch>
                      <a:fillRect/>
                    </a:stretch>
                  </pic:blipFill>
                  <pic:spPr>
                    <a:xfrm>
                      <a:off x="0" y="0"/>
                      <a:ext cx="5587365" cy="3645535"/>
                    </a:xfrm>
                    <a:prstGeom prst="rect">
                      <a:avLst/>
                    </a:prstGeom>
                  </pic:spPr>
                </pic:pic>
              </a:graphicData>
            </a:graphic>
          </wp:inline>
        </w:drawing>
      </w:r>
    </w:p>
    <w:p w14:paraId="00AF9EA8">
      <w:pPr>
        <w:keepNext w:val="0"/>
        <w:keepLines/>
        <w:pageBreakBefore w:val="0"/>
        <w:widowControl w:val="0"/>
        <w:numPr>
          <w:ilvl w:val="5"/>
          <w:numId w:val="3"/>
        </w:numPr>
        <w:tabs>
          <w:tab w:val="left" w:pos="0"/>
          <w:tab w:val="left" w:pos="2520"/>
          <w:tab w:val="left" w:pos="3968"/>
        </w:tabs>
        <w:kinsoku/>
        <w:wordWrap/>
        <w:overflowPunct/>
        <w:topLinePunct w:val="0"/>
        <w:autoSpaceDE/>
        <w:autoSpaceDN/>
        <w:bidi w:val="0"/>
        <w:adjustRightInd/>
        <w:snapToGrid/>
        <w:spacing w:before="100" w:after="100" w:line="560" w:lineRule="exact"/>
        <w:ind w:left="0" w:firstLine="0" w:firstLineChars="0"/>
        <w:jc w:val="center"/>
        <w:textAlignment w:val="center"/>
        <w:outlineLvl w:val="5"/>
        <w:rPr>
          <w:rFonts w:hint="eastAsia" w:ascii="方正仿宋_GB2312" w:hAnsi="方正仿宋_GB2312" w:eastAsia="方正仿宋_GB2312" w:cs="方正仿宋_GB2312"/>
          <w:b/>
          <w:color w:val="000000"/>
          <w:kern w:val="2"/>
          <w:sz w:val="21"/>
          <w:szCs w:val="22"/>
          <w:lang w:val="en-US" w:eastAsia="zh-CN" w:bidi="ar-SA"/>
        </w:rPr>
      </w:pPr>
      <w:r>
        <w:rPr>
          <w:rFonts w:hint="eastAsia" w:ascii="方正仿宋_GB2312" w:hAnsi="方正仿宋_GB2312" w:eastAsia="方正仿宋_GB2312" w:cs="方正仿宋_GB2312"/>
          <w:b/>
          <w:color w:val="000000"/>
          <w:kern w:val="2"/>
          <w:sz w:val="21"/>
          <w:szCs w:val="22"/>
          <w:lang w:val="en-US" w:eastAsia="zh-CN" w:bidi="ar-SA"/>
        </w:rPr>
        <w:t>滦州市建成区范围</w:t>
      </w:r>
    </w:p>
    <w:p w14:paraId="4E398E54">
      <w:pPr>
        <w:pageBreakBefore w:val="0"/>
        <w:kinsoku/>
        <w:wordWrap/>
        <w:topLinePunct w:val="0"/>
        <w:autoSpaceDE/>
        <w:autoSpaceDN/>
        <w:bidi w:val="0"/>
        <w:adjustRightInd/>
        <w:snapToGrid/>
        <w:spacing w:before="0" w:line="240" w:lineRule="auto"/>
        <w:ind w:left="0" w:leftChars="0" w:firstLine="0" w:firstLineChars="0"/>
        <w:jc w:val="left"/>
        <w:textAlignment w:val="auto"/>
        <w:rPr>
          <w:rFonts w:hint="eastAsia" w:ascii="方正仿宋_GB2312" w:hAnsi="方正仿宋_GB2312" w:eastAsia="方正仿宋_GB2312" w:cs="方正仿宋_GB2312"/>
          <w:snapToGrid/>
          <w:color w:val="000000"/>
          <w:spacing w:val="0"/>
          <w:kern w:val="2"/>
          <w:sz w:val="24"/>
          <w:szCs w:val="22"/>
        </w:rPr>
      </w:pPr>
      <w:r>
        <w:rPr>
          <w:rFonts w:hint="eastAsia" w:ascii="方正仿宋_GB2312" w:hAnsi="方正仿宋_GB2312" w:eastAsia="方正仿宋_GB2312" w:cs="方正仿宋_GB2312"/>
          <w:snapToGrid/>
          <w:color w:val="000000"/>
          <w:spacing w:val="0"/>
          <w:kern w:val="2"/>
          <w:sz w:val="24"/>
          <w:szCs w:val="22"/>
        </w:rPr>
        <w:drawing>
          <wp:inline distT="0" distB="0" distL="114300" distR="114300">
            <wp:extent cx="5644515" cy="3648075"/>
            <wp:effectExtent l="0" t="0" r="13335" b="9525"/>
            <wp:docPr id="10" name="图片 10" descr="F:/04-张双全2024/20-滦州市2024年城市自体检/02-规划设计/02-图纸/1-体检报告中用的图纸/1-体检范围图（街区、社区）.jpg1-体检范围图（街区、社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04-张双全2024/20-滦州市2024年城市自体检/02-规划设计/02-图纸/1-体检报告中用的图纸/1-体检范围图（街区、社区）.jpg1-体检范围图（街区、社区）"/>
                    <pic:cNvPicPr>
                      <a:picLocks noChangeAspect="1"/>
                    </pic:cNvPicPr>
                  </pic:nvPicPr>
                  <pic:blipFill>
                    <a:blip r:embed="rId8"/>
                    <a:srcRect t="6" b="6"/>
                    <a:stretch>
                      <a:fillRect/>
                    </a:stretch>
                  </pic:blipFill>
                  <pic:spPr>
                    <a:xfrm>
                      <a:off x="0" y="0"/>
                      <a:ext cx="5644515" cy="3648075"/>
                    </a:xfrm>
                    <a:prstGeom prst="rect">
                      <a:avLst/>
                    </a:prstGeom>
                  </pic:spPr>
                </pic:pic>
              </a:graphicData>
            </a:graphic>
          </wp:inline>
        </w:drawing>
      </w:r>
    </w:p>
    <w:p w14:paraId="2108ED31">
      <w:pPr>
        <w:keepNext/>
        <w:keepLines/>
        <w:pageBreakBefore w:val="0"/>
        <w:widowControl/>
        <w:numPr>
          <w:ilvl w:val="5"/>
          <w:numId w:val="3"/>
        </w:numPr>
        <w:tabs>
          <w:tab w:val="left" w:pos="0"/>
          <w:tab w:val="left" w:pos="2520"/>
          <w:tab w:val="left" w:pos="3968"/>
        </w:tabs>
        <w:wordWrap/>
        <w:bidi w:val="0"/>
        <w:spacing w:before="100" w:after="100" w:line="560" w:lineRule="exact"/>
        <w:ind w:left="0" w:firstLine="0" w:firstLineChars="0"/>
        <w:jc w:val="center"/>
        <w:textAlignment w:val="center"/>
        <w:outlineLvl w:val="5"/>
        <w:rPr>
          <w:rFonts w:hint="eastAsia" w:ascii="方正仿宋_GB2312" w:hAnsi="方正仿宋_GB2312" w:eastAsia="方正仿宋_GB2312" w:cs="方正仿宋_GB2312"/>
          <w:b/>
          <w:color w:val="000000"/>
          <w:kern w:val="2"/>
          <w:sz w:val="21"/>
          <w:szCs w:val="22"/>
          <w:lang w:val="en-US" w:eastAsia="zh-CN" w:bidi="ar-SA"/>
        </w:rPr>
      </w:pPr>
      <w:r>
        <w:rPr>
          <w:rFonts w:hint="eastAsia" w:ascii="方正仿宋_GB2312" w:hAnsi="方正仿宋_GB2312" w:eastAsia="方正仿宋_GB2312" w:cs="方正仿宋_GB2312"/>
          <w:b/>
          <w:color w:val="000000"/>
          <w:kern w:val="2"/>
          <w:sz w:val="21"/>
          <w:szCs w:val="22"/>
          <w:lang w:val="en-US" w:eastAsia="zh-CN" w:bidi="ar-SA"/>
        </w:rPr>
        <w:t>滦州市街区、社区范围</w:t>
      </w:r>
    </w:p>
    <w:p w14:paraId="5B17B854">
      <w:pPr>
        <w:keepNext w:val="0"/>
        <w:keepLines w:val="0"/>
        <w:pageBreakBefore w:val="0"/>
        <w:widowControl/>
        <w:kinsoku/>
        <w:wordWrap/>
        <w:overflowPunct w:val="0"/>
        <w:topLinePunct w:val="0"/>
        <w:autoSpaceDE w:val="0"/>
        <w:autoSpaceDN w:val="0"/>
        <w:bidi w:val="0"/>
        <w:adjustRightInd w:val="0"/>
        <w:snapToGrid w:val="0"/>
        <w:spacing w:before="0" w:line="240" w:lineRule="auto"/>
        <w:ind w:left="0" w:leftChars="0" w:right="0" w:firstLine="0" w:firstLineChars="0"/>
        <w:jc w:val="both"/>
        <w:textAlignment w:val="baseline"/>
        <w:rPr>
          <w:rFonts w:hint="eastAsia" w:ascii="方正仿宋_GB2312" w:hAnsi="方正仿宋_GB2312" w:eastAsia="方正仿宋_GB2312" w:cs="方正仿宋_GB2312"/>
          <w:snapToGrid w:val="0"/>
          <w:color w:val="000000"/>
          <w:spacing w:val="-4"/>
          <w:kern w:val="0"/>
          <w:sz w:val="28"/>
          <w:szCs w:val="28"/>
          <w:lang w:val="en-US" w:eastAsia="zh-CN" w:bidi="ar-SA"/>
        </w:rPr>
      </w:pPr>
      <w:r>
        <w:rPr>
          <w:rFonts w:hint="eastAsia" w:ascii="方正仿宋_GB2312" w:hAnsi="方正仿宋_GB2312" w:eastAsia="方正仿宋_GB2312" w:cs="方正仿宋_GB2312"/>
          <w:snapToGrid/>
          <w:color w:val="000000"/>
          <w:spacing w:val="0"/>
          <w:kern w:val="2"/>
          <w:sz w:val="24"/>
          <w:szCs w:val="22"/>
        </w:rPr>
        <w:drawing>
          <wp:inline distT="0" distB="0" distL="114300" distR="114300">
            <wp:extent cx="5619750" cy="3009265"/>
            <wp:effectExtent l="0" t="0" r="0" b="635"/>
            <wp:docPr id="1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
                    <pic:cNvPicPr>
                      <a:picLocks noChangeAspect="1"/>
                    </pic:cNvPicPr>
                  </pic:nvPicPr>
                  <pic:blipFill>
                    <a:blip r:embed="rId9"/>
                    <a:srcRect l="2205" t="1955" r="2937"/>
                    <a:stretch>
                      <a:fillRect/>
                    </a:stretch>
                  </pic:blipFill>
                  <pic:spPr>
                    <a:xfrm>
                      <a:off x="0" y="0"/>
                      <a:ext cx="5619750" cy="3009265"/>
                    </a:xfrm>
                    <a:prstGeom prst="rect">
                      <a:avLst/>
                    </a:prstGeom>
                    <a:noFill/>
                    <a:ln>
                      <a:noFill/>
                    </a:ln>
                  </pic:spPr>
                </pic:pic>
              </a:graphicData>
            </a:graphic>
          </wp:inline>
        </w:drawing>
      </w:r>
    </w:p>
    <w:p w14:paraId="2D2A14FB">
      <w:pPr>
        <w:keepNext w:val="0"/>
        <w:keepLines w:val="0"/>
        <w:pageBreakBefore w:val="0"/>
        <w:widowControl w:val="0"/>
        <w:numPr>
          <w:ilvl w:val="5"/>
          <w:numId w:val="3"/>
        </w:numPr>
        <w:tabs>
          <w:tab w:val="left" w:pos="0"/>
          <w:tab w:val="left" w:pos="2520"/>
          <w:tab w:val="left" w:pos="3968"/>
        </w:tabs>
        <w:kinsoku/>
        <w:wordWrap/>
        <w:overflowPunct/>
        <w:topLinePunct w:val="0"/>
        <w:autoSpaceDE/>
        <w:autoSpaceDN/>
        <w:bidi w:val="0"/>
        <w:adjustRightInd/>
        <w:snapToGrid/>
        <w:spacing w:before="100" w:after="100" w:line="560" w:lineRule="exact"/>
        <w:ind w:left="0" w:firstLine="0" w:firstLineChars="0"/>
        <w:jc w:val="center"/>
        <w:textAlignment w:val="center"/>
        <w:outlineLvl w:val="5"/>
        <w:rPr>
          <w:rFonts w:hint="eastAsia" w:ascii="方正仿宋_GB2312" w:hAnsi="方正仿宋_GB2312" w:eastAsia="方正仿宋_GB2312" w:cs="方正仿宋_GB2312"/>
          <w:b/>
          <w:color w:val="000000"/>
          <w:kern w:val="2"/>
          <w:sz w:val="21"/>
          <w:szCs w:val="22"/>
          <w:lang w:val="en-US" w:eastAsia="zh-CN" w:bidi="ar-SA"/>
        </w:rPr>
      </w:pPr>
      <w:r>
        <w:rPr>
          <w:rFonts w:hint="eastAsia" w:ascii="方正仿宋_GB2312" w:hAnsi="方正仿宋_GB2312" w:eastAsia="方正仿宋_GB2312" w:cs="方正仿宋_GB2312"/>
          <w:b/>
          <w:color w:val="000000"/>
          <w:kern w:val="2"/>
          <w:sz w:val="21"/>
          <w:szCs w:val="22"/>
          <w:lang w:val="en-US" w:eastAsia="zh-CN" w:bidi="ar-SA"/>
        </w:rPr>
        <w:t>城市更新片区专项体检范围示意图</w:t>
      </w:r>
    </w:p>
    <w:p w14:paraId="45A57DB3">
      <w:pPr>
        <w:pStyle w:val="3"/>
        <w:pageBreakBefore w:val="0"/>
        <w:wordWrap/>
        <w:overflowPunct/>
        <w:bidi w:val="0"/>
        <w:spacing w:before="0" w:line="560" w:lineRule="exact"/>
        <w:ind w:left="0" w:firstLine="616" w:firstLineChars="200"/>
        <w:jc w:val="both"/>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二、</w:t>
      </w:r>
      <w:bookmarkEnd w:id="0"/>
      <w:bookmarkEnd w:id="1"/>
      <w:r>
        <w:rPr>
          <w:rFonts w:hint="eastAsia" w:ascii="黑体" w:hAnsi="黑体" w:eastAsia="黑体" w:cs="黑体"/>
          <w:color w:val="000000" w:themeColor="text1"/>
          <w:lang w:val="en-US" w:eastAsia="zh-CN"/>
          <w14:textFill>
            <w14:solidFill>
              <w14:schemeClr w14:val="tx1"/>
            </w14:solidFill>
          </w14:textFill>
        </w:rPr>
        <w:t>上年度体检问题治理整体情况</w:t>
      </w:r>
    </w:p>
    <w:p w14:paraId="5A26E95B">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滦州市建立了三级联动的城市体检工作体系，由政府领导牵头，成立领导小组和办公室，确保城市体检工作的组织和实施。通过多方协同，包括物业公司、专业公司、各部门和社区，共同对接研判问题，确保资源科学配置和问题治理行动的顺利开展。引入专业配合和专家指导，通过技术咨询体系优势，搭建多专业协同的联合团队，参与城市体检的全过程，确保工作质量和效率。</w:t>
      </w:r>
    </w:p>
    <w:p w14:paraId="63D621C7">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color w:val="000000" w:themeColor="text1"/>
          <w:lang w:val="en-US" w:eastAsia="zh-CN"/>
          <w14:textFill>
            <w14:solidFill>
              <w14:schemeClr w14:val="tx1"/>
            </w14:solidFill>
          </w14:textFill>
        </w:rPr>
        <w:t>上年度体检问题治理整体情况。</w:t>
      </w:r>
      <w:r>
        <w:rPr>
          <w:rFonts w:hint="eastAsia" w:ascii="方正仿宋_GB2312" w:hAnsi="方正仿宋_GB2312" w:eastAsia="方正仿宋_GB2312" w:cs="方正仿宋_GB2312"/>
          <w:spacing w:val="-6"/>
          <w:sz w:val="32"/>
          <w:szCs w:val="32"/>
          <w:lang w:val="en-US" w:eastAsia="zh-CN"/>
        </w:rPr>
        <w:t>通过系统梳理上一年度体检发现问题的整治情况，可跟踪统计的限时整改问题总数为6项，目前均在持续整治中，完全已解决的问题为2项；可跟踪统计的尽力整改问题为28项，有整治措施持续改进的有19项。（1）已整改完成的问题情况。限时整改问题已完成整改2项，为应急供水保障率、人均避难场所有效避难面积，新建水源工程正在推进中，人均避难场所有效避难面积达10.16平方米/人。尽力整改问题已完成整改19项，其中制定整治行动的11项，编制专项规划的6项，项目建设的2项，具体详见问题整治章节。（2）未整改完成的问题情况。限时整改问题未完成整改4项，住房维度楼道安全、围护安全、无标识3项指标中细化指标问题14项，楼栋问题数总计1187个，今年复核后尚有985个问题正推进整改中，已完成整改202个问题；社区维度指标未配建电动自行车充电设施的小区数量1项指标问题，根据统计数据新增配建了5个小区的充电设施，同时乱拉飞线、配备灭火器、安装摄像头工作正有序开展中，问题均有改善。问题整改较慢主要原因是需多部门协同推进和没有整治资金。尽力整改问题未完成整改9项，住房维度结构安全、围护安全、管线管道、适老化改造、数字化改造5项指标中细化指标问题18项，楼栋问题数总计2541个，今年复核后尚有2307个问题正推进整改中，已完成整改203个问题；社区维度指标社区卫生服务设施、不达标的步行道、物业管理、智慧化改造4项指标问题，根据统计数据社区卫生服务设施没变，不达标的步行道相较去年新增了1.66千米，未实施物业管理细化指标问题新增了4个，智慧化改造问题没变。问题整改较慢主要原因是未纳入整治计划和没有整治资金。</w:t>
      </w:r>
    </w:p>
    <w:p w14:paraId="1160122A">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滦州市通过聚焦重点难点问题，扎实推进城市治理工作，取得了显著成效。上年度体检问题整体改善率达87.5%，具体表现在：住房领域：已完成346项楼栋问题整改，3441项复杂问题正有序推进。社区层面：在基础设施和公共服务方面取得全面改善，包括电动自行车充电设施、养老服务、婴幼儿照护、教育配套、停车设施、新能源充电、商业服务、休闲设施等多个领域共完成400余项具体问题整治。街区层面：通过规划引领和项目实施，在教育、城市更新、交通秩序、老旧厂区改造、文体设施等方面取得阶段性成果。城区层面：在应急避难、供水保障、教育资源配置、消防安全等系统性问题上制定了专项规划并启动实施。滦州市城市体检问题整治工作覆盖面广、措施有力、成效显著，城市功能和品质得到明显提升。</w:t>
      </w:r>
    </w:p>
    <w:p w14:paraId="3AAB15AE">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p>
    <w:p w14:paraId="35830BAE">
      <w:pPr>
        <w:pStyle w:val="3"/>
        <w:pageBreakBefore w:val="0"/>
        <w:wordWrap/>
        <w:overflowPunct/>
        <w:bidi w:val="0"/>
        <w:spacing w:before="0" w:line="560" w:lineRule="exact"/>
        <w:ind w:left="0" w:firstLine="616" w:firstLineChars="200"/>
        <w:jc w:val="both"/>
        <w:rPr>
          <w:rFonts w:hint="eastAsia" w:ascii="黑体" w:hAnsi="黑体" w:eastAsia="黑体" w:cs="黑体"/>
          <w:spacing w:val="-6"/>
          <w:sz w:val="32"/>
          <w:szCs w:val="32"/>
          <w:lang w:val="en-US" w:eastAsia="zh-CN"/>
        </w:rPr>
      </w:pPr>
      <w:bookmarkStart w:id="10" w:name="_Toc13615"/>
      <w:bookmarkStart w:id="11" w:name="_Toc31460"/>
      <w:bookmarkStart w:id="12" w:name="_Toc10248"/>
      <w:r>
        <w:rPr>
          <w:rFonts w:hint="eastAsia" w:ascii="黑体" w:hAnsi="黑体" w:eastAsia="黑体" w:cs="黑体"/>
          <w:spacing w:val="-6"/>
          <w:sz w:val="32"/>
          <w:szCs w:val="32"/>
          <w:lang w:val="en-US" w:eastAsia="zh-CN"/>
        </w:rPr>
        <w:t>三、2025年城市体检问题诊断总体结论</w:t>
      </w:r>
      <w:bookmarkEnd w:id="10"/>
      <w:bookmarkEnd w:id="11"/>
      <w:bookmarkEnd w:id="12"/>
    </w:p>
    <w:p w14:paraId="0868F99F">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2025年城市体检发现问题集中于基础设施与公共服务设施配置不足且空间分布失衡、城市更新与改造进程滞后、社区治理与管理能力有待提升、风险防控与应急能力薄弱、智慧城市建设全面滞后、规划与资源配置统筹不足等方面。</w:t>
      </w:r>
    </w:p>
    <w:p w14:paraId="5FB0D609">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pacing w:val="-6"/>
          <w:sz w:val="32"/>
          <w:szCs w:val="32"/>
          <w:lang w:val="en-US" w:eastAsia="zh-CN"/>
        </w:rPr>
      </w:pPr>
      <w:r>
        <w:rPr>
          <w:rFonts w:hint="eastAsia" w:ascii="方正仿宋_GB2312" w:hAnsi="方正仿宋_GB2312" w:eastAsia="方正仿宋_GB2312" w:cs="方正仿宋_GB2312"/>
          <w:b w:val="0"/>
          <w:bCs w:val="0"/>
          <w:spacing w:val="-6"/>
          <w:sz w:val="32"/>
          <w:szCs w:val="32"/>
          <w:lang w:val="en-US" w:eastAsia="zh-CN"/>
        </w:rPr>
        <w:t>（一）住房维度</w:t>
      </w:r>
    </w:p>
    <w:p w14:paraId="00022CF3">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综合分析体检结果和居民问卷结果可知，滦州市在住房维度主要问题集中在楼道安全隐患、围护安全隐患、管线管道、适老化改造和数字化改造等方面（住房维度共发现问题9项，其中限时解决1项，尽力解决8项），具体表现在以下三个方面。</w:t>
      </w:r>
    </w:p>
    <w:p w14:paraId="1C8D2B63">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（1）部分风险隐患依然存在，高层住宅消防和外立面问题突显。</w:t>
      </w:r>
      <w:bookmarkStart w:id="13" w:name="OLE_LINK82"/>
    </w:p>
    <w:p w14:paraId="3277F9AD">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（2）楼道堆放杂物、管线治理问题较为普遍、居民比较关注，多方协同治理能力有待加强。</w:t>
      </w:r>
      <w:bookmarkEnd w:id="13"/>
    </w:p>
    <w:p w14:paraId="20503DEE">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（3）智能化适老化改造进程缓慢，节能改造仍存在短板，加装电梯等诉求迫切。</w:t>
      </w:r>
    </w:p>
    <w:p w14:paraId="4AD00E06">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pacing w:val="-6"/>
          <w:sz w:val="32"/>
          <w:szCs w:val="32"/>
          <w:lang w:val="en-US" w:eastAsia="zh-CN"/>
        </w:rPr>
      </w:pPr>
      <w:r>
        <w:rPr>
          <w:rFonts w:hint="eastAsia" w:ascii="方正仿宋_GB2312" w:hAnsi="方正仿宋_GB2312" w:eastAsia="方正仿宋_GB2312" w:cs="方正仿宋_GB2312"/>
          <w:b w:val="0"/>
          <w:bCs w:val="0"/>
          <w:spacing w:val="-6"/>
          <w:sz w:val="32"/>
          <w:szCs w:val="32"/>
          <w:lang w:val="en-US" w:eastAsia="zh-CN"/>
        </w:rPr>
        <w:t>（二）社区维度</w:t>
      </w:r>
    </w:p>
    <w:p w14:paraId="736E3599">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综合分析体检结果和居民问卷结果可知，滦州市在社区维度主要问题集中在养老服务设施、幼儿园、停车泊位缺口、新能源汽车充电桩缺口、电动自行车充电设施、标准化菜市场、休闲桌椅、不达标的步行道、生活垃圾分类、物业管理、智慧化改造等方面（社区维度共发现问题18项，其中限时解决2项，尽力解决16项），具体表现在以下四个方面。</w:t>
      </w:r>
    </w:p>
    <w:p w14:paraId="083BACA7">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（1）“一老一小”专项服务设施配建滞后，无法满足功能需求。</w:t>
      </w:r>
    </w:p>
    <w:p w14:paraId="1DCAFC92">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（2）社区交通环境与管理有待优化，通行便利性和安全性有待提升。</w:t>
      </w:r>
    </w:p>
    <w:p w14:paraId="12D6D7BE">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（3）基础生活服务设施配置覆盖率不足，服务供给与居民需求不匹配。</w:t>
      </w:r>
    </w:p>
    <w:p w14:paraId="4A19F4DB">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（4）社区治理配套设施与机制存在短板，服务效能和响应能力待加强。</w:t>
      </w:r>
    </w:p>
    <w:p w14:paraId="3B55D7FA">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pacing w:val="-6"/>
          <w:sz w:val="32"/>
          <w:szCs w:val="32"/>
          <w:lang w:val="en-US" w:eastAsia="zh-CN"/>
        </w:rPr>
      </w:pPr>
      <w:r>
        <w:rPr>
          <w:rFonts w:hint="eastAsia" w:ascii="方正仿宋_GB2312" w:hAnsi="方正仿宋_GB2312" w:eastAsia="方正仿宋_GB2312" w:cs="方正仿宋_GB2312"/>
          <w:b w:val="0"/>
          <w:bCs w:val="0"/>
          <w:spacing w:val="-6"/>
          <w:sz w:val="32"/>
          <w:szCs w:val="32"/>
          <w:lang w:val="en-US" w:eastAsia="zh-CN"/>
        </w:rPr>
        <w:t>（三）街区维度</w:t>
      </w:r>
    </w:p>
    <w:p w14:paraId="1335A1EE">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综合分析体检结果和居民问卷结果可知，滦州市在街区维度主要问题集中在中学设施、多功能运动场地、文化活动中心、老旧厂区更新改造等方面（街区维度共发现问题8项，均是尽力解决问题），具体表现在以下四个方面。</w:t>
      </w:r>
    </w:p>
    <w:p w14:paraId="33C8A380">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（1）文体设施覆盖度有待提升，不能满足居民日益增长的精神文化需求。</w:t>
      </w:r>
    </w:p>
    <w:p w14:paraId="76F6E242">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（2）街道秩序与安全治理有待加强，居民满意度低。</w:t>
      </w:r>
    </w:p>
    <w:p w14:paraId="5F0FCB54">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（3）老旧厂区改造缓慢，难以支撑区域经济创新转型发展。</w:t>
      </w:r>
    </w:p>
    <w:p w14:paraId="62BE15C0">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b w:val="0"/>
          <w:bCs w:val="0"/>
          <w:spacing w:val="-6"/>
          <w:sz w:val="32"/>
          <w:szCs w:val="32"/>
          <w:lang w:val="en-US" w:eastAsia="zh-CN"/>
        </w:rPr>
      </w:pPr>
      <w:r>
        <w:rPr>
          <w:rFonts w:hint="eastAsia" w:ascii="方正仿宋_GB2312" w:hAnsi="方正仿宋_GB2312" w:eastAsia="方正仿宋_GB2312" w:cs="方正仿宋_GB2312"/>
          <w:b w:val="0"/>
          <w:bCs w:val="0"/>
          <w:spacing w:val="-6"/>
          <w:sz w:val="32"/>
          <w:szCs w:val="32"/>
          <w:lang w:val="en-US" w:eastAsia="zh-CN"/>
        </w:rPr>
        <w:t>（四）城区维度</w:t>
      </w:r>
    </w:p>
    <w:p w14:paraId="04F2160D">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综合体检问题和居民问卷，滦州市城区层面主要存在以下方面问题（城区维度共发现问题13项，其中限时解决2项，尽力解决11项）：</w:t>
      </w:r>
    </w:p>
    <w:p w14:paraId="6AADDE28">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（1）资源循环与公共服务供给缺口显著，空间分布失衡。核心短板体现在资源利用、街道建设、教育配套及便民设施上，且存在明显区域差异。</w:t>
      </w:r>
    </w:p>
    <w:p w14:paraId="372A4CD3">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（2）交通与住房配套不足，职住便利性受影响。核心短板体现在公共交通、停车设施、保障房设施上，存在明显供需矛盾。“住房压力”满意度（72.26分）为全维度最低，直接拉低职住平衡体验。</w:t>
      </w:r>
    </w:p>
    <w:p w14:paraId="38637D6D">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（3）风险防控能力薄弱，应急设施建设亟待加强。短板集中于应急保障、消防覆盖及防灾配套，设施空间分布不均问题明显。</w:t>
      </w:r>
    </w:p>
    <w:p w14:paraId="1047CF24">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（4）智慧城市建设全面滞后，智能化管理能力缺失。核心智慧设施与平台空白，严重制约城市管理效率。</w:t>
      </w:r>
    </w:p>
    <w:p w14:paraId="330E0D29">
      <w:pPr>
        <w:pStyle w:val="3"/>
        <w:pageBreakBefore w:val="0"/>
        <w:wordWrap/>
        <w:overflowPunct/>
        <w:bidi w:val="0"/>
        <w:spacing w:before="0" w:line="560" w:lineRule="exact"/>
        <w:ind w:left="0" w:firstLine="616" w:firstLineChars="200"/>
        <w:jc w:val="both"/>
        <w:rPr>
          <w:rFonts w:hint="eastAsia" w:ascii="黑体" w:hAnsi="黑体" w:eastAsia="黑体" w:cs="黑体"/>
          <w:spacing w:val="-6"/>
          <w:sz w:val="32"/>
          <w:szCs w:val="32"/>
          <w:lang w:val="en-US" w:eastAsia="zh-CN"/>
        </w:rPr>
      </w:pPr>
      <w:bookmarkStart w:id="14" w:name="_Toc26765"/>
      <w:bookmarkStart w:id="15" w:name="_Toc21462"/>
      <w:bookmarkStart w:id="16" w:name="_Toc9066"/>
      <w:r>
        <w:rPr>
          <w:rFonts w:hint="eastAsia" w:ascii="黑体" w:hAnsi="黑体" w:eastAsia="黑体" w:cs="黑体"/>
          <w:spacing w:val="-6"/>
          <w:sz w:val="32"/>
          <w:szCs w:val="32"/>
          <w:lang w:val="en-US" w:eastAsia="zh-CN"/>
        </w:rPr>
        <w:t>四、整治措施</w:t>
      </w:r>
      <w:bookmarkEnd w:id="14"/>
      <w:bookmarkEnd w:id="15"/>
      <w:bookmarkEnd w:id="16"/>
    </w:p>
    <w:p w14:paraId="65DBFC58">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（一）完善制度建设，以规划赋能推动城市“内涵式”发展</w:t>
      </w:r>
    </w:p>
    <w:p w14:paraId="21F730F1">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针对城中村改造要求、保障性住房工作，开展编制相关专项规划，完善顶层设计，指导工作开展；针对文化设施、体育设施、养老设施等尚未编制完善的相关专项规划，尽快完善顶层设计，落实空间保障，指导设施建设。以规划引领、规划探索、规划赋能推动城市“内涵式”发展。</w:t>
      </w:r>
    </w:p>
    <w:p w14:paraId="68AE2144">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（二）分档推进住区问题治理</w:t>
      </w:r>
    </w:p>
    <w:p w14:paraId="1831CBC6">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优化区域选择标准，优先短板突出、资源充足、意愿强烈、区位优越区域，灵活采用社区自建、联建、共建等模式推进项目。一方面完善社区基础保障：配齐公共服务与市政设施，健全便民网点，重点配置养老托育、文体、市场、活动空间及绿地；另一方面提升生活品质：增设停车场、充电桩，丰富托育中心、老年食堂、照料中心、健身场地、超市等业态。推动专业人才进社区，建立居民参与机制，精准改造老旧小区。</w:t>
      </w:r>
    </w:p>
    <w:p w14:paraId="1BB3222C">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（三）分类推进街区整治提升</w:t>
      </w:r>
    </w:p>
    <w:p w14:paraId="5F12D0C2">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1.教育优化：均衡资源配置，增加中学覆盖（中东部），按步行10分钟标准补足小学（新城北、西南及古城），通过师资建设解决大班额问题。</w:t>
      </w:r>
    </w:p>
    <w:p w14:paraId="50AA6663">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2.体育设施：规划建设公共体育场地，加强维护管理，鼓励中小学操场错峰开放。</w:t>
      </w:r>
    </w:p>
    <w:p w14:paraId="1796D5FD">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3.文化补足：加快新城南部文化广场建设，补齐街道级文化设施；开展惠民演出、优化乡村文化资源、组织文艺培训。</w:t>
      </w:r>
    </w:p>
    <w:p w14:paraId="029E16D6">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4.强化街道秩序：专项整治乱停车：施划车位、设禁停区、装监控，挖掘闲置地增车位。建立"街道-社区-物业"三级管理机制，联合巡查考核，确保长效治理。</w:t>
      </w:r>
    </w:p>
    <w:p w14:paraId="289180AE">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5.加速厂区改造：对10个老旧厂区“一厂一策”改造（如蓝贝酒业转型文创园/商业综合体），出台土地、税收优惠吸引社会资本，联合高校推动创新产业转型。</w:t>
      </w:r>
    </w:p>
    <w:p w14:paraId="06A76FBB">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（四）分时序推进城区治理</w:t>
      </w:r>
    </w:p>
    <w:p w14:paraId="4B4A356C">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1.安全优先：提升消防保障（衔接消防规划、增建消防站、建微型站、完善设施）、建设平急两用设施、完善供水及应急避难体系。</w:t>
      </w:r>
    </w:p>
    <w:p w14:paraId="62019992">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spacing w:val="-6"/>
          <w:sz w:val="32"/>
          <w:szCs w:val="32"/>
          <w:lang w:val="en-US" w:eastAsia="zh-CN"/>
        </w:rPr>
      </w:pPr>
      <w:r>
        <w:rPr>
          <w:rFonts w:hint="eastAsia" w:ascii="方正仿宋_GB2312" w:hAnsi="方正仿宋_GB2312" w:eastAsia="方正仿宋_GB2312" w:cs="方正仿宋_GB2312"/>
          <w:spacing w:val="-6"/>
          <w:sz w:val="32"/>
          <w:szCs w:val="32"/>
          <w:lang w:val="en-US" w:eastAsia="zh-CN"/>
        </w:rPr>
        <w:t>2.基础提升：优化路网（打通断头路、增密度）、推进城乡公交一体化；谋划城中村改造（争取资金、消除隐患）；实施地下管线改造（专项体检、燃气/供水等智能化建设）。</w:t>
      </w:r>
    </w:p>
    <w:p w14:paraId="2E829681">
      <w:pPr>
        <w:pStyle w:val="7"/>
        <w:pageBreakBefore w:val="0"/>
        <w:wordWrap/>
        <w:overflowPunct/>
        <w:bidi w:val="0"/>
        <w:spacing w:before="0" w:line="560" w:lineRule="exact"/>
        <w:ind w:left="0" w:firstLine="616" w:firstLineChars="200"/>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spacing w:val="-6"/>
          <w:sz w:val="32"/>
          <w:szCs w:val="32"/>
          <w:lang w:val="en-US" w:eastAsia="zh-CN"/>
        </w:rPr>
        <w:t>3.品质升级：推动旅游名城建设（提速滦州古城、滦河风景带、铁桥修缮、啤酒博物馆项目）；完善“智慧滦州”平台（整合数据、监测预警），实施智慧停车（资源整合、实时信息引导）。</w:t>
      </w:r>
    </w:p>
    <w:sectPr>
      <w:footerReference r:id="rId5" w:type="default"/>
      <w:pgSz w:w="11906" w:h="16838"/>
      <w:pgMar w:top="2098" w:right="1474" w:bottom="1984" w:left="1587" w:header="851" w:footer="1701"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6"/>
      </w:pPr>
      <w:r>
        <w:separator/>
      </w:r>
    </w:p>
  </w:endnote>
  <w:endnote w:type="continuationSeparator" w:id="1">
    <w:p>
      <w:pPr>
        <w:spacing w:line="240" w:lineRule="auto"/>
        <w:ind w:firstLine="61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0C055A-157E-46C4-AEAE-E5AE409F846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2" w:fontKey="{FA79F2A8-A3D3-4C29-A4A8-09DB6C8CD8C4}"/>
  </w:font>
  <w:font w:name="WPSEMBED1">
    <w:panose1 w:val="02000000000000000000"/>
    <w:charset w:val="86"/>
    <w:family w:val="auto"/>
    <w:pitch w:val="default"/>
    <w:sig w:usb0="A00002BF" w:usb1="184F6CFA" w:usb2="00000012" w:usb3="00000000" w:csb0="00040001" w:csb1="00000000"/>
  </w:font>
  <w:font w:name="KSOFD7C1B938">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591FA">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833B81">
                          <w:pPr>
                            <w:pStyle w:val="10"/>
                            <w:rPr>
                              <w:rFonts w:hint="eastAsia" w:ascii="宋体" w:hAnsi="宋体" w:eastAsia="宋体" w:cstheme="minorEastAsia"/>
                              <w:sz w:val="28"/>
                              <w:szCs w:val="28"/>
                            </w:rPr>
                          </w:pPr>
                          <w:r>
                            <w:rPr>
                              <w:rFonts w:hint="eastAsia" w:ascii="宋体" w:hAnsi="宋体" w:eastAsia="宋体" w:cstheme="minorEastAsia"/>
                              <w:sz w:val="28"/>
                              <w:szCs w:val="28"/>
                            </w:rPr>
                            <w:t>—</w:t>
                          </w:r>
                          <w:r>
                            <w:rPr>
                              <w:rFonts w:hint="eastAsia" w:ascii="宋体" w:hAnsi="宋体" w:eastAsia="宋体" w:cstheme="minorEastAsia"/>
                              <w:sz w:val="24"/>
                              <w:szCs w:val="28"/>
                            </w:rPr>
                            <w:t>　</w:t>
                          </w:r>
                          <w:r>
                            <w:rPr>
                              <w:rFonts w:hint="eastAsia" w:ascii="宋体" w:hAnsi="宋体" w:eastAsia="宋体" w:cstheme="minorEastAsia"/>
                              <w:sz w:val="28"/>
                              <w:szCs w:val="28"/>
                            </w:rPr>
                            <w:fldChar w:fldCharType="begin"/>
                          </w:r>
                          <w:r>
                            <w:rPr>
                              <w:rFonts w:hint="eastAsia" w:ascii="宋体" w:hAnsi="宋体" w:eastAsia="宋体" w:cstheme="minorEastAsia"/>
                              <w:sz w:val="28"/>
                              <w:szCs w:val="28"/>
                            </w:rPr>
                            <w:instrText xml:space="preserve"> PAGE  \* MERGEFORMAT </w:instrText>
                          </w:r>
                          <w:r>
                            <w:rPr>
                              <w:rFonts w:hint="eastAsia" w:ascii="宋体" w:hAnsi="宋体" w:eastAsia="宋体" w:cstheme="minorEastAsia"/>
                              <w:sz w:val="28"/>
                              <w:szCs w:val="28"/>
                            </w:rPr>
                            <w:fldChar w:fldCharType="separate"/>
                          </w:r>
                          <w:r>
                            <w:rPr>
                              <w:rFonts w:hint="eastAsia" w:ascii="宋体" w:hAnsi="宋体" w:eastAsia="宋体" w:cstheme="minorEastAsia"/>
                              <w:sz w:val="28"/>
                              <w:szCs w:val="28"/>
                            </w:rPr>
                            <w:t>1</w:t>
                          </w:r>
                          <w:r>
                            <w:rPr>
                              <w:rFonts w:hint="eastAsia" w:ascii="宋体" w:hAnsi="宋体" w:eastAsia="宋体" w:cstheme="minorEastAsia"/>
                              <w:sz w:val="28"/>
                              <w:szCs w:val="28"/>
                            </w:rPr>
                            <w:fldChar w:fldCharType="end"/>
                          </w:r>
                          <w:r>
                            <w:rPr>
                              <w:rFonts w:hint="eastAsia" w:ascii="宋体" w:hAnsi="宋体" w:eastAsia="宋体" w:cstheme="minorEastAsia"/>
                              <w:sz w:val="24"/>
                              <w:szCs w:val="28"/>
                            </w:rPr>
                            <w:t>　</w:t>
                          </w:r>
                          <w:r>
                            <w:rPr>
                              <w:rFonts w:hint="eastAsia" w:ascii="宋体" w:hAnsi="宋体" w:eastAsia="宋体" w:cstheme="minorEastAsia"/>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19833B81">
                    <w:pPr>
                      <w:pStyle w:val="10"/>
                      <w:rPr>
                        <w:rFonts w:hint="eastAsia" w:ascii="宋体" w:hAnsi="宋体" w:eastAsia="宋体" w:cstheme="minorEastAsia"/>
                        <w:sz w:val="28"/>
                        <w:szCs w:val="28"/>
                      </w:rPr>
                    </w:pPr>
                    <w:r>
                      <w:rPr>
                        <w:rFonts w:hint="eastAsia" w:ascii="宋体" w:hAnsi="宋体" w:eastAsia="宋体" w:cstheme="minorEastAsia"/>
                        <w:sz w:val="28"/>
                        <w:szCs w:val="28"/>
                      </w:rPr>
                      <w:t>—</w:t>
                    </w:r>
                    <w:r>
                      <w:rPr>
                        <w:rFonts w:hint="eastAsia" w:ascii="宋体" w:hAnsi="宋体" w:eastAsia="宋体" w:cstheme="minorEastAsia"/>
                        <w:sz w:val="24"/>
                        <w:szCs w:val="28"/>
                      </w:rPr>
                      <w:t>　</w:t>
                    </w:r>
                    <w:r>
                      <w:rPr>
                        <w:rFonts w:hint="eastAsia" w:ascii="宋体" w:hAnsi="宋体" w:eastAsia="宋体" w:cstheme="minorEastAsia"/>
                        <w:sz w:val="28"/>
                        <w:szCs w:val="28"/>
                      </w:rPr>
                      <w:fldChar w:fldCharType="begin"/>
                    </w:r>
                    <w:r>
                      <w:rPr>
                        <w:rFonts w:hint="eastAsia" w:ascii="宋体" w:hAnsi="宋体" w:eastAsia="宋体" w:cstheme="minorEastAsia"/>
                        <w:sz w:val="28"/>
                        <w:szCs w:val="28"/>
                      </w:rPr>
                      <w:instrText xml:space="preserve"> PAGE  \* MERGEFORMAT </w:instrText>
                    </w:r>
                    <w:r>
                      <w:rPr>
                        <w:rFonts w:hint="eastAsia" w:ascii="宋体" w:hAnsi="宋体" w:eastAsia="宋体" w:cstheme="minorEastAsia"/>
                        <w:sz w:val="28"/>
                        <w:szCs w:val="28"/>
                      </w:rPr>
                      <w:fldChar w:fldCharType="separate"/>
                    </w:r>
                    <w:r>
                      <w:rPr>
                        <w:rFonts w:hint="eastAsia" w:ascii="宋体" w:hAnsi="宋体" w:eastAsia="宋体" w:cstheme="minorEastAsia"/>
                        <w:sz w:val="28"/>
                        <w:szCs w:val="28"/>
                      </w:rPr>
                      <w:t>1</w:t>
                    </w:r>
                    <w:r>
                      <w:rPr>
                        <w:rFonts w:hint="eastAsia" w:ascii="宋体" w:hAnsi="宋体" w:eastAsia="宋体" w:cstheme="minorEastAsia"/>
                        <w:sz w:val="28"/>
                        <w:szCs w:val="28"/>
                      </w:rPr>
                      <w:fldChar w:fldCharType="end"/>
                    </w:r>
                    <w:r>
                      <w:rPr>
                        <w:rFonts w:hint="eastAsia" w:ascii="宋体" w:hAnsi="宋体" w:eastAsia="宋体" w:cstheme="minorEastAsia"/>
                        <w:sz w:val="24"/>
                        <w:szCs w:val="28"/>
                      </w:rPr>
                      <w:t>　</w:t>
                    </w:r>
                    <w:r>
                      <w:rPr>
                        <w:rFonts w:hint="eastAsia" w:ascii="宋体" w:hAnsi="宋体" w:eastAsia="宋体" w:cstheme="minorEastAsia"/>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16"/>
      </w:pPr>
      <w:r>
        <w:separator/>
      </w:r>
    </w:p>
  </w:footnote>
  <w:footnote w:type="continuationSeparator" w:id="1">
    <w:p>
      <w:pPr>
        <w:spacing w:before="0" w:after="0" w:line="240" w:lineRule="auto"/>
        <w:ind w:firstLine="616"/>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6581C2"/>
    <w:multiLevelType w:val="singleLevel"/>
    <w:tmpl w:val="E86581C2"/>
    <w:lvl w:ilvl="0" w:tentative="0">
      <w:start w:val="1"/>
      <w:numFmt w:val="decimal"/>
      <w:pStyle w:val="6"/>
      <w:lvlText w:val="%1."/>
      <w:lvlJc w:val="left"/>
      <w:pPr>
        <w:tabs>
          <w:tab w:val="left" w:pos="312"/>
        </w:tabs>
      </w:pPr>
    </w:lvl>
  </w:abstractNum>
  <w:abstractNum w:abstractNumId="1">
    <w:nsid w:val="09AEC3BE"/>
    <w:multiLevelType w:val="multilevel"/>
    <w:tmpl w:val="09AEC3BE"/>
    <w:lvl w:ilvl="0" w:tentative="0">
      <w:start w:val="1"/>
      <w:numFmt w:val="decimal"/>
      <w:lvlText w:val="表%1  "/>
      <w:lvlJc w:val="center"/>
      <w:pPr>
        <w:tabs>
          <w:tab w:val="left" w:pos="0"/>
        </w:tabs>
        <w:ind w:left="0" w:leftChars="0" w:firstLine="0" w:firstLineChars="0"/>
      </w:pPr>
      <w:rPr>
        <w:rFonts w:hint="eastAsia"/>
      </w:rPr>
    </w:lvl>
    <w:lvl w:ilvl="1" w:tentative="0">
      <w:start w:val="1"/>
      <w:numFmt w:val="lowerLetter"/>
      <w:lvlText w:val="%2)"/>
      <w:lvlJc w:val="center"/>
      <w:pPr>
        <w:tabs>
          <w:tab w:val="left" w:pos="840"/>
        </w:tabs>
        <w:ind w:left="840" w:leftChars="0" w:hanging="420" w:firstLineChars="0"/>
      </w:pPr>
      <w:rPr>
        <w:rFonts w:hint="eastAsia"/>
      </w:rPr>
    </w:lvl>
    <w:lvl w:ilvl="2" w:tentative="0">
      <w:start w:val="1"/>
      <w:numFmt w:val="lowerRoman"/>
      <w:lvlText w:val="%3."/>
      <w:lvlJc w:val="center"/>
      <w:pPr>
        <w:tabs>
          <w:tab w:val="left" w:pos="1260"/>
        </w:tabs>
        <w:ind w:left="1260" w:leftChars="0" w:hanging="420" w:firstLineChars="0"/>
      </w:pPr>
      <w:rPr>
        <w:rFonts w:hint="eastAsia"/>
      </w:rPr>
    </w:lvl>
    <w:lvl w:ilvl="3" w:tentative="0">
      <w:start w:val="1"/>
      <w:numFmt w:val="decimal"/>
      <w:lvlText w:val="%4."/>
      <w:lvlJc w:val="center"/>
      <w:pPr>
        <w:tabs>
          <w:tab w:val="left" w:pos="1680"/>
        </w:tabs>
        <w:ind w:left="1680" w:leftChars="0" w:hanging="420" w:firstLineChars="0"/>
      </w:pPr>
      <w:rPr>
        <w:rFonts w:hint="eastAsia"/>
      </w:rPr>
    </w:lvl>
    <w:lvl w:ilvl="4" w:tentative="0">
      <w:start w:val="1"/>
      <w:numFmt w:val="decimal"/>
      <w:lvlRestart w:val="0"/>
      <w:isLgl/>
      <w:suff w:val="space"/>
      <w:lvlText w:val="表%5 "/>
      <w:lvlJc w:val="center"/>
      <w:pPr>
        <w:tabs>
          <w:tab w:val="left" w:pos="0"/>
        </w:tabs>
        <w:ind w:left="0" w:leftChars="0" w:firstLine="0" w:firstLineChars="0"/>
      </w:pPr>
      <w:rPr>
        <w:rFonts w:hint="default"/>
      </w:rPr>
    </w:lvl>
    <w:lvl w:ilvl="5" w:tentative="0">
      <w:start w:val="1"/>
      <w:numFmt w:val="lowerRoman"/>
      <w:lvlText w:val="%6."/>
      <w:lvlJc w:val="center"/>
      <w:pPr>
        <w:tabs>
          <w:tab w:val="left" w:pos="2520"/>
        </w:tabs>
        <w:ind w:left="2520" w:leftChars="0" w:hanging="420" w:firstLineChars="0"/>
      </w:pPr>
      <w:rPr>
        <w:rFonts w:hint="eastAsia"/>
      </w:rPr>
    </w:lvl>
    <w:lvl w:ilvl="6" w:tentative="0">
      <w:start w:val="1"/>
      <w:numFmt w:val="decimal"/>
      <w:lvlText w:val="%7."/>
      <w:lvlJc w:val="center"/>
      <w:pPr>
        <w:tabs>
          <w:tab w:val="left" w:pos="2940"/>
        </w:tabs>
        <w:ind w:left="2940" w:leftChars="0" w:hanging="420" w:firstLineChars="0"/>
      </w:pPr>
      <w:rPr>
        <w:rFonts w:hint="eastAsia"/>
      </w:rPr>
    </w:lvl>
    <w:lvl w:ilvl="7" w:tentative="0">
      <w:start w:val="1"/>
      <w:numFmt w:val="lowerLetter"/>
      <w:lvlText w:val="%8)"/>
      <w:lvlJc w:val="center"/>
      <w:pPr>
        <w:tabs>
          <w:tab w:val="left" w:pos="3360"/>
        </w:tabs>
        <w:ind w:left="3360" w:leftChars="0" w:hanging="420" w:firstLineChars="0"/>
      </w:pPr>
      <w:rPr>
        <w:rFonts w:hint="eastAsia"/>
      </w:rPr>
    </w:lvl>
    <w:lvl w:ilvl="8" w:tentative="0">
      <w:start w:val="1"/>
      <w:numFmt w:val="lowerRoman"/>
      <w:lvlText w:val="%9."/>
      <w:lvlJc w:val="center"/>
      <w:pPr>
        <w:tabs>
          <w:tab w:val="left" w:pos="3780"/>
        </w:tabs>
        <w:ind w:left="3780" w:leftChars="0" w:hanging="420" w:firstLineChars="0"/>
      </w:pPr>
      <w:rPr>
        <w:rFonts w:hint="eastAsia"/>
      </w:rPr>
    </w:lvl>
  </w:abstractNum>
  <w:abstractNum w:abstractNumId="2">
    <w:nsid w:val="61BC957B"/>
    <w:multiLevelType w:val="multilevel"/>
    <w:tmpl w:val="61BC957B"/>
    <w:lvl w:ilvl="0" w:tentative="0">
      <w:start w:val="1"/>
      <w:numFmt w:val="decimal"/>
      <w:isLgl/>
      <w:suff w:val="space"/>
      <w:lvlText w:val="图%1"/>
      <w:lvlJc w:val="left"/>
      <w:pPr>
        <w:tabs>
          <w:tab w:val="left" w:pos="0"/>
        </w:tabs>
        <w:ind w:left="0" w:leftChars="0" w:firstLine="0" w:firstLineChars="0"/>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decimal"/>
      <w:isLgl/>
      <w:suff w:val="space"/>
      <w:lvlText w:val="图%6 "/>
      <w:lvlJc w:val="center"/>
      <w:pPr>
        <w:tabs>
          <w:tab w:val="left" w:pos="420"/>
        </w:tabs>
        <w:ind w:left="0" w:leftChars="0" w:firstLine="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AD0A83"/>
    <w:rsid w:val="011E0E5A"/>
    <w:rsid w:val="04A774AE"/>
    <w:rsid w:val="0BE72379"/>
    <w:rsid w:val="0C97596E"/>
    <w:rsid w:val="0DE17DD9"/>
    <w:rsid w:val="0ECA2319"/>
    <w:rsid w:val="109401F4"/>
    <w:rsid w:val="11F75E71"/>
    <w:rsid w:val="14F825D1"/>
    <w:rsid w:val="15BB29C6"/>
    <w:rsid w:val="16BF641B"/>
    <w:rsid w:val="16CD3FE1"/>
    <w:rsid w:val="1BA170BF"/>
    <w:rsid w:val="1F066A9B"/>
    <w:rsid w:val="22B3545D"/>
    <w:rsid w:val="246B5966"/>
    <w:rsid w:val="2EB36E25"/>
    <w:rsid w:val="316E1FD6"/>
    <w:rsid w:val="34C10454"/>
    <w:rsid w:val="39E91A66"/>
    <w:rsid w:val="3D140FED"/>
    <w:rsid w:val="3E3756AD"/>
    <w:rsid w:val="3FFF5E7A"/>
    <w:rsid w:val="41AD0A83"/>
    <w:rsid w:val="451C6BC3"/>
    <w:rsid w:val="4BE909E0"/>
    <w:rsid w:val="4CB43B5C"/>
    <w:rsid w:val="4CF04D96"/>
    <w:rsid w:val="4DA96496"/>
    <w:rsid w:val="501C7337"/>
    <w:rsid w:val="549D7343"/>
    <w:rsid w:val="57233025"/>
    <w:rsid w:val="57514FCF"/>
    <w:rsid w:val="57BB1DDB"/>
    <w:rsid w:val="58CC597D"/>
    <w:rsid w:val="5A0B2C4A"/>
    <w:rsid w:val="5B7F4D2A"/>
    <w:rsid w:val="5C102F3E"/>
    <w:rsid w:val="5C126EC2"/>
    <w:rsid w:val="5D3117D7"/>
    <w:rsid w:val="5D537A94"/>
    <w:rsid w:val="64744EC0"/>
    <w:rsid w:val="6A386990"/>
    <w:rsid w:val="6EB44AD4"/>
    <w:rsid w:val="704C1539"/>
    <w:rsid w:val="70AE0041"/>
    <w:rsid w:val="716F78C1"/>
    <w:rsid w:val="75044368"/>
    <w:rsid w:val="76EF7F13"/>
    <w:rsid w:val="79025202"/>
    <w:rsid w:val="7A68361F"/>
    <w:rsid w:val="7C29690A"/>
    <w:rsid w:val="7CF44FFF"/>
    <w:rsid w:val="7DA3BC80"/>
    <w:rsid w:val="7EFF9124"/>
    <w:rsid w:val="7FB614DA"/>
    <w:rsid w:val="9DBFC7B5"/>
    <w:rsid w:val="BF3FB4C2"/>
    <w:rsid w:val="D935A356"/>
    <w:rsid w:val="DE6BE766"/>
    <w:rsid w:val="FBFB41C5"/>
    <w:rsid w:val="FD41B006"/>
    <w:rsid w:val="FEFBB897"/>
    <w:rsid w:val="FFDA7600"/>
    <w:rsid w:val="FFFD9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kinsoku/>
      <w:topLinePunct/>
      <w:autoSpaceDE w:val="0"/>
      <w:autoSpaceDN w:val="0"/>
      <w:bidi w:val="0"/>
      <w:adjustRightInd w:val="0"/>
      <w:snapToGrid w:val="0"/>
      <w:spacing w:before="3" w:line="560" w:lineRule="exact"/>
      <w:ind w:left="23" w:leftChars="0" w:firstLine="584" w:firstLineChars="200"/>
      <w:jc w:val="both"/>
      <w:textAlignment w:val="baseline"/>
    </w:pPr>
    <w:rPr>
      <w:rFonts w:ascii="仿宋" w:hAnsi="仿宋" w:eastAsia="仿宋" w:cs="仿宋"/>
      <w:snapToGrid w:val="0"/>
      <w:color w:val="000000"/>
      <w:spacing w:val="-6"/>
      <w:kern w:val="0"/>
      <w:sz w:val="32"/>
      <w:szCs w:val="30"/>
      <w:lang w:val="en-US" w:eastAsia="zh-CN" w:bidi="ar-SA"/>
    </w:rPr>
  </w:style>
  <w:style w:type="paragraph" w:styleId="2">
    <w:name w:val="heading 1"/>
    <w:basedOn w:val="1"/>
    <w:next w:val="1"/>
    <w:qFormat/>
    <w:uiPriority w:val="0"/>
    <w:pPr>
      <w:keepNext/>
      <w:keepLines/>
      <w:widowControl/>
      <w:kinsoku w:val="0"/>
      <w:topLinePunct w:val="0"/>
      <w:spacing w:before="100" w:beforeLines="0" w:after="100" w:afterLines="0" w:line="240" w:lineRule="auto"/>
      <w:ind w:left="0" w:firstLine="0" w:firstLineChars="0"/>
      <w:jc w:val="left"/>
      <w:outlineLvl w:val="0"/>
    </w:pPr>
    <w:rPr>
      <w:rFonts w:ascii="方正小标宋简体" w:hAnsi="方正小标宋简体" w:eastAsia="方正小标宋简体" w:cs="方正小标宋简体"/>
      <w:b/>
      <w:kern w:val="44"/>
      <w:sz w:val="44"/>
    </w:rPr>
  </w:style>
  <w:style w:type="paragraph" w:styleId="3">
    <w:name w:val="heading 2"/>
    <w:basedOn w:val="1"/>
    <w:next w:val="4"/>
    <w:unhideWhenUsed/>
    <w:qFormat/>
    <w:uiPriority w:val="0"/>
    <w:pPr>
      <w:autoSpaceDE/>
      <w:autoSpaceDN/>
      <w:adjustRightInd/>
      <w:snapToGrid/>
      <w:spacing w:line="570" w:lineRule="exact"/>
      <w:ind w:left="0" w:firstLine="867"/>
      <w:textAlignment w:val="auto"/>
      <w:outlineLvl w:val="1"/>
    </w:pPr>
    <w:rPr>
      <w:rFonts w:ascii="方正黑体简体" w:hAnsi="方正黑体简体" w:eastAsia="方正黑体简体" w:cs="方正黑体简体"/>
      <w:color w:val="auto"/>
      <w:szCs w:val="32"/>
    </w:rPr>
  </w:style>
  <w:style w:type="paragraph" w:styleId="5">
    <w:name w:val="heading 3"/>
    <w:basedOn w:val="1"/>
    <w:next w:val="1"/>
    <w:link w:val="16"/>
    <w:unhideWhenUsed/>
    <w:qFormat/>
    <w:uiPriority w:val="0"/>
    <w:pPr>
      <w:outlineLvl w:val="2"/>
    </w:pPr>
    <w:rPr>
      <w:rFonts w:ascii="方正仿宋简体" w:hAnsi="方正仿宋简体" w:eastAsia="方正仿宋简体" w:cs="方正仿宋简体"/>
      <w:b/>
      <w:bCs/>
      <w:sz w:val="32"/>
      <w:szCs w:val="30"/>
      <w:highlight w:val="none"/>
      <w:lang w:eastAsia="zh-CN"/>
    </w:rPr>
  </w:style>
  <w:style w:type="paragraph" w:styleId="6">
    <w:name w:val="heading 4"/>
    <w:basedOn w:val="1"/>
    <w:next w:val="7"/>
    <w:unhideWhenUsed/>
    <w:qFormat/>
    <w:uiPriority w:val="0"/>
    <w:pPr>
      <w:numPr>
        <w:ilvl w:val="0"/>
        <w:numId w:val="1"/>
      </w:numPr>
      <w:spacing w:before="0"/>
      <w:ind w:left="0" w:firstLine="0" w:firstLineChars="0"/>
      <w:outlineLvl w:val="3"/>
    </w:pPr>
    <w:rPr>
      <w:b/>
      <w:bCs/>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ind w:firstLine="420"/>
    </w:pPr>
  </w:style>
  <w:style w:type="paragraph" w:styleId="7">
    <w:name w:val="Body Text"/>
    <w:basedOn w:val="1"/>
    <w:qFormat/>
    <w:uiPriority w:val="0"/>
    <w:rPr>
      <w:rFonts w:ascii="方正仿宋简体" w:hAnsi="方正仿宋简体" w:eastAsia="方正仿宋简体" w:cs="方正仿宋简体"/>
      <w:highlight w:val="none"/>
    </w:rPr>
  </w:style>
  <w:style w:type="paragraph" w:styleId="8">
    <w:name w:val="caption"/>
    <w:basedOn w:val="1"/>
    <w:next w:val="1"/>
    <w:unhideWhenUsed/>
    <w:qFormat/>
    <w:uiPriority w:val="0"/>
    <w:pPr>
      <w:spacing w:before="0"/>
      <w:ind w:left="0" w:firstLine="0" w:firstLineChars="0"/>
      <w:jc w:val="center"/>
    </w:pPr>
    <w:rPr>
      <w:rFonts w:ascii="等线" w:hAnsi="等线" w:eastAsia="等线" w:cs="等线"/>
      <w:sz w:val="24"/>
      <w:szCs w:val="40"/>
    </w:rPr>
  </w:style>
  <w:style w:type="paragraph" w:styleId="9">
    <w:name w:val="annotation text"/>
    <w:basedOn w:val="1"/>
    <w:qFormat/>
    <w:uiPriority w:val="0"/>
    <w:pPr>
      <w:jc w:val="left"/>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unhideWhenUsed/>
    <w:qFormat/>
    <w:uiPriority w:val="99"/>
    <w:pPr>
      <w:widowControl w:val="0"/>
      <w:spacing w:after="120" w:afterLines="0"/>
      <w:ind w:left="420" w:leftChars="200" w:firstLine="420" w:firstLineChars="200"/>
      <w:jc w:val="both"/>
    </w:pPr>
    <w:rPr>
      <w:rFonts w:ascii="Times New Roman" w:hAnsi="Times New Roman" w:eastAsia="宋体" w:cs="Times New Roman"/>
      <w:kern w:val="2"/>
      <w:sz w:val="21"/>
      <w:szCs w:val="22"/>
      <w:lang w:val="en-US" w:eastAsia="zh-CN" w:bidi="ar-SA"/>
    </w:rPr>
  </w:style>
  <w:style w:type="character" w:styleId="15">
    <w:name w:val="Strong"/>
    <w:basedOn w:val="14"/>
    <w:qFormat/>
    <w:uiPriority w:val="0"/>
    <w:rPr>
      <w:b/>
    </w:rPr>
  </w:style>
  <w:style w:type="character" w:customStyle="1" w:styleId="16">
    <w:name w:val="标题 3 Char"/>
    <w:link w:val="5"/>
    <w:qFormat/>
    <w:uiPriority w:val="0"/>
    <w:rPr>
      <w:rFonts w:ascii="方正仿宋简体" w:hAnsi="方正仿宋简体" w:eastAsia="方正仿宋简体" w:cs="方正仿宋简体"/>
      <w:b/>
      <w:bCs/>
      <w:snapToGrid w:val="0"/>
      <w:color w:val="000000"/>
      <w:spacing w:val="-6"/>
      <w:kern w:val="0"/>
      <w:sz w:val="32"/>
      <w:szCs w:val="30"/>
      <w:highlight w:val="none"/>
      <w:lang w:val="en-US" w:eastAsia="zh-CN" w:bidi="ar-SA"/>
    </w:rPr>
  </w:style>
  <w:style w:type="paragraph" w:customStyle="1" w:styleId="17">
    <w:name w:val="表格"/>
    <w:basedOn w:val="1"/>
    <w:qFormat/>
    <w:uiPriority w:val="0"/>
    <w:pPr>
      <w:widowControl/>
      <w:kinsoku/>
      <w:overflowPunct w:val="0"/>
      <w:topLinePunct w:val="0"/>
      <w:autoSpaceDE/>
      <w:autoSpaceDN/>
      <w:adjustRightInd/>
      <w:snapToGrid/>
      <w:spacing w:line="300" w:lineRule="exact"/>
      <w:ind w:firstLine="0" w:firstLineChars="0"/>
      <w:jc w:val="center"/>
      <w:textAlignment w:val="center"/>
    </w:pPr>
    <w:rPr>
      <w:rFonts w:hint="eastAsia" w:cs="Times New Roman"/>
      <w:color w:val="000000" w:themeColor="text1"/>
      <w:spacing w:val="-6"/>
      <w:sz w:val="24"/>
      <w:szCs w:val="24"/>
      <w14:textFill>
        <w14:solidFill>
          <w14:schemeClr w14:val="tx1"/>
        </w14:solidFill>
      </w14:textFill>
      <w14:ligatures w14:val="standardContextual"/>
    </w:rPr>
  </w:style>
  <w:style w:type="paragraph" w:customStyle="1" w:styleId="18">
    <w:name w:val="图"/>
    <w:basedOn w:val="1"/>
    <w:qFormat/>
    <w:uiPriority w:val="0"/>
    <w:pPr>
      <w:ind w:left="0" w:firstLine="0" w:firstLineChars="0"/>
    </w:pPr>
    <w:rPr>
      <w:sz w:val="24"/>
      <w:szCs w:val="24"/>
    </w:rPr>
  </w:style>
  <w:style w:type="character" w:customStyle="1" w:styleId="19">
    <w:name w:val="font21"/>
    <w:basedOn w:val="14"/>
    <w:qFormat/>
    <w:uiPriority w:val="0"/>
    <w:rPr>
      <w:rFonts w:hint="eastAsia" w:ascii="微软雅黑" w:hAnsi="微软雅黑" w:eastAsia="微软雅黑" w:cs="微软雅黑"/>
      <w:color w:val="000000"/>
      <w:sz w:val="24"/>
      <w:szCs w:val="24"/>
      <w:u w:val="none"/>
    </w:rPr>
  </w:style>
  <w:style w:type="character" w:customStyle="1" w:styleId="20">
    <w:name w:val="font51"/>
    <w:basedOn w:val="14"/>
    <w:qFormat/>
    <w:uiPriority w:val="0"/>
    <w:rPr>
      <w:rFonts w:hint="eastAsia" w:ascii="等线" w:hAnsi="等线" w:eastAsia="等线" w:cs="等线"/>
      <w:b/>
      <w:bCs/>
      <w:color w:val="000000"/>
      <w:sz w:val="22"/>
      <w:szCs w:val="22"/>
      <w:u w:val="none"/>
    </w:rPr>
  </w:style>
  <w:style w:type="character" w:customStyle="1" w:styleId="21">
    <w:name w:val="font61"/>
    <w:basedOn w:val="14"/>
    <w:qFormat/>
    <w:uiPriority w:val="0"/>
    <w:rPr>
      <w:rFonts w:hint="eastAsia" w:ascii="等线" w:hAnsi="等线" w:eastAsia="等线" w:cs="等线"/>
      <w:b/>
      <w:bCs/>
      <w:color w:val="000000"/>
      <w:sz w:val="22"/>
      <w:szCs w:val="22"/>
      <w:u w:val="none"/>
    </w:rPr>
  </w:style>
  <w:style w:type="character" w:customStyle="1" w:styleId="22">
    <w:name w:val="font41"/>
    <w:basedOn w:val="14"/>
    <w:qFormat/>
    <w:uiPriority w:val="0"/>
    <w:rPr>
      <w:rFonts w:hint="eastAsia" w:ascii="等线" w:hAnsi="等线" w:eastAsia="等线" w:cs="等线"/>
      <w:color w:val="000000"/>
      <w:sz w:val="22"/>
      <w:szCs w:val="22"/>
      <w:u w:val="none"/>
    </w:rPr>
  </w:style>
  <w:style w:type="character" w:customStyle="1" w:styleId="23">
    <w:name w:val="font71"/>
    <w:basedOn w:val="14"/>
    <w:qFormat/>
    <w:uiPriority w:val="0"/>
    <w:rPr>
      <w:rFonts w:hint="eastAsia" w:ascii="等线" w:hAnsi="等线" w:eastAsia="等线" w:cs="等线"/>
      <w:b/>
      <w:bCs/>
      <w:color w:val="000000"/>
      <w:sz w:val="22"/>
      <w:szCs w:val="22"/>
      <w:u w:val="none"/>
    </w:rPr>
  </w:style>
  <w:style w:type="character" w:customStyle="1" w:styleId="24">
    <w:name w:val="font31"/>
    <w:basedOn w:val="14"/>
    <w:qFormat/>
    <w:uiPriority w:val="0"/>
    <w:rPr>
      <w:rFonts w:hint="eastAsia" w:ascii="等线" w:hAnsi="等线" w:eastAsia="等线" w:cs="等线"/>
      <w:color w:val="000000"/>
      <w:sz w:val="22"/>
      <w:szCs w:val="22"/>
      <w:u w:val="none"/>
    </w:rPr>
  </w:style>
  <w:style w:type="character" w:customStyle="1" w:styleId="25">
    <w:name w:val="font81"/>
    <w:basedOn w:val="14"/>
    <w:qFormat/>
    <w:uiPriority w:val="0"/>
    <w:rPr>
      <w:rFonts w:hint="eastAsia" w:ascii="宋体" w:hAnsi="宋体" w:eastAsia="宋体" w:cs="宋体"/>
      <w:color w:val="000000"/>
      <w:sz w:val="22"/>
      <w:szCs w:val="22"/>
      <w:u w:val="none"/>
    </w:rPr>
  </w:style>
  <w:style w:type="character" w:customStyle="1" w:styleId="26">
    <w:name w:val="font11"/>
    <w:basedOn w:val="14"/>
    <w:qFormat/>
    <w:uiPriority w:val="0"/>
    <w:rPr>
      <w:rFonts w:hint="eastAsia" w:ascii="等线" w:hAnsi="等线" w:eastAsia="等线" w:cs="等线"/>
      <w:color w:val="000000"/>
      <w:sz w:val="22"/>
      <w:szCs w:val="22"/>
      <w:u w:val="none"/>
    </w:rPr>
  </w:style>
  <w:style w:type="paragraph" w:customStyle="1" w:styleId="2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4095</Words>
  <Characters>4224</Characters>
  <Lines>0</Lines>
  <Paragraphs>0</Paragraphs>
  <TotalTime>1</TotalTime>
  <ScaleCrop>false</ScaleCrop>
  <LinksUpToDate>false</LinksUpToDate>
  <CharactersWithSpaces>4224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2025-08-24T10:31:00Z</dcterms:created>
  <dc:creator>Luyang</dc:creator>
  <cp:lastModifiedBy>竹林风</cp:lastModifiedBy>
  <dcterms:modified xsi:type="dcterms:W3CDTF">2026-03-23T02:09:59Z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5452193CDFC441CC8554BF254AE420B2_13</vt:lpwstr>
  </property>
  <property fmtid="{D5CDD505-2E9C-101B-9397-08002B2CF9AE}" pid="4" name="KSOTemplateDocerSaveRecord">
    <vt:lpwstr>eyJoZGlkIjoiMTEzMzNhYmZlZjMxYmZkNmQxM2FlZDhkYTIwYmVhNGYiLCJ1c2VySWQiOiIzODgxNjA1NzYifQ==</vt:lpwstr>
  </property>
</Properties>
</file>