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ascii="微软雅黑" w:hAnsi="微软雅黑" w:eastAsia="微软雅黑" w:cs="微软雅黑"/>
          <w:i w:val="0"/>
          <w:caps w:val="0"/>
          <w:color w:val="333333"/>
          <w:spacing w:val="0"/>
          <w:sz w:val="39"/>
          <w:szCs w:val="39"/>
          <w:shd w:val="clear" w:fill="FFFFFF"/>
        </w:rPr>
      </w:pPr>
      <w:r>
        <w:rPr>
          <w:rFonts w:ascii="微软雅黑" w:hAnsi="微软雅黑" w:eastAsia="微软雅黑" w:cs="微软雅黑"/>
          <w:i w:val="0"/>
          <w:caps w:val="0"/>
          <w:color w:val="333333"/>
          <w:spacing w:val="0"/>
          <w:sz w:val="39"/>
          <w:szCs w:val="39"/>
          <w:shd w:val="clear" w:fill="FFFFFF"/>
        </w:rPr>
        <w:t>东安各庄镇人民政府</w:t>
      </w:r>
    </w:p>
    <w:p>
      <w:pPr>
        <w:keepNext w:val="0"/>
        <w:keepLines w:val="0"/>
        <w:pageBreakBefore w:val="0"/>
        <w:widowControl w:val="0"/>
        <w:kinsoku/>
        <w:wordWrap/>
        <w:overflowPunct/>
        <w:topLinePunct w:val="0"/>
        <w:autoSpaceDE/>
        <w:autoSpaceDN/>
        <w:bidi w:val="0"/>
        <w:adjustRightInd/>
        <w:snapToGrid/>
        <w:jc w:val="center"/>
        <w:textAlignment w:val="auto"/>
        <w:rPr>
          <w:rFonts w:ascii="微软雅黑" w:hAnsi="微软雅黑" w:eastAsia="微软雅黑" w:cs="微软雅黑"/>
          <w:i w:val="0"/>
          <w:caps w:val="0"/>
          <w:color w:val="333333"/>
          <w:spacing w:val="0"/>
          <w:sz w:val="39"/>
          <w:szCs w:val="39"/>
          <w:shd w:val="clear" w:fill="FFFFFF"/>
        </w:rPr>
      </w:pPr>
      <w:r>
        <w:rPr>
          <w:rFonts w:ascii="微软雅黑" w:hAnsi="微软雅黑" w:eastAsia="微软雅黑" w:cs="微软雅黑"/>
          <w:i w:val="0"/>
          <w:caps w:val="0"/>
          <w:color w:val="333333"/>
          <w:spacing w:val="0"/>
          <w:sz w:val="39"/>
          <w:szCs w:val="39"/>
          <w:shd w:val="clear" w:fill="FFFFFF"/>
        </w:rPr>
        <w:t>202</w:t>
      </w:r>
      <w:r>
        <w:rPr>
          <w:rFonts w:hint="eastAsia" w:ascii="微软雅黑" w:hAnsi="微软雅黑" w:eastAsia="微软雅黑" w:cs="微软雅黑"/>
          <w:i w:val="0"/>
          <w:caps w:val="0"/>
          <w:color w:val="333333"/>
          <w:spacing w:val="0"/>
          <w:sz w:val="39"/>
          <w:szCs w:val="39"/>
          <w:shd w:val="clear" w:fill="FFFFFF"/>
          <w:lang w:val="en-US" w:eastAsia="zh-CN"/>
        </w:rPr>
        <w:t>5</w:t>
      </w:r>
      <w:r>
        <w:rPr>
          <w:rFonts w:ascii="微软雅黑" w:hAnsi="微软雅黑" w:eastAsia="微软雅黑" w:cs="微软雅黑"/>
          <w:i w:val="0"/>
          <w:caps w:val="0"/>
          <w:color w:val="333333"/>
          <w:spacing w:val="0"/>
          <w:sz w:val="39"/>
          <w:szCs w:val="39"/>
          <w:shd w:val="clear" w:fill="FFFFFF"/>
        </w:rPr>
        <w:t>年政府信息公开工作</w:t>
      </w:r>
      <w:r>
        <w:rPr>
          <w:rFonts w:hint="eastAsia" w:ascii="微软雅黑" w:hAnsi="微软雅黑" w:eastAsia="微软雅黑" w:cs="微软雅黑"/>
          <w:i w:val="0"/>
          <w:caps w:val="0"/>
          <w:color w:val="333333"/>
          <w:spacing w:val="0"/>
          <w:sz w:val="39"/>
          <w:szCs w:val="39"/>
          <w:shd w:val="clear" w:fill="FFFFFF"/>
          <w:lang w:eastAsia="zh-CN"/>
        </w:rPr>
        <w:t>年度</w:t>
      </w:r>
      <w:r>
        <w:rPr>
          <w:rFonts w:ascii="微软雅黑" w:hAnsi="微软雅黑" w:eastAsia="微软雅黑" w:cs="微软雅黑"/>
          <w:i w:val="0"/>
          <w:caps w:val="0"/>
          <w:color w:val="333333"/>
          <w:spacing w:val="0"/>
          <w:sz w:val="39"/>
          <w:szCs w:val="39"/>
          <w:shd w:val="clear" w:fill="FFFFFF"/>
        </w:rPr>
        <w:t>报告</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今年以来，东安各庄镇政府不断加强政务公开工作，认真落实上级关于全面推进政务公开的决策部署，不断提升政务公开的质量和实效，现根据《中华人民共和国政府信息公开条例》，特向社会公布202</w:t>
      </w:r>
      <w:r>
        <w:rPr>
          <w:rFonts w:hint="eastAsia" w:ascii="宋体" w:hAnsi="宋体" w:eastAsia="宋体" w:cs="宋体"/>
          <w:i w:val="0"/>
          <w:caps w:val="0"/>
          <w:color w:val="333333"/>
          <w:spacing w:val="0"/>
          <w:sz w:val="24"/>
          <w:szCs w:val="24"/>
          <w:shd w:val="clear" w:fill="FFFFFF"/>
          <w:lang w:val="en-US" w:eastAsia="zh-CN"/>
        </w:rPr>
        <w:t>5</w:t>
      </w:r>
      <w:r>
        <w:rPr>
          <w:rFonts w:hint="eastAsia" w:ascii="宋体" w:hAnsi="宋体" w:eastAsia="宋体" w:cs="宋体"/>
          <w:i w:val="0"/>
          <w:caps w:val="0"/>
          <w:color w:val="333333"/>
          <w:spacing w:val="0"/>
          <w:sz w:val="24"/>
          <w:szCs w:val="24"/>
          <w:shd w:val="clear" w:fill="FFFFFF"/>
        </w:rPr>
        <w:t>年度本级政府信息公开工作报告，本报告由总体情况、主动公开政府信息情况、收到和处理政府信息公开申请情况、政府信息公开行政复议及行政诉讼情况、存在的主要问题及改进情况、其他需要报告的事项等六部分组成。所列数据统计期限为</w:t>
      </w:r>
      <w:r>
        <w:rPr>
          <w:rFonts w:hint="eastAsia" w:ascii="宋体" w:hAnsi="宋体" w:eastAsia="宋体" w:cs="宋体"/>
          <w:i w:val="0"/>
          <w:caps w:val="0"/>
          <w:color w:val="333333"/>
          <w:spacing w:val="0"/>
          <w:sz w:val="24"/>
          <w:szCs w:val="24"/>
          <w:shd w:val="clear" w:fill="FFFFFF"/>
          <w:lang w:eastAsia="zh-CN"/>
        </w:rPr>
        <w:t>202</w:t>
      </w:r>
      <w:r>
        <w:rPr>
          <w:rFonts w:hint="eastAsia" w:ascii="宋体" w:hAnsi="宋体" w:eastAsia="宋体" w:cs="宋体"/>
          <w:i w:val="0"/>
          <w:caps w:val="0"/>
          <w:color w:val="333333"/>
          <w:spacing w:val="0"/>
          <w:sz w:val="24"/>
          <w:szCs w:val="24"/>
          <w:shd w:val="clear" w:fill="FFFFFF"/>
          <w:lang w:val="en-US" w:eastAsia="zh-CN"/>
        </w:rPr>
        <w:t>5</w:t>
      </w:r>
      <w:r>
        <w:rPr>
          <w:rFonts w:hint="eastAsia" w:ascii="宋体" w:hAnsi="宋体" w:eastAsia="宋体" w:cs="宋体"/>
          <w:i w:val="0"/>
          <w:caps w:val="0"/>
          <w:color w:val="333333"/>
          <w:spacing w:val="0"/>
          <w:sz w:val="24"/>
          <w:szCs w:val="24"/>
          <w:shd w:val="clear" w:fill="FFFFFF"/>
        </w:rPr>
        <w:t>年1月1日至</w:t>
      </w:r>
      <w:r>
        <w:rPr>
          <w:rFonts w:hint="eastAsia" w:ascii="宋体" w:hAnsi="宋体" w:eastAsia="宋体" w:cs="宋体"/>
          <w:i w:val="0"/>
          <w:caps w:val="0"/>
          <w:color w:val="333333"/>
          <w:spacing w:val="0"/>
          <w:sz w:val="24"/>
          <w:szCs w:val="24"/>
          <w:shd w:val="clear" w:fill="FFFFFF"/>
          <w:lang w:eastAsia="zh-CN"/>
        </w:rPr>
        <w:t>2025</w:t>
      </w:r>
      <w:r>
        <w:rPr>
          <w:rFonts w:hint="eastAsia" w:ascii="宋体" w:hAnsi="宋体" w:eastAsia="宋体" w:cs="宋体"/>
          <w:i w:val="0"/>
          <w:caps w:val="0"/>
          <w:color w:val="333333"/>
          <w:spacing w:val="0"/>
          <w:sz w:val="24"/>
          <w:szCs w:val="24"/>
          <w:shd w:val="clear" w:fill="FFFFFF"/>
        </w:rPr>
        <w:t>年12月31日，如对本报告有疑问，请与东安各庄镇人民政府综合办联系（邮编：063700；电话：0315-7398818）。</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一、总体情况</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1、主动公开工作情况</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lang w:eastAsia="zh-CN"/>
        </w:rPr>
        <w:t>2025</w:t>
      </w:r>
      <w:r>
        <w:rPr>
          <w:rFonts w:hint="eastAsia" w:ascii="宋体" w:hAnsi="宋体" w:eastAsia="宋体" w:cs="宋体"/>
          <w:i w:val="0"/>
          <w:caps w:val="0"/>
          <w:color w:val="333333"/>
          <w:spacing w:val="0"/>
          <w:sz w:val="24"/>
          <w:szCs w:val="24"/>
          <w:shd w:val="clear" w:fill="FFFFFF"/>
        </w:rPr>
        <w:t>年度东安各庄镇主动公开政府信息，切实保障群众的知情权、参与权和监督权。</w:t>
      </w:r>
      <w:r>
        <w:rPr>
          <w:rFonts w:hint="eastAsia" w:ascii="宋体" w:hAnsi="宋体" w:eastAsia="宋体" w:cs="宋体"/>
          <w:i w:val="0"/>
          <w:caps w:val="0"/>
          <w:color w:val="333333"/>
          <w:spacing w:val="0"/>
          <w:sz w:val="24"/>
          <w:szCs w:val="24"/>
          <w:shd w:val="clear" w:fill="FFFFFF"/>
          <w:lang w:eastAsia="zh-CN"/>
        </w:rPr>
        <w:t>2025</w:t>
      </w:r>
      <w:r>
        <w:rPr>
          <w:rFonts w:hint="eastAsia" w:ascii="宋体" w:hAnsi="宋体" w:eastAsia="宋体" w:cs="宋体"/>
          <w:i w:val="0"/>
          <w:caps w:val="0"/>
          <w:color w:val="333333"/>
          <w:spacing w:val="0"/>
          <w:sz w:val="24"/>
          <w:szCs w:val="24"/>
          <w:shd w:val="clear" w:fill="FFFFFF"/>
        </w:rPr>
        <w:t>年我镇发布机构设置、组织分工、财政信息、政府通知、行政审批信息、行政处罚事前事后公开信息、日常工作动态等信息</w:t>
      </w:r>
      <w:r>
        <w:rPr>
          <w:rFonts w:hint="eastAsia" w:ascii="宋体" w:hAnsi="宋体" w:eastAsia="宋体" w:cs="宋体"/>
          <w:i w:val="0"/>
          <w:caps w:val="0"/>
          <w:color w:val="333333"/>
          <w:spacing w:val="0"/>
          <w:sz w:val="24"/>
          <w:szCs w:val="24"/>
          <w:shd w:val="clear" w:fill="FFFFFF"/>
          <w:lang w:val="en-US" w:eastAsia="zh-CN"/>
        </w:rPr>
        <w:t>46</w:t>
      </w:r>
      <w:r>
        <w:rPr>
          <w:rFonts w:hint="eastAsia" w:ascii="宋体" w:hAnsi="宋体" w:eastAsia="宋体" w:cs="宋体"/>
          <w:i w:val="0"/>
          <w:caps w:val="0"/>
          <w:color w:val="333333"/>
          <w:spacing w:val="0"/>
          <w:sz w:val="24"/>
          <w:szCs w:val="24"/>
          <w:shd w:val="clear" w:fill="FFFFFF"/>
        </w:rPr>
        <w:t>条，其中机构职能类信息</w:t>
      </w:r>
      <w:r>
        <w:rPr>
          <w:rFonts w:hint="eastAsia" w:ascii="宋体" w:hAnsi="宋体" w:eastAsia="宋体" w:cs="宋体"/>
          <w:i w:val="0"/>
          <w:caps w:val="0"/>
          <w:color w:val="333333"/>
          <w:spacing w:val="0"/>
          <w:sz w:val="24"/>
          <w:szCs w:val="24"/>
          <w:shd w:val="clear" w:fill="FFFFFF"/>
          <w:lang w:val="en-US" w:eastAsia="zh-CN"/>
        </w:rPr>
        <w:t>7</w:t>
      </w:r>
      <w:r>
        <w:rPr>
          <w:rFonts w:hint="eastAsia" w:ascii="宋体" w:hAnsi="宋体" w:eastAsia="宋体" w:cs="宋体"/>
          <w:i w:val="0"/>
          <w:caps w:val="0"/>
          <w:color w:val="333333"/>
          <w:spacing w:val="0"/>
          <w:sz w:val="24"/>
          <w:szCs w:val="24"/>
          <w:shd w:val="clear" w:fill="FFFFFF"/>
        </w:rPr>
        <w:t>条，日常工作动态</w:t>
      </w:r>
      <w:r>
        <w:rPr>
          <w:rFonts w:hint="eastAsia" w:ascii="宋体" w:hAnsi="宋体" w:eastAsia="宋体" w:cs="宋体"/>
          <w:i w:val="0"/>
          <w:caps w:val="0"/>
          <w:color w:val="333333"/>
          <w:spacing w:val="0"/>
          <w:sz w:val="24"/>
          <w:szCs w:val="24"/>
          <w:shd w:val="clear" w:fill="FFFFFF"/>
          <w:lang w:val="en-US" w:eastAsia="zh-CN"/>
        </w:rPr>
        <w:t>29</w:t>
      </w:r>
      <w:r>
        <w:rPr>
          <w:rFonts w:hint="eastAsia" w:ascii="宋体" w:hAnsi="宋体" w:eastAsia="宋体" w:cs="宋体"/>
          <w:i w:val="0"/>
          <w:caps w:val="0"/>
          <w:color w:val="333333"/>
          <w:spacing w:val="0"/>
          <w:sz w:val="24"/>
          <w:szCs w:val="24"/>
          <w:shd w:val="clear" w:fill="FFFFFF"/>
        </w:rPr>
        <w:t>条，其他</w:t>
      </w:r>
      <w:r>
        <w:rPr>
          <w:rFonts w:hint="eastAsia" w:ascii="宋体" w:hAnsi="宋体" w:eastAsia="宋体" w:cs="宋体"/>
          <w:i w:val="0"/>
          <w:caps w:val="0"/>
          <w:color w:val="333333"/>
          <w:spacing w:val="0"/>
          <w:sz w:val="24"/>
          <w:szCs w:val="24"/>
          <w:shd w:val="clear" w:fill="FFFFFF"/>
          <w:lang w:val="en-US" w:eastAsia="zh-CN"/>
        </w:rPr>
        <w:t>10</w:t>
      </w:r>
      <w:r>
        <w:rPr>
          <w:rFonts w:hint="eastAsia" w:ascii="宋体" w:hAnsi="宋体" w:eastAsia="宋体" w:cs="宋体"/>
          <w:i w:val="0"/>
          <w:caps w:val="0"/>
          <w:color w:val="333333"/>
          <w:spacing w:val="0"/>
          <w:sz w:val="24"/>
          <w:szCs w:val="24"/>
          <w:shd w:val="clear" w:fill="FFFFFF"/>
        </w:rPr>
        <w:t>条。</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2、依申请公开情况</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lang w:eastAsia="zh-CN"/>
        </w:rPr>
        <w:t>2025</w:t>
      </w:r>
      <w:r>
        <w:rPr>
          <w:rFonts w:hint="eastAsia" w:ascii="宋体" w:hAnsi="宋体" w:eastAsia="宋体" w:cs="宋体"/>
          <w:i w:val="0"/>
          <w:caps w:val="0"/>
          <w:color w:val="333333"/>
          <w:spacing w:val="0"/>
          <w:sz w:val="24"/>
          <w:szCs w:val="24"/>
          <w:shd w:val="clear" w:fill="FFFFFF"/>
        </w:rPr>
        <w:t>年，我镇全年无依申请办理公开事项。</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3、政府信息管理情况</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在日常工作中树牢政府信息公开红线意识和底线思维，强调政府信息公开发布审查工作的重要性，进一步规范政府信息发布工作，保证所发布的政府信息合法、准确。</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4、公开平台建设情况</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根据滦州市政务公开工作要求，我镇积极配合对公开信息事项进行更新和调整，进一步优化完善政务公开平台功能和栏目设置。</w:t>
      </w:r>
      <w:r>
        <w:rPr>
          <w:rFonts w:hint="eastAsia" w:ascii="宋体" w:hAnsi="宋体" w:eastAsia="宋体" w:cs="宋体"/>
          <w:i w:val="0"/>
          <w:caps w:val="0"/>
          <w:color w:val="333333"/>
          <w:spacing w:val="0"/>
          <w:sz w:val="24"/>
          <w:szCs w:val="24"/>
          <w:shd w:val="clear" w:fill="FFFFFF"/>
          <w:lang w:eastAsia="zh-CN"/>
        </w:rPr>
        <w:t>2025</w:t>
      </w:r>
      <w:r>
        <w:rPr>
          <w:rFonts w:hint="eastAsia" w:ascii="宋体" w:hAnsi="宋体" w:eastAsia="宋体" w:cs="宋体"/>
          <w:i w:val="0"/>
          <w:caps w:val="0"/>
          <w:color w:val="333333"/>
          <w:spacing w:val="0"/>
          <w:sz w:val="24"/>
          <w:szCs w:val="24"/>
          <w:shd w:val="clear" w:fill="FFFFFF"/>
        </w:rPr>
        <w:t>年根据滦州市关于政务公开工作的要求，积极主动、按时按量完成信息公开目录调整工作。</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5、监督保障工作情况</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一是加强组织领导。</w:t>
      </w:r>
      <w:r>
        <w:rPr>
          <w:rFonts w:hint="eastAsia" w:ascii="宋体" w:hAnsi="宋体" w:eastAsia="宋体" w:cs="宋体"/>
          <w:i w:val="0"/>
          <w:caps w:val="0"/>
          <w:color w:val="333333"/>
          <w:spacing w:val="0"/>
          <w:sz w:val="24"/>
          <w:szCs w:val="24"/>
          <w:shd w:val="clear" w:fill="FFFFFF"/>
        </w:rPr>
        <w:t>根据人员变动情况，及时调整充实镇政务公开和政府信息公开领导小组，同时把政府信息公开工作纳入重要议事日程，使政府信息公开工作与日常工作融为一体，确保政务公开落实。</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二是加强制度建设。</w:t>
      </w:r>
      <w:r>
        <w:rPr>
          <w:rFonts w:hint="eastAsia" w:ascii="宋体" w:hAnsi="宋体" w:eastAsia="宋体" w:cs="宋体"/>
          <w:i w:val="0"/>
          <w:caps w:val="0"/>
          <w:color w:val="333333"/>
          <w:spacing w:val="0"/>
          <w:sz w:val="24"/>
          <w:szCs w:val="24"/>
          <w:shd w:val="clear" w:fill="FFFFFF"/>
        </w:rPr>
        <w:t>我镇认真贯彻落实滦州市关于做好政府信息公开工作的有关文件精神，完善相关配套规章制度、信息公开保密审查制度等不断加强制度建设，进一步完善镇政府信息公开制度体系。</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三是深化公开内容。</w:t>
      </w:r>
      <w:r>
        <w:rPr>
          <w:rFonts w:hint="eastAsia" w:ascii="宋体" w:hAnsi="宋体" w:eastAsia="宋体" w:cs="宋体"/>
          <w:i w:val="0"/>
          <w:caps w:val="0"/>
          <w:color w:val="333333"/>
          <w:spacing w:val="0"/>
          <w:sz w:val="24"/>
          <w:szCs w:val="24"/>
          <w:shd w:val="clear" w:fill="FFFFFF"/>
        </w:rPr>
        <w:t>按照</w:t>
      </w:r>
      <w:r>
        <w:rPr>
          <w:rFonts w:hint="eastAsia" w:ascii="宋体" w:hAnsi="宋体" w:eastAsia="宋体" w:cs="宋体"/>
          <w:i w:val="0"/>
          <w:caps w:val="0"/>
          <w:color w:val="333333"/>
          <w:spacing w:val="0"/>
          <w:sz w:val="24"/>
          <w:szCs w:val="24"/>
          <w:shd w:val="clear" w:fill="FFFFFF"/>
          <w:lang w:eastAsia="zh-CN"/>
        </w:rPr>
        <w:t>市</w:t>
      </w:r>
      <w:r>
        <w:rPr>
          <w:rFonts w:hint="eastAsia" w:ascii="宋体" w:hAnsi="宋体" w:eastAsia="宋体" w:cs="宋体"/>
          <w:i w:val="0"/>
          <w:caps w:val="0"/>
          <w:color w:val="333333"/>
          <w:spacing w:val="0"/>
          <w:sz w:val="24"/>
          <w:szCs w:val="24"/>
          <w:shd w:val="clear" w:fill="FFFFFF"/>
        </w:rPr>
        <w:t>委、</w:t>
      </w:r>
      <w:r>
        <w:rPr>
          <w:rFonts w:hint="eastAsia" w:ascii="宋体" w:hAnsi="宋体" w:eastAsia="宋体" w:cs="宋体"/>
          <w:i w:val="0"/>
          <w:caps w:val="0"/>
          <w:color w:val="333333"/>
          <w:spacing w:val="0"/>
          <w:sz w:val="24"/>
          <w:szCs w:val="24"/>
          <w:shd w:val="clear" w:fill="FFFFFF"/>
          <w:lang w:eastAsia="zh-CN"/>
        </w:rPr>
        <w:t>市</w:t>
      </w:r>
      <w:r>
        <w:rPr>
          <w:rFonts w:hint="eastAsia" w:ascii="宋体" w:hAnsi="宋体" w:eastAsia="宋体" w:cs="宋体"/>
          <w:i w:val="0"/>
          <w:caps w:val="0"/>
          <w:color w:val="333333"/>
          <w:spacing w:val="0"/>
          <w:sz w:val="24"/>
          <w:szCs w:val="24"/>
          <w:shd w:val="clear" w:fill="FFFFFF"/>
        </w:rPr>
        <w:t>政府的要求，结合我镇实际工作情况，重点公开了以下3方面内容：一是各职能部门的主要工作职责、办事程序、服务承诺的情况。二是年度工作计划、政府工作报告。三是群众关心的其他重要政务活动情况。</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rPr>
        <w:t>二、主动公开政府信息情况</w:t>
      </w:r>
    </w:p>
    <w:tbl>
      <w:tblPr>
        <w:tblStyle w:val="3"/>
        <w:tblW w:w="97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33"/>
        <w:gridCol w:w="2434"/>
        <w:gridCol w:w="2434"/>
        <w:gridCol w:w="2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0" w:hRule="atLeast"/>
          <w:jc w:val="center"/>
        </w:trPr>
        <w:tc>
          <w:tcPr>
            <w:tcW w:w="9732"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信息内容</w:t>
            </w:r>
          </w:p>
        </w:tc>
        <w:tc>
          <w:tcPr>
            <w:tcW w:w="2433"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本年</w:t>
            </w:r>
            <w:r>
              <w:rPr>
                <w:rFonts w:hint="eastAsia" w:ascii="宋体" w:hAnsi="宋体" w:eastAsia="宋体" w:cs="宋体"/>
                <w:b w:val="0"/>
                <w:color w:val="333333"/>
                <w:kern w:val="0"/>
                <w:sz w:val="20"/>
                <w:szCs w:val="20"/>
                <w:lang w:val="en-US" w:eastAsia="zh-CN" w:bidi="ar"/>
              </w:rPr>
              <w:t>制发件数</w:t>
            </w:r>
          </w:p>
        </w:tc>
        <w:tc>
          <w:tcPr>
            <w:tcW w:w="2433"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本年废止件数</w:t>
            </w:r>
          </w:p>
        </w:tc>
        <w:tc>
          <w:tcPr>
            <w:tcW w:w="2433"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现行有效件</w:t>
            </w:r>
            <w:r>
              <w:rPr>
                <w:rFonts w:hint="eastAsia" w:ascii="宋体" w:hAnsi="宋体" w:eastAsia="宋体" w:cs="宋体"/>
                <w:b w:val="0"/>
                <w:color w:val="333333"/>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规章</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0</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0</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ascii="Calibri" w:hAnsi="Calibri" w:cs="Calibri" w:eastAsiaTheme="minorEastAsia"/>
                <w:b w:val="0"/>
                <w:color w:val="333333"/>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行政规范性文件</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0</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0</w:t>
            </w:r>
          </w:p>
        </w:tc>
        <w:tc>
          <w:tcPr>
            <w:tcW w:w="2433"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color w:val="333333"/>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3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信息内容</w:t>
            </w:r>
          </w:p>
        </w:tc>
        <w:tc>
          <w:tcPr>
            <w:tcW w:w="7299"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行政许可</w:t>
            </w:r>
          </w:p>
        </w:tc>
        <w:tc>
          <w:tcPr>
            <w:tcW w:w="7299"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eastAsia" w:ascii="Calibri" w:hAnsi="Calibri" w:cs="Calibri"/>
                <w:b w:val="0"/>
                <w:kern w:val="0"/>
                <w:sz w:val="21"/>
                <w:szCs w:val="21"/>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3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信息内容</w:t>
            </w:r>
          </w:p>
        </w:tc>
        <w:tc>
          <w:tcPr>
            <w:tcW w:w="7299"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行政处罚</w:t>
            </w:r>
          </w:p>
        </w:tc>
        <w:tc>
          <w:tcPr>
            <w:tcW w:w="7299"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eastAsia" w:ascii="宋体" w:hAnsi="宋体" w:eastAsia="宋体" w:cs="宋体"/>
                <w:b w:val="0"/>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行政强制</w:t>
            </w:r>
          </w:p>
        </w:tc>
        <w:tc>
          <w:tcPr>
            <w:tcW w:w="7299"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3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信息内容</w:t>
            </w:r>
          </w:p>
        </w:tc>
        <w:tc>
          <w:tcPr>
            <w:tcW w:w="7299"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3"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color w:val="000000"/>
                <w:kern w:val="0"/>
                <w:sz w:val="20"/>
                <w:szCs w:val="20"/>
                <w:lang w:val="en-US" w:eastAsia="zh-CN" w:bidi="ar"/>
              </w:rPr>
              <w:t>行政事业性收费</w:t>
            </w:r>
          </w:p>
        </w:tc>
        <w:tc>
          <w:tcPr>
            <w:tcW w:w="7299"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b w:val="0"/>
                <w:sz w:val="24"/>
                <w:szCs w:val="24"/>
              </w:rPr>
            </w:pPr>
            <w:r>
              <w:rPr>
                <w:rFonts w:hint="eastAsia" w:ascii="宋体" w:hAnsi="宋体" w:eastAsia="宋体" w:cs="宋体"/>
                <w:b w:val="0"/>
                <w:color w:val="333333"/>
                <w:kern w:val="0"/>
                <w:sz w:val="21"/>
                <w:szCs w:val="21"/>
                <w:lang w:val="en-US" w:eastAsia="zh-CN" w:bidi="ar"/>
              </w:rPr>
              <w:t>0</w:t>
            </w:r>
          </w:p>
        </w:tc>
      </w:tr>
    </w:tbl>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rPr>
      </w:pPr>
      <w:r>
        <w:rPr>
          <w:rFonts w:hint="eastAsia" w:ascii="宋体" w:hAnsi="宋体" w:eastAsia="宋体" w:cs="宋体"/>
          <w:b/>
          <w:bCs/>
          <w:i w:val="0"/>
          <w:caps w:val="0"/>
          <w:color w:val="333333"/>
          <w:spacing w:val="0"/>
          <w:sz w:val="24"/>
          <w:szCs w:val="24"/>
          <w:shd w:val="clear" w:fill="FFFFFF"/>
          <w:lang w:val="en-US" w:eastAsia="zh-CN"/>
        </w:rPr>
        <w:t> 三、收到和处理政府信息公开申请情况</w:t>
      </w:r>
    </w:p>
    <w:tbl>
      <w:tblPr>
        <w:tblStyle w:val="3"/>
        <w:tblW w:w="97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53"/>
        <w:gridCol w:w="920"/>
        <w:gridCol w:w="3271"/>
        <w:gridCol w:w="684"/>
        <w:gridCol w:w="684"/>
        <w:gridCol w:w="684"/>
        <w:gridCol w:w="684"/>
        <w:gridCol w:w="742"/>
        <w:gridCol w:w="628"/>
        <w:gridCol w:w="6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943" w:type="dxa"/>
            <w:gridSpan w:val="3"/>
            <w:vMerge w:val="restart"/>
            <w:tcBorders>
              <w:top w:val="single" w:color="auto" w:sz="8" w:space="0"/>
              <w:left w:val="single" w:color="auto" w:sz="8" w:space="0"/>
              <w:bottom w:val="inset"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ascii="楷体" w:hAnsi="楷体" w:eastAsia="楷体" w:cs="楷体"/>
                <w:b w:val="0"/>
                <w:i w:val="0"/>
                <w:caps w:val="0"/>
                <w:color w:val="333333"/>
                <w:spacing w:val="0"/>
                <w:kern w:val="0"/>
                <w:sz w:val="20"/>
                <w:szCs w:val="20"/>
                <w:shd w:val="clear" w:fill="FFFFFF"/>
                <w:lang w:val="en-US" w:eastAsia="zh-CN" w:bidi="ar"/>
              </w:rPr>
              <w:t>（本列数据的勾稽关系为：第一项加第二项之和，等于第三项加第四项之和）</w:t>
            </w:r>
          </w:p>
        </w:tc>
        <w:tc>
          <w:tcPr>
            <w:tcW w:w="4788"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943" w:type="dxa"/>
            <w:gridSpan w:val="3"/>
            <w:vMerge w:val="continue"/>
            <w:tcBorders>
              <w:top w:val="single" w:color="auto" w:sz="8" w:space="0"/>
              <w:left w:val="single" w:color="auto" w:sz="8" w:space="0"/>
              <w:bottom w:val="inset"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84"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自然人</w:t>
            </w:r>
          </w:p>
        </w:tc>
        <w:tc>
          <w:tcPr>
            <w:tcW w:w="342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法人或其他组织</w:t>
            </w:r>
          </w:p>
        </w:tc>
        <w:tc>
          <w:tcPr>
            <w:tcW w:w="684" w:type="dxa"/>
            <w:vMerge w:val="restart"/>
            <w:tcBorders>
              <w:top w:val="single" w:color="auto" w:sz="8" w:space="0"/>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943" w:type="dxa"/>
            <w:gridSpan w:val="3"/>
            <w:vMerge w:val="continue"/>
            <w:tcBorders>
              <w:top w:val="single" w:color="auto" w:sz="8" w:space="0"/>
              <w:left w:val="single" w:color="auto" w:sz="8" w:space="0"/>
              <w:bottom w:val="inset"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84"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企业</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机构</w:t>
            </w:r>
          </w:p>
        </w:tc>
        <w:tc>
          <w:tcPr>
            <w:tcW w:w="68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社会公益组织</w:t>
            </w:r>
          </w:p>
        </w:tc>
        <w:tc>
          <w:tcPr>
            <w:tcW w:w="741"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法律服务机构</w:t>
            </w:r>
          </w:p>
        </w:tc>
        <w:tc>
          <w:tcPr>
            <w:tcW w:w="62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其他</w:t>
            </w:r>
          </w:p>
        </w:tc>
        <w:tc>
          <w:tcPr>
            <w:tcW w:w="684" w:type="dxa"/>
            <w:vMerge w:val="continue"/>
            <w:tcBorders>
              <w:top w:val="single" w:color="auto" w:sz="8" w:space="0"/>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943"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一、本年新收政府信息公开申请数量</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943"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二、上年结转政府信息公开申请数量</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restart"/>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三、本年度办理结果</w:t>
            </w:r>
          </w:p>
        </w:tc>
        <w:tc>
          <w:tcPr>
            <w:tcW w:w="419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（一）予以公开</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default" w:ascii="Calibri" w:hAnsi="Calibri" w:cs="Calibri" w:eastAsiaTheme="minorEastAsia"/>
                <w:b w:val="0"/>
                <w:i w:val="0"/>
                <w:caps w:val="0"/>
                <w:color w:val="000000"/>
                <w:spacing w:val="0"/>
                <w:kern w:val="0"/>
                <w:sz w:val="21"/>
                <w:szCs w:val="21"/>
                <w:shd w:val="clear" w:fill="FFFFFF"/>
                <w:lang w:val="en-US" w:eastAsia="zh-CN" w:bidi="ar"/>
              </w:rPr>
              <w:t> </w:t>
            </w:r>
            <w:r>
              <w:rPr>
                <w:rFonts w:hint="eastAsia" w:ascii="Calibri" w:hAnsi="Calibri" w:cs="Calibri"/>
                <w:b w:val="0"/>
                <w:i w:val="0"/>
                <w:caps w:val="0"/>
                <w:color w:val="000000"/>
                <w:spacing w:val="0"/>
                <w:kern w:val="0"/>
                <w:sz w:val="21"/>
                <w:szCs w:val="21"/>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default" w:ascii="Calibri" w:hAnsi="Calibri" w:cs="Calibri" w:eastAsiaTheme="minorEastAsia"/>
                <w:b w:val="0"/>
                <w:i w:val="0"/>
                <w:caps w:val="0"/>
                <w:color w:val="000000"/>
                <w:spacing w:val="0"/>
                <w:kern w:val="0"/>
                <w:sz w:val="21"/>
                <w:szCs w:val="21"/>
                <w:shd w:val="clear" w:fill="FFFFFF"/>
                <w:lang w:val="en-US" w:eastAsia="zh-CN" w:bidi="ar"/>
              </w:rPr>
              <w:t> </w:t>
            </w:r>
            <w:r>
              <w:rPr>
                <w:rFonts w:hint="eastAsia" w:ascii="Calibri" w:hAnsi="Calibri" w:cs="Calibri"/>
                <w:b w:val="0"/>
                <w:i w:val="0"/>
                <w:caps w:val="0"/>
                <w:color w:val="000000"/>
                <w:spacing w:val="0"/>
                <w:kern w:val="0"/>
                <w:sz w:val="21"/>
                <w:szCs w:val="21"/>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default" w:ascii="Calibri" w:hAnsi="Calibri" w:cs="Calibri" w:eastAsiaTheme="minorEastAsia"/>
                <w:b w:val="0"/>
                <w:i w:val="0"/>
                <w:caps w:val="0"/>
                <w:color w:val="000000"/>
                <w:spacing w:val="0"/>
                <w:kern w:val="0"/>
                <w:sz w:val="21"/>
                <w:szCs w:val="21"/>
                <w:shd w:val="clear" w:fill="FFFFFF"/>
                <w:lang w:val="en-US" w:eastAsia="zh-CN" w:bidi="ar"/>
              </w:rPr>
              <w:t> </w:t>
            </w:r>
            <w:r>
              <w:rPr>
                <w:rFonts w:hint="eastAsia" w:ascii="Calibri" w:hAnsi="Calibri" w:cs="Calibri"/>
                <w:b w:val="0"/>
                <w:i w:val="0"/>
                <w:caps w:val="0"/>
                <w:color w:val="000000"/>
                <w:spacing w:val="0"/>
                <w:kern w:val="0"/>
                <w:sz w:val="21"/>
                <w:szCs w:val="21"/>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rFonts w:hint="default"/>
                <w:b w:val="0"/>
                <w:sz w:val="24"/>
                <w:szCs w:val="24"/>
                <w:lang w:val="en-US"/>
              </w:rPr>
            </w:pPr>
            <w:r>
              <w:rPr>
                <w:rFonts w:hint="default" w:ascii="Calibri" w:hAnsi="Calibri" w:cs="Calibri" w:eastAsiaTheme="minorEastAsia"/>
                <w:b w:val="0"/>
                <w:i w:val="0"/>
                <w:caps w:val="0"/>
                <w:color w:val="000000"/>
                <w:spacing w:val="0"/>
                <w:kern w:val="0"/>
                <w:sz w:val="21"/>
                <w:szCs w:val="21"/>
                <w:shd w:val="clear" w:fill="FFFFFF"/>
                <w:lang w:val="en-US" w:eastAsia="zh-CN" w:bidi="ar"/>
              </w:rPr>
              <w:t> </w:t>
            </w:r>
            <w:r>
              <w:rPr>
                <w:rFonts w:hint="eastAsia" w:ascii="Calibri" w:hAnsi="Calibri" w:cs="Calibri"/>
                <w:b w:val="0"/>
                <w:i w:val="0"/>
                <w:caps w:val="0"/>
                <w:color w:val="000000"/>
                <w:spacing w:val="0"/>
                <w:kern w:val="0"/>
                <w:sz w:val="21"/>
                <w:szCs w:val="21"/>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Calibri" w:hAnsi="Calibri" w:cs="Calibri"/>
                <w:b w:val="0"/>
                <w:i w:val="0"/>
                <w:caps w:val="0"/>
                <w:color w:val="000000"/>
                <w:spacing w:val="0"/>
                <w:kern w:val="0"/>
                <w:sz w:val="21"/>
                <w:szCs w:val="21"/>
                <w:shd w:val="clear" w:fill="FFFFFF"/>
                <w:lang w:val="en-US" w:eastAsia="zh-CN" w:bidi="ar"/>
              </w:rPr>
              <w:t>0</w:t>
            </w:r>
            <w:r>
              <w:rPr>
                <w:rFonts w:hint="default" w:ascii="Calibri" w:hAnsi="Calibri" w:cs="Calibri" w:eastAsiaTheme="minorEastAsia"/>
                <w:b w:val="0"/>
                <w:i w:val="0"/>
                <w:caps w:val="0"/>
                <w:color w:val="000000"/>
                <w:spacing w:val="0"/>
                <w:kern w:val="0"/>
                <w:sz w:val="21"/>
                <w:szCs w:val="21"/>
                <w:shd w:val="clear" w:fill="FFFFFF"/>
                <w:lang w:val="en-US" w:eastAsia="zh-CN" w:bidi="ar"/>
              </w:rPr>
              <w:t> </w:t>
            </w:r>
          </w:p>
        </w:tc>
        <w:tc>
          <w:tcPr>
            <w:tcW w:w="68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419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（二）部分公开</w:t>
            </w:r>
            <w:r>
              <w:rPr>
                <w:rFonts w:hint="eastAsia" w:ascii="楷体" w:hAnsi="楷体" w:eastAsia="楷体" w:cs="楷体"/>
                <w:b w:val="0"/>
                <w:i w:val="0"/>
                <w:caps w:val="0"/>
                <w:color w:val="333333"/>
                <w:spacing w:val="0"/>
                <w:kern w:val="0"/>
                <w:sz w:val="20"/>
                <w:szCs w:val="20"/>
                <w:shd w:val="clear" w:fill="FFFFFF"/>
                <w:lang w:val="en-US" w:eastAsia="zh-CN" w:bidi="ar"/>
              </w:rPr>
              <w:t>（区分处理的，只计这一情形，不计其他情形）</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restart"/>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（三）不予公开</w:t>
            </w: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1.属于国家秘密</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2.其他法律行政法规禁止公开</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3.危及“三安全一稳定”</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4.保护第三方合法权益</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5.属于三类内部事务信息</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000000"/>
                <w:spacing w:val="0"/>
                <w:kern w:val="0"/>
                <w:sz w:val="21"/>
                <w:szCs w:val="21"/>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6.属于四类过程性信息</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7.属于行政执法案卷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8.属于行政查询事项</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restart"/>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（四）无法提供</w:t>
            </w: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1.本机关不掌握相关政府信息</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2.没有现成信息需要另行制作</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3.补正后申请内容仍不明确</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restart"/>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（五）不予处理</w:t>
            </w: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1.信访举报投诉类申请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2.重复申请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3.要求提供公开出版物</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4.无正当理由大量反复申请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9" w:hRule="atLeast"/>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5.要求行政机关确认或重新出具已获取信息</w:t>
            </w:r>
          </w:p>
        </w:tc>
        <w:tc>
          <w:tcPr>
            <w:tcW w:w="684"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restart"/>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（六）其他处理</w:t>
            </w: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1.申请人无正当理由逾期不补正、行政机关不再处理其政府信息公开申请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54" w:hRule="atLeast"/>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both"/>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2.申请人逾期未按收费通知要求缴纳费用、行政机关不再处理其政府信息公开申请</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920" w:type="dxa"/>
            <w:vMerge w:val="continue"/>
            <w:tcBorders>
              <w:top w:val="nil"/>
              <w:left w:val="nil"/>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32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3.其他</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53" w:type="dxa"/>
            <w:vMerge w:val="continue"/>
            <w:tcBorders>
              <w:top w:val="nil"/>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pPr>
              <w:jc w:val="left"/>
              <w:rPr>
                <w:rFonts w:hint="eastAsia" w:ascii="宋体"/>
                <w:sz w:val="24"/>
                <w:szCs w:val="24"/>
              </w:rPr>
            </w:pPr>
          </w:p>
        </w:tc>
        <w:tc>
          <w:tcPr>
            <w:tcW w:w="419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（七）总计</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943"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left"/>
              <w:rPr>
                <w:b w:val="0"/>
                <w:sz w:val="24"/>
                <w:szCs w:val="24"/>
              </w:rPr>
            </w:pPr>
            <w:r>
              <w:rPr>
                <w:rFonts w:hint="eastAsia" w:ascii="宋体" w:hAnsi="宋体" w:eastAsia="宋体" w:cs="宋体"/>
                <w:b w:val="0"/>
                <w:i w:val="0"/>
                <w:caps w:val="0"/>
                <w:color w:val="333333"/>
                <w:spacing w:val="0"/>
                <w:kern w:val="0"/>
                <w:sz w:val="20"/>
                <w:szCs w:val="20"/>
                <w:shd w:val="clear" w:fill="FFFFFF"/>
                <w:lang w:val="en-US" w:eastAsia="zh-CN" w:bidi="ar"/>
              </w:rPr>
              <w:t>四、结转下年度继续办理</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741"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2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default" w:ascii="Calibri" w:hAnsi="Calibri" w:cs="Calibri" w:eastAsiaTheme="minorEastAsia"/>
                <w:b w:val="0"/>
                <w:i w:val="0"/>
                <w:caps w:val="0"/>
                <w:color w:val="333333"/>
                <w:spacing w:val="0"/>
                <w:kern w:val="0"/>
                <w:sz w:val="20"/>
                <w:szCs w:val="20"/>
                <w:shd w:val="clear" w:fill="FFFFFF"/>
                <w:lang w:val="en-US" w:eastAsia="zh-CN" w:bidi="ar"/>
              </w:rPr>
              <w:t>0</w:t>
            </w:r>
          </w:p>
        </w:tc>
        <w:tc>
          <w:tcPr>
            <w:tcW w:w="68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b w:val="0"/>
                <w:sz w:val="24"/>
                <w:szCs w:val="24"/>
              </w:rPr>
            </w:pPr>
            <w:r>
              <w:rPr>
                <w:rFonts w:hint="eastAsia" w:ascii="宋体" w:hAnsi="宋体" w:eastAsia="宋体" w:cs="宋体"/>
                <w:b w:val="0"/>
                <w:i w:val="0"/>
                <w:caps w:val="0"/>
                <w:color w:val="333333"/>
                <w:spacing w:val="0"/>
                <w:kern w:val="0"/>
                <w:sz w:val="21"/>
                <w:szCs w:val="21"/>
                <w:shd w:val="clear" w:fill="FFFFFF"/>
                <w:lang w:val="en-US" w:eastAsia="zh-CN" w:bidi="ar"/>
              </w:rPr>
              <w:t>0</w:t>
            </w:r>
          </w:p>
        </w:tc>
      </w:tr>
    </w:tbl>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 xml:space="preserve"> 四、政府信息公开行政复议、行政诉讼情况 </w:t>
      </w:r>
    </w:p>
    <w:tbl>
      <w:tblPr>
        <w:tblStyle w:val="3"/>
        <w:tblW w:w="975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1"/>
        <w:gridCol w:w="651"/>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行政复议</w:t>
            </w:r>
          </w:p>
        </w:tc>
        <w:tc>
          <w:tcPr>
            <w:tcW w:w="6498"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其他</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尚未</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未经复议直接起诉</w:t>
            </w:r>
          </w:p>
        </w:tc>
        <w:tc>
          <w:tcPr>
            <w:tcW w:w="3250"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jc w:val="left"/>
              <w:rPr>
                <w:rFonts w:hint="eastAsia" w:ascii="宋体"/>
                <w:sz w:val="24"/>
                <w:szCs w:val="24"/>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其他</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尚未</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总计</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维持</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结果</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其他</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000000"/>
                <w:kern w:val="0"/>
                <w:sz w:val="20"/>
                <w:szCs w:val="20"/>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333333"/>
                <w:kern w:val="0"/>
                <w:sz w:val="20"/>
                <w:szCs w:val="20"/>
                <w:lang w:val="en-US" w:eastAsia="zh-CN" w:bidi="ar"/>
              </w:rPr>
              <w:t>尚未</w:t>
            </w:r>
            <w:r>
              <w:rPr>
                <w:rFonts w:asciiTheme="minorHAnsi" w:hAnsiTheme="minorHAnsi" w:eastAsiaTheme="minorEastAsia" w:cstheme="minorBidi"/>
                <w:b w:val="0"/>
                <w:kern w:val="0"/>
                <w:sz w:val="24"/>
                <w:szCs w:val="24"/>
                <w:lang w:val="en-US" w:eastAsia="zh-CN" w:bidi="ar"/>
              </w:rPr>
              <w:br w:type="textWrapping"/>
            </w:r>
            <w:r>
              <w:rPr>
                <w:rFonts w:hint="eastAsia" w:ascii="宋体" w:hAnsi="宋体" w:eastAsia="宋体" w:cs="宋体"/>
                <w:b w:val="0"/>
                <w:color w:val="333333"/>
                <w:kern w:val="0"/>
                <w:sz w:val="20"/>
                <w:szCs w:val="20"/>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宋体" w:hAnsi="宋体" w:eastAsia="宋体" w:cs="宋体"/>
                <w:b w:val="0"/>
                <w:color w:val="000000"/>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0"/>
              <w:jc w:val="center"/>
              <w:rPr>
                <w:b w:val="0"/>
                <w:sz w:val="24"/>
                <w:szCs w:val="24"/>
              </w:rPr>
            </w:pPr>
            <w:r>
              <w:rPr>
                <w:rFonts w:hint="eastAsia" w:ascii="黑体" w:hAnsi="宋体" w:eastAsia="黑体" w:cs="黑体"/>
                <w:b w:val="0"/>
                <w:color w:val="333333"/>
                <w:kern w:val="0"/>
                <w:sz w:val="20"/>
                <w:szCs w:val="20"/>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rPr>
                <w:b w:val="0"/>
                <w:sz w:val="24"/>
                <w:szCs w:val="24"/>
              </w:rPr>
            </w:pPr>
            <w:r>
              <w:rPr>
                <w:rFonts w:hint="eastAsia" w:ascii="宋体" w:hAnsi="宋体" w:eastAsia="宋体" w:cs="宋体"/>
                <w:b w:val="0"/>
                <w:color w:val="333333"/>
                <w:kern w:val="0"/>
                <w:sz w:val="21"/>
                <w:szCs w:val="21"/>
                <w:lang w:val="en-US" w:eastAsia="zh-CN" w:bidi="ar"/>
              </w:rPr>
              <w:t>0</w:t>
            </w:r>
          </w:p>
        </w:tc>
      </w:tr>
    </w:tbl>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kern w:val="0"/>
          <w:sz w:val="24"/>
          <w:szCs w:val="24"/>
          <w:shd w:val="clear" w:fill="FFFFFF"/>
          <w:lang w:val="en-US" w:eastAsia="zh-CN" w:bidi="ar"/>
        </w:rPr>
        <w:t> </w:t>
      </w:r>
      <w:r>
        <w:rPr>
          <w:rFonts w:hint="eastAsia" w:ascii="宋体" w:hAnsi="宋体" w:eastAsia="宋体" w:cs="宋体"/>
          <w:b/>
          <w:bCs/>
          <w:i w:val="0"/>
          <w:caps w:val="0"/>
          <w:color w:val="333333"/>
          <w:spacing w:val="0"/>
          <w:sz w:val="24"/>
          <w:szCs w:val="24"/>
          <w:shd w:val="clear" w:fill="FFFFFF"/>
          <w:lang w:val="en-US" w:eastAsia="zh-CN"/>
        </w:rPr>
        <w:t> </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五、存在的主要问题及改进情况 </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b w:val="0"/>
          <w:bCs w:val="0"/>
          <w:i w:val="0"/>
          <w:caps w:val="0"/>
          <w:color w:val="333333"/>
          <w:spacing w:val="0"/>
          <w:sz w:val="24"/>
          <w:szCs w:val="24"/>
          <w:shd w:val="clear" w:fill="FFFFFF"/>
          <w:lang w:val="en-US" w:eastAsia="zh-CN"/>
        </w:rPr>
      </w:pPr>
      <w:r>
        <w:rPr>
          <w:rFonts w:hint="eastAsia" w:ascii="宋体" w:hAnsi="宋体" w:eastAsia="宋体" w:cs="宋体"/>
          <w:b w:val="0"/>
          <w:bCs w:val="0"/>
          <w:i w:val="0"/>
          <w:caps w:val="0"/>
          <w:color w:val="333333"/>
          <w:spacing w:val="0"/>
          <w:sz w:val="24"/>
          <w:szCs w:val="24"/>
          <w:shd w:val="clear" w:fill="FFFFFF"/>
          <w:lang w:val="en-US" w:eastAsia="zh-CN"/>
        </w:rPr>
        <w:t>政府信息公开工作取得了一定进展和成效，但与上级全面深化政务公开的部署要求相比，还有很大的上升空间；与人民群众的期盼期待相比，还有一定差距。主要表现在：公开队伍整体的专业化、理论化水平不高，对政策的把握能力不强，一定程度上制约了政府信息公开工作的深入推进；公开内容较为单一，及时准确回应群众关注度高、反映强烈信息的能力有待进一步提升。</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b w:val="0"/>
          <w:bCs w:val="0"/>
          <w:i w:val="0"/>
          <w:caps w:val="0"/>
          <w:color w:val="333333"/>
          <w:spacing w:val="0"/>
          <w:sz w:val="24"/>
          <w:szCs w:val="24"/>
          <w:shd w:val="clear" w:fill="FFFFFF"/>
          <w:lang w:val="en-US" w:eastAsia="zh-CN"/>
        </w:rPr>
      </w:pPr>
      <w:r>
        <w:rPr>
          <w:rFonts w:hint="eastAsia" w:ascii="宋体" w:hAnsi="宋体" w:eastAsia="宋体" w:cs="宋体"/>
          <w:b w:val="0"/>
          <w:bCs w:val="0"/>
          <w:i w:val="0"/>
          <w:caps w:val="0"/>
          <w:color w:val="333333"/>
          <w:spacing w:val="0"/>
          <w:sz w:val="24"/>
          <w:szCs w:val="24"/>
          <w:shd w:val="clear" w:fill="FFFFFF"/>
          <w:lang w:val="en-US" w:eastAsia="zh-CN"/>
        </w:rPr>
        <w:t>2025年，我们将针对工作中存在的问题，做好以下整改工作：一方面注重队伍建设。不断强化对工作人员的理论培训和业务培训，提高政务公开队伍整体的专业化、理论化水平，推动公开信息提质提效。另一方面注重内容提升。不断拓展和丰富政府信息公开内容，及时有效地收集信息，充实信息来源，丰富信息内容，确保政务公开的权威性、准确性、及时性和全面性，通过政府信息公开搭建公众参与桥梁，畅通问政于民、问需于民、问计于民渠道。</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lang w:eastAsia="zh-CN"/>
        </w:rPr>
        <w:t>202</w:t>
      </w:r>
      <w:r>
        <w:rPr>
          <w:rFonts w:hint="eastAsia" w:ascii="宋体" w:hAnsi="宋体" w:eastAsia="宋体" w:cs="宋体"/>
          <w:i w:val="0"/>
          <w:caps w:val="0"/>
          <w:color w:val="333333"/>
          <w:spacing w:val="0"/>
          <w:sz w:val="24"/>
          <w:szCs w:val="24"/>
          <w:shd w:val="clear" w:fill="FFFFFF"/>
          <w:lang w:val="en-US" w:eastAsia="zh-CN"/>
        </w:rPr>
        <w:t>5</w:t>
      </w:r>
      <w:r>
        <w:rPr>
          <w:rFonts w:hint="eastAsia" w:ascii="宋体" w:hAnsi="宋体" w:eastAsia="宋体" w:cs="宋体"/>
          <w:i w:val="0"/>
          <w:caps w:val="0"/>
          <w:color w:val="333333"/>
          <w:spacing w:val="0"/>
          <w:sz w:val="24"/>
          <w:szCs w:val="24"/>
          <w:shd w:val="clear" w:fill="FFFFFF"/>
        </w:rPr>
        <w:t>年度东安各庄镇无其他需要报告的事项</w:t>
      </w:r>
      <w:bookmarkStart w:id="0" w:name="_GoBack"/>
      <w:bookmarkEnd w:id="0"/>
      <w:r>
        <w:rPr>
          <w:rFonts w:hint="eastAsia" w:ascii="宋体" w:hAnsi="宋体" w:eastAsia="宋体" w:cs="宋体"/>
          <w:i w:val="0"/>
          <w:caps w:val="0"/>
          <w:color w:val="333333"/>
          <w:spacing w:val="0"/>
          <w:sz w:val="24"/>
          <w:szCs w:val="24"/>
          <w:shd w:val="clear" w:fill="FFFFFF"/>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B1D58"/>
    <w:rsid w:val="029330F3"/>
    <w:rsid w:val="38D904D9"/>
    <w:rsid w:val="39C05557"/>
    <w:rsid w:val="471E3AAA"/>
    <w:rsid w:val="546419D0"/>
    <w:rsid w:val="597B1D58"/>
    <w:rsid w:val="670264AA"/>
    <w:rsid w:val="704317A1"/>
    <w:rsid w:val="76411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2213</Words>
  <Characters>2288</Characters>
  <Lines>0</Lines>
  <Paragraphs>0</Paragraphs>
  <TotalTime>194</TotalTime>
  <ScaleCrop>false</ScaleCrop>
  <LinksUpToDate>false</LinksUpToDate>
  <CharactersWithSpaces>2299</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2023-01-12T02:02:00Z</dcterms:created>
  <dc:creator>Administrator</dc:creator>
  <cp:lastModifiedBy>Administrator</cp:lastModifiedBy>
  <cp:lastPrinted>2024-01-29T07:16:00Z</cp:lastPrinted>
  <dcterms:modified xsi:type="dcterms:W3CDTF">2026-03-11T02:32:01Z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