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CE06C">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0" w:firstLineChars="0"/>
        <w:jc w:val="center"/>
        <w:rPr>
          <w:rFonts w:hint="eastAsia" w:ascii="方正小标宋简体" w:hAnsi="方正小标宋简体" w:eastAsia="方正小标宋简体" w:cs="方正小标宋简体"/>
          <w:i w:val="0"/>
          <w:iCs w:val="0"/>
          <w:caps w:val="0"/>
          <w:color w:val="000000"/>
          <w:spacing w:val="0"/>
          <w:kern w:val="2"/>
          <w:sz w:val="36"/>
          <w:szCs w:val="36"/>
          <w:shd w:val="clear" w:color="auto" w:fill="FFFFFF"/>
          <w:lang w:val="en-US" w:eastAsia="zh-CN" w:bidi="ar-SA"/>
        </w:rPr>
      </w:pPr>
      <w:r>
        <w:rPr>
          <w:rFonts w:hint="eastAsia" w:ascii="方正小标宋简体" w:hAnsi="方正小标宋简体" w:eastAsia="方正小标宋简体" w:cs="方正小标宋简体"/>
          <w:i w:val="0"/>
          <w:iCs w:val="0"/>
          <w:caps w:val="0"/>
          <w:color w:val="000000"/>
          <w:spacing w:val="0"/>
          <w:kern w:val="2"/>
          <w:sz w:val="36"/>
          <w:szCs w:val="36"/>
          <w:shd w:val="clear" w:color="auto" w:fill="FFFFFF"/>
          <w:lang w:val="en-US" w:eastAsia="zh-CN" w:bidi="ar-SA"/>
        </w:rPr>
        <w:t>滦州市人民政府</w:t>
      </w:r>
    </w:p>
    <w:p w14:paraId="61FFCFD1">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0" w:firstLineChars="0"/>
        <w:jc w:val="center"/>
        <w:rPr>
          <w:rFonts w:hint="eastAsia" w:ascii="方正小标宋简体" w:hAnsi="方正小标宋简体" w:eastAsia="方正小标宋简体" w:cs="方正小标宋简体"/>
          <w:i w:val="0"/>
          <w:iCs w:val="0"/>
          <w:caps w:val="0"/>
          <w:color w:val="000000"/>
          <w:spacing w:val="0"/>
          <w:kern w:val="2"/>
          <w:sz w:val="36"/>
          <w:szCs w:val="36"/>
          <w:shd w:val="clear" w:color="auto" w:fill="FFFFFF"/>
          <w:lang w:val="en-US" w:eastAsia="zh-CN" w:bidi="ar-SA"/>
        </w:rPr>
      </w:pPr>
      <w:r>
        <w:rPr>
          <w:rFonts w:hint="eastAsia" w:ascii="方正小标宋简体" w:hAnsi="方正小标宋简体" w:eastAsia="方正小标宋简体" w:cs="方正小标宋简体"/>
          <w:i w:val="0"/>
          <w:iCs w:val="0"/>
          <w:caps w:val="0"/>
          <w:color w:val="000000"/>
          <w:spacing w:val="0"/>
          <w:kern w:val="2"/>
          <w:sz w:val="36"/>
          <w:szCs w:val="36"/>
          <w:shd w:val="clear" w:color="auto" w:fill="FFFFFF"/>
          <w:lang w:val="en-US" w:eastAsia="zh-CN" w:bidi="ar-SA"/>
        </w:rPr>
        <w:t>关于2024年度市本级预算执行及其他财政收支情况</w:t>
      </w:r>
    </w:p>
    <w:p w14:paraId="4EB7836A">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0" w:firstLineChars="0"/>
        <w:jc w:val="center"/>
        <w:rPr>
          <w:rFonts w:hint="eastAsia" w:ascii="方正小标宋简体" w:hAnsi="方正小标宋简体" w:eastAsia="方正小标宋简体" w:cs="方正小标宋简体"/>
          <w:i w:val="0"/>
          <w:iCs w:val="0"/>
          <w:caps w:val="0"/>
          <w:color w:val="000000"/>
          <w:spacing w:val="0"/>
          <w:kern w:val="2"/>
          <w:sz w:val="36"/>
          <w:szCs w:val="36"/>
          <w:shd w:val="clear" w:color="auto" w:fill="FFFFFF"/>
          <w:lang w:val="en-US" w:eastAsia="zh-CN" w:bidi="ar-SA"/>
        </w:rPr>
      </w:pPr>
      <w:r>
        <w:rPr>
          <w:rFonts w:hint="eastAsia" w:ascii="方正小标宋简体" w:hAnsi="方正小标宋简体" w:eastAsia="方正小标宋简体" w:cs="方正小标宋简体"/>
          <w:i w:val="0"/>
          <w:iCs w:val="0"/>
          <w:caps w:val="0"/>
          <w:color w:val="000000"/>
          <w:spacing w:val="0"/>
          <w:kern w:val="2"/>
          <w:sz w:val="36"/>
          <w:szCs w:val="36"/>
          <w:shd w:val="clear" w:color="auto" w:fill="FFFFFF"/>
          <w:lang w:val="en-US" w:eastAsia="zh-CN" w:bidi="ar-SA"/>
        </w:rPr>
        <w:t>审计查出问题整改报告</w:t>
      </w:r>
    </w:p>
    <w:p w14:paraId="4E03C62E">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rightChars="0"/>
        <w:jc w:val="center"/>
        <w:rPr>
          <w:rFonts w:hint="eastAsia" w:ascii="仿宋" w:hAnsi="仿宋" w:eastAsia="仿宋" w:cs="仿宋"/>
          <w:i w:val="0"/>
          <w:iCs w:val="0"/>
          <w:caps w:val="0"/>
          <w:color w:val="000000" w:themeColor="text1"/>
          <w:spacing w:val="0"/>
          <w:kern w:val="2"/>
          <w:sz w:val="32"/>
          <w:szCs w:val="32"/>
          <w:shd w:val="clear" w:color="auto" w:fill="FFFFFF"/>
          <w:lang w:val="en-US" w:eastAsia="zh-CN" w:bidi="ar-SA"/>
          <w14:textFill>
            <w14:solidFill>
              <w14:schemeClr w14:val="tx1"/>
            </w14:solidFill>
          </w14:textFill>
        </w:rPr>
      </w:pPr>
      <w:r>
        <w:rPr>
          <w:rFonts w:hint="eastAsia" w:ascii="仿宋" w:hAnsi="仿宋" w:eastAsia="仿宋" w:cs="仿宋"/>
          <w:i w:val="0"/>
          <w:iCs w:val="0"/>
          <w:caps w:val="0"/>
          <w:color w:val="000000"/>
          <w:spacing w:val="0"/>
          <w:kern w:val="2"/>
          <w:sz w:val="32"/>
          <w:szCs w:val="32"/>
          <w:shd w:val="clear" w:color="auto" w:fill="FFFFFF"/>
          <w:lang w:val="en-US" w:eastAsia="zh-CN" w:bidi="ar-SA"/>
        </w:rPr>
        <w:t>--2025年11月26日在市第二届人大常委会</w:t>
      </w:r>
      <w:r>
        <w:rPr>
          <w:rFonts w:hint="eastAsia" w:ascii="仿宋" w:hAnsi="仿宋" w:eastAsia="仿宋" w:cs="仿宋"/>
          <w:i w:val="0"/>
          <w:iCs w:val="0"/>
          <w:caps w:val="0"/>
          <w:color w:val="000000" w:themeColor="text1"/>
          <w:spacing w:val="0"/>
          <w:kern w:val="2"/>
          <w:sz w:val="32"/>
          <w:szCs w:val="32"/>
          <w:shd w:val="clear" w:color="auto" w:fill="FFFFFF"/>
          <w:lang w:val="en-US" w:eastAsia="zh-CN" w:bidi="ar-SA"/>
          <w14:textFill>
            <w14:solidFill>
              <w14:schemeClr w14:val="tx1"/>
            </w14:solidFill>
          </w14:textFill>
        </w:rPr>
        <w:t>第</w:t>
      </w:r>
      <w:r>
        <w:rPr>
          <w:rFonts w:hint="eastAsia" w:ascii="仿宋" w:hAnsi="仿宋" w:eastAsia="仿宋" w:cs="仿宋"/>
          <w:i w:val="0"/>
          <w:iCs w:val="0"/>
          <w:caps w:val="0"/>
          <w:color w:val="auto"/>
          <w:spacing w:val="0"/>
          <w:kern w:val="2"/>
          <w:sz w:val="32"/>
          <w:szCs w:val="32"/>
          <w:shd w:val="clear" w:color="auto" w:fill="FFFFFF"/>
          <w:lang w:val="en-US" w:eastAsia="zh-CN" w:bidi="ar-SA"/>
        </w:rPr>
        <w:t>45</w:t>
      </w:r>
      <w:r>
        <w:rPr>
          <w:rFonts w:hint="eastAsia" w:ascii="仿宋" w:hAnsi="仿宋" w:eastAsia="仿宋" w:cs="仿宋"/>
          <w:i w:val="0"/>
          <w:iCs w:val="0"/>
          <w:caps w:val="0"/>
          <w:color w:val="000000" w:themeColor="text1"/>
          <w:spacing w:val="0"/>
          <w:kern w:val="2"/>
          <w:sz w:val="32"/>
          <w:szCs w:val="32"/>
          <w:shd w:val="clear" w:color="auto" w:fill="FFFFFF"/>
          <w:lang w:val="en-US" w:eastAsia="zh-CN" w:bidi="ar-SA"/>
          <w14:textFill>
            <w14:solidFill>
              <w14:schemeClr w14:val="tx1"/>
            </w14:solidFill>
          </w14:textFill>
        </w:rPr>
        <w:t>次会议上</w:t>
      </w:r>
    </w:p>
    <w:p w14:paraId="4872BE7F">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rightChars="0" w:firstLine="384"/>
        <w:jc w:val="center"/>
        <w:rPr>
          <w:rFonts w:hint="eastAsia" w:ascii="楷体" w:hAnsi="楷体" w:eastAsia="楷体" w:cs="楷体"/>
          <w:b w:val="0"/>
          <w:bCs w:val="0"/>
          <w:i w:val="0"/>
          <w:iCs w:val="0"/>
          <w:caps w:val="0"/>
          <w:color w:val="auto"/>
          <w:spacing w:val="0"/>
          <w:kern w:val="2"/>
          <w:sz w:val="32"/>
          <w:szCs w:val="32"/>
          <w:shd w:val="clear" w:color="auto" w:fill="FFFFFF"/>
          <w:lang w:val="en-US" w:eastAsia="zh-CN" w:bidi="ar-SA"/>
        </w:rPr>
      </w:pPr>
      <w:r>
        <w:rPr>
          <w:rFonts w:hint="eastAsia" w:ascii="楷体" w:hAnsi="楷体" w:eastAsia="楷体" w:cs="楷体"/>
          <w:b w:val="0"/>
          <w:bCs w:val="0"/>
          <w:i w:val="0"/>
          <w:iCs w:val="0"/>
          <w:caps w:val="0"/>
          <w:color w:val="auto"/>
          <w:spacing w:val="0"/>
          <w:kern w:val="2"/>
          <w:sz w:val="32"/>
          <w:szCs w:val="32"/>
          <w:shd w:val="clear" w:color="auto" w:fill="FFFFFF"/>
          <w:lang w:val="en-US" w:eastAsia="zh-CN" w:bidi="ar-SA"/>
        </w:rPr>
        <w:t>滦州市委常委、常务副市长 高明</w:t>
      </w:r>
    </w:p>
    <w:p w14:paraId="71F5E342">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rightChars="0" w:firstLine="384"/>
        <w:jc w:val="center"/>
        <w:rPr>
          <w:rFonts w:hint="eastAsia" w:ascii="仿宋" w:hAnsi="仿宋" w:eastAsia="仿宋" w:cs="仿宋"/>
          <w:i w:val="0"/>
          <w:iCs w:val="0"/>
          <w:caps w:val="0"/>
          <w:color w:val="0000FF"/>
          <w:spacing w:val="0"/>
          <w:kern w:val="2"/>
          <w:sz w:val="32"/>
          <w:szCs w:val="32"/>
          <w:shd w:val="clear" w:color="auto" w:fill="FFFFFF"/>
          <w:lang w:val="en-US" w:eastAsia="zh-CN" w:bidi="ar-SA"/>
        </w:rPr>
      </w:pPr>
    </w:p>
    <w:p w14:paraId="2E466D30">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rightChars="0"/>
        <w:jc w:val="left"/>
        <w:rPr>
          <w:rFonts w:hint="eastAsia" w:ascii="仿宋" w:hAnsi="仿宋" w:eastAsia="仿宋" w:cs="仿宋"/>
          <w:i w:val="0"/>
          <w:iCs w:val="0"/>
          <w:caps w:val="0"/>
          <w:color w:val="000000"/>
          <w:spacing w:val="0"/>
          <w:kern w:val="2"/>
          <w:sz w:val="32"/>
          <w:szCs w:val="32"/>
          <w:shd w:val="clear" w:color="auto" w:fill="FFFFFF"/>
          <w:lang w:val="en-US" w:eastAsia="zh-CN" w:bidi="ar-SA"/>
        </w:rPr>
      </w:pPr>
      <w:r>
        <w:rPr>
          <w:rFonts w:hint="eastAsia" w:ascii="仿宋" w:hAnsi="仿宋" w:eastAsia="仿宋" w:cs="仿宋"/>
          <w:i w:val="0"/>
          <w:iCs w:val="0"/>
          <w:caps w:val="0"/>
          <w:color w:val="000000"/>
          <w:spacing w:val="0"/>
          <w:kern w:val="2"/>
          <w:sz w:val="32"/>
          <w:szCs w:val="32"/>
          <w:shd w:val="clear" w:color="auto" w:fill="FFFFFF"/>
          <w:lang w:val="en-US" w:eastAsia="zh-CN" w:bidi="ar-SA"/>
        </w:rPr>
        <w:t>主任、各位副主任、各位委员：</w:t>
      </w:r>
    </w:p>
    <w:p w14:paraId="65590629">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rightChars="0" w:firstLine="640" w:firstLineChars="200"/>
        <w:jc w:val="left"/>
        <w:rPr>
          <w:rFonts w:hint="eastAsia" w:ascii="仿宋" w:hAnsi="仿宋" w:eastAsia="仿宋" w:cs="仿宋"/>
          <w:i w:val="0"/>
          <w:iCs w:val="0"/>
          <w:caps w:val="0"/>
          <w:color w:val="000000"/>
          <w:spacing w:val="0"/>
          <w:kern w:val="2"/>
          <w:sz w:val="32"/>
          <w:szCs w:val="32"/>
          <w:shd w:val="clear" w:color="auto" w:fill="FFFFFF"/>
          <w:lang w:val="en-US" w:eastAsia="zh-CN" w:bidi="ar-SA"/>
        </w:rPr>
      </w:pPr>
      <w:r>
        <w:rPr>
          <w:rFonts w:hint="eastAsia" w:ascii="仿宋" w:hAnsi="仿宋" w:eastAsia="仿宋" w:cs="仿宋"/>
          <w:i w:val="0"/>
          <w:iCs w:val="0"/>
          <w:caps w:val="0"/>
          <w:color w:val="000000"/>
          <w:spacing w:val="0"/>
          <w:kern w:val="2"/>
          <w:sz w:val="32"/>
          <w:szCs w:val="32"/>
          <w:shd w:val="clear" w:color="auto" w:fill="FFFFFF"/>
          <w:lang w:val="en-US" w:eastAsia="zh-CN" w:bidi="ar-SA"/>
        </w:rPr>
        <w:t>按照会议安排，现将《关于2024年度市本级预算执行及其他财政收支情况审计工作报告》中有关问题的整改情况汇报如下。</w:t>
      </w:r>
    </w:p>
    <w:p w14:paraId="5D5A6F36">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rightChars="0" w:firstLine="640" w:firstLineChars="200"/>
        <w:jc w:val="left"/>
        <w:rPr>
          <w:rFonts w:hint="eastAsia" w:ascii="仿宋" w:hAnsi="仿宋" w:eastAsia="仿宋" w:cs="仿宋"/>
          <w:i w:val="0"/>
          <w:iCs w:val="0"/>
          <w:caps w:val="0"/>
          <w:color w:val="000000"/>
          <w:spacing w:val="0"/>
          <w:kern w:val="2"/>
          <w:sz w:val="32"/>
          <w:szCs w:val="32"/>
          <w:shd w:val="clear" w:color="auto" w:fill="FFFFFF"/>
          <w:lang w:val="en-US" w:eastAsia="zh-CN" w:bidi="ar-SA"/>
        </w:rPr>
      </w:pPr>
      <w:r>
        <w:rPr>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一、工作开展情况</w:t>
      </w:r>
    </w:p>
    <w:p w14:paraId="5A875B31">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rightChars="0" w:firstLine="640" w:firstLineChars="200"/>
        <w:jc w:val="left"/>
        <w:rPr>
          <w:rFonts w:hint="eastAsia" w:ascii="仿宋" w:hAnsi="仿宋" w:eastAsia="仿宋" w:cs="仿宋"/>
          <w:i w:val="0"/>
          <w:iCs w:val="0"/>
          <w:caps w:val="0"/>
          <w:color w:val="000000"/>
          <w:spacing w:val="0"/>
          <w:kern w:val="2"/>
          <w:sz w:val="32"/>
          <w:szCs w:val="32"/>
          <w:shd w:val="clear" w:color="auto" w:fill="FFFFFF"/>
          <w:lang w:val="en-US" w:eastAsia="zh-CN" w:bidi="ar-SA"/>
        </w:rPr>
      </w:pPr>
      <w:r>
        <w:rPr>
          <w:rFonts w:hint="eastAsia" w:ascii="仿宋" w:hAnsi="仿宋" w:eastAsia="仿宋" w:cs="仿宋"/>
          <w:i w:val="0"/>
          <w:iCs w:val="0"/>
          <w:caps w:val="0"/>
          <w:color w:val="000000"/>
          <w:spacing w:val="0"/>
          <w:kern w:val="2"/>
          <w:sz w:val="32"/>
          <w:szCs w:val="32"/>
          <w:shd w:val="clear" w:color="auto" w:fill="FFFFFF"/>
          <w:lang w:val="en-US" w:eastAsia="zh-CN" w:bidi="ar-SA"/>
        </w:rPr>
        <w:t>市二届人大常委会第四十三次会议听取并审议了市政府《关于2024年度市本级预算执行及其他财政收支情况审计工作报告》，对审计工作成效给予了充分肯定，并就进一步强化问题整改、提升整改实效提出了明确要求。市政府高度重视整改工作，将其作为一项重要工作部署推进，要求各单位严格落实整改主体责任，及时制定整改方案，建立整改台账，实施清单管理，明确各环节时限与标准，全程跟踪督办，确保问题真改实改、清仓见底。</w:t>
      </w:r>
    </w:p>
    <w:p w14:paraId="31A67EAE">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rPr>
          <w:rFonts w:hint="eastAsia" w:ascii="黑体" w:hAnsi="黑体" w:eastAsia="黑体" w:cs="黑体"/>
          <w:b w:val="0"/>
          <w:bCs w:val="0"/>
          <w:i w:val="0"/>
          <w:iCs w:val="0"/>
          <w:caps w:val="0"/>
          <w:color w:val="000000"/>
          <w:spacing w:val="0"/>
          <w:kern w:val="2"/>
          <w:sz w:val="32"/>
          <w:szCs w:val="32"/>
          <w:shd w:val="clear" w:color="auto" w:fill="FFFFFF"/>
          <w:lang w:val="en-US" w:eastAsia="zh-CN" w:bidi="ar-SA"/>
        </w:rPr>
      </w:pPr>
      <w:r>
        <w:rPr>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二、问题整改情况</w:t>
      </w:r>
    </w:p>
    <w:p w14:paraId="4FDDC590">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jc w:val="both"/>
        <w:rPr>
          <w:rFonts w:hint="default"/>
          <w:sz w:val="32"/>
          <w:szCs w:val="32"/>
          <w:lang w:val="en-US"/>
        </w:rPr>
      </w:pPr>
      <w:r>
        <w:rPr>
          <w:rFonts w:hint="eastAsia" w:ascii="仿宋" w:hAnsi="仿宋" w:eastAsia="仿宋" w:cs="仿宋"/>
          <w:color w:val="auto"/>
          <w:kern w:val="0"/>
          <w:sz w:val="32"/>
          <w:szCs w:val="32"/>
          <w:highlight w:val="none"/>
          <w:lang w:val="en-US" w:eastAsia="zh-CN" w:bidi="ar-SA"/>
        </w:rPr>
        <w:t>纳入审计工作报告的问题共7方面17项，截至目前整改完成</w:t>
      </w:r>
      <w:r>
        <w:rPr>
          <w:rFonts w:hint="eastAsia" w:ascii="仿宋" w:hAnsi="仿宋" w:eastAsia="仿宋" w:cs="仿宋"/>
          <w:b w:val="0"/>
          <w:bCs w:val="0"/>
          <w:color w:val="auto"/>
          <w:kern w:val="0"/>
          <w:sz w:val="32"/>
          <w:szCs w:val="32"/>
          <w:highlight w:val="none"/>
          <w:lang w:val="en-US" w:eastAsia="zh-CN" w:bidi="ar-SA"/>
        </w:rPr>
        <w:t>15</w:t>
      </w:r>
      <w:r>
        <w:rPr>
          <w:rFonts w:hint="eastAsia" w:ascii="仿宋" w:hAnsi="仿宋" w:eastAsia="仿宋" w:cs="仿宋"/>
          <w:color w:val="auto"/>
          <w:kern w:val="0"/>
          <w:sz w:val="32"/>
          <w:szCs w:val="32"/>
          <w:highlight w:val="none"/>
          <w:lang w:val="en-US" w:eastAsia="zh-CN" w:bidi="ar-SA"/>
        </w:rPr>
        <w:t>项，正在整改</w:t>
      </w:r>
      <w:r>
        <w:rPr>
          <w:rFonts w:hint="eastAsia" w:ascii="仿宋" w:hAnsi="仿宋" w:eastAsia="仿宋" w:cs="仿宋"/>
          <w:b w:val="0"/>
          <w:bCs w:val="0"/>
          <w:color w:val="auto"/>
          <w:kern w:val="0"/>
          <w:sz w:val="32"/>
          <w:szCs w:val="32"/>
          <w:highlight w:val="none"/>
          <w:lang w:val="en-US" w:eastAsia="zh-CN" w:bidi="ar-SA"/>
        </w:rPr>
        <w:t>2</w:t>
      </w:r>
      <w:r>
        <w:rPr>
          <w:rFonts w:hint="eastAsia" w:ascii="仿宋" w:hAnsi="仿宋" w:eastAsia="仿宋" w:cs="仿宋"/>
          <w:color w:val="auto"/>
          <w:kern w:val="0"/>
          <w:sz w:val="32"/>
          <w:szCs w:val="32"/>
          <w:highlight w:val="none"/>
          <w:lang w:val="en-US" w:eastAsia="zh-CN" w:bidi="ar-SA"/>
        </w:rPr>
        <w:t>项。</w:t>
      </w:r>
    </w:p>
    <w:p w14:paraId="242B03F9">
      <w:pPr>
        <w:pStyle w:val="6"/>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640" w:firstLineChars="200"/>
        <w:jc w:val="both"/>
        <w:rPr>
          <w:rFonts w:hint="default" w:ascii="楷体" w:hAnsi="楷体" w:eastAsia="楷体" w:cs="楷体"/>
          <w:b/>
          <w:bCs/>
          <w:i w:val="0"/>
          <w:iCs w:val="0"/>
          <w:caps w:val="0"/>
          <w:color w:val="000000"/>
          <w:spacing w:val="0"/>
          <w:kern w:val="2"/>
          <w:sz w:val="32"/>
          <w:szCs w:val="32"/>
          <w:shd w:val="clear" w:color="auto" w:fill="FFFFFF"/>
          <w:lang w:val="en-US" w:eastAsia="zh-CN" w:bidi="ar-SA"/>
        </w:rPr>
      </w:pPr>
      <w:r>
        <w:rPr>
          <w:rFonts w:hint="eastAsia" w:ascii="楷体" w:hAnsi="楷体" w:eastAsia="楷体" w:cs="楷体"/>
          <w:b/>
          <w:bCs/>
          <w:i w:val="0"/>
          <w:iCs w:val="0"/>
          <w:caps w:val="0"/>
          <w:color w:val="000000"/>
          <w:spacing w:val="0"/>
          <w:kern w:val="2"/>
          <w:sz w:val="32"/>
          <w:szCs w:val="32"/>
          <w:shd w:val="clear" w:color="auto" w:fill="FFFFFF"/>
          <w:lang w:val="en-US" w:eastAsia="zh-CN" w:bidi="ar-SA"/>
        </w:rPr>
        <w:t>（一）深化预算管理制度改革方面</w:t>
      </w:r>
      <w:bookmarkStart w:id="0" w:name="_GoBack"/>
      <w:bookmarkEnd w:id="0"/>
    </w:p>
    <w:p w14:paraId="10314D96">
      <w:pPr>
        <w:pStyle w:val="6"/>
        <w:keepNext w:val="0"/>
        <w:keepLines w:val="0"/>
        <w:pageBreakBefore w:val="0"/>
        <w:widowControl w:val="0"/>
        <w:kinsoku/>
        <w:wordWrap/>
        <w:overflowPunct/>
        <w:topLinePunct w:val="0"/>
        <w:autoSpaceDE/>
        <w:autoSpaceDN/>
        <w:bidi w:val="0"/>
        <w:adjustRightInd/>
        <w:snapToGrid/>
        <w:spacing w:line="540" w:lineRule="exact"/>
        <w:ind w:leftChars="0" w:right="0" w:rightChars="0"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i w:val="0"/>
          <w:iCs w:val="0"/>
          <w:caps w:val="0"/>
          <w:color w:val="auto"/>
          <w:spacing w:val="0"/>
          <w:kern w:val="2"/>
          <w:sz w:val="32"/>
          <w:szCs w:val="32"/>
          <w:shd w:val="clear" w:color="auto" w:fill="FFFFFF"/>
          <w:lang w:val="en-US" w:eastAsia="zh-CN" w:bidi="ar-SA"/>
        </w:rPr>
        <w:t>1.非税往来账户存量资金未及时盘活问题。整改完成。滦州市财政局于2025年9月28日将问题资金盘活并上缴国库。</w:t>
      </w:r>
    </w:p>
    <w:p w14:paraId="5CAF067D">
      <w:pPr>
        <w:pStyle w:val="6"/>
        <w:keepNext w:val="0"/>
        <w:keepLines w:val="0"/>
        <w:pageBreakBefore w:val="0"/>
        <w:widowControl w:val="0"/>
        <w:kinsoku/>
        <w:wordWrap/>
        <w:overflowPunct/>
        <w:topLinePunct w:val="0"/>
        <w:autoSpaceDE/>
        <w:autoSpaceDN/>
        <w:bidi w:val="0"/>
        <w:adjustRightInd/>
        <w:snapToGrid/>
        <w:spacing w:line="540" w:lineRule="exact"/>
        <w:ind w:leftChars="0" w:right="0" w:rightChars="0" w:firstLine="640" w:firstLineChars="200"/>
        <w:jc w:val="both"/>
        <w:textAlignment w:val="auto"/>
        <w:rPr>
          <w:rFonts w:hint="eastAsia" w:ascii="仿宋" w:hAnsi="仿宋" w:eastAsia="仿宋" w:cs="仿宋"/>
          <w:b w:val="0"/>
          <w:bCs w:val="0"/>
          <w:i w:val="0"/>
          <w:iCs w:val="0"/>
          <w:caps w:val="0"/>
          <w:color w:val="000000"/>
          <w:spacing w:val="0"/>
          <w:kern w:val="2"/>
          <w:sz w:val="32"/>
          <w:szCs w:val="32"/>
          <w:shd w:val="clear" w:color="auto" w:fill="FFFFFF"/>
          <w:lang w:val="en-US" w:eastAsia="zh-CN" w:bidi="ar-SA"/>
        </w:rPr>
      </w:pPr>
      <w:r>
        <w:rPr>
          <w:rFonts w:hint="eastAsia" w:ascii="仿宋" w:hAnsi="仿宋" w:eastAsia="仿宋" w:cs="仿宋"/>
          <w:b w:val="0"/>
          <w:bCs w:val="0"/>
          <w:i w:val="0"/>
          <w:iCs w:val="0"/>
          <w:caps w:val="0"/>
          <w:color w:val="auto"/>
          <w:spacing w:val="0"/>
          <w:kern w:val="2"/>
          <w:sz w:val="32"/>
          <w:szCs w:val="32"/>
          <w:shd w:val="clear" w:color="auto" w:fill="FFFFFF"/>
          <w:lang w:val="en-US" w:eastAsia="zh-CN" w:bidi="ar-SA"/>
        </w:rPr>
        <w:t>2.盘活资金未上缴国库问题。整改完成。滦州市财政局于2025年8月22日将上述资金上缴国库。</w:t>
      </w:r>
    </w:p>
    <w:p w14:paraId="3980893E">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rPr>
          <w:rFonts w:hint="eastAsia" w:ascii="仿宋" w:hAnsi="仿宋" w:eastAsia="仿宋" w:cs="仿宋"/>
          <w:b w:val="0"/>
          <w:bCs w:val="0"/>
          <w:i w:val="0"/>
          <w:iCs w:val="0"/>
          <w:caps w:val="0"/>
          <w:color w:val="auto"/>
          <w:spacing w:val="0"/>
          <w:kern w:val="2"/>
          <w:sz w:val="32"/>
          <w:szCs w:val="32"/>
          <w:shd w:val="clear" w:color="auto" w:fill="FFFFFF"/>
          <w:lang w:val="en-US" w:eastAsia="zh-CN" w:bidi="ar-SA"/>
        </w:rPr>
      </w:pPr>
      <w:r>
        <w:rPr>
          <w:rFonts w:hint="eastAsia" w:ascii="仿宋" w:hAnsi="仿宋" w:eastAsia="仿宋" w:cs="仿宋"/>
          <w:b w:val="0"/>
          <w:bCs w:val="0"/>
          <w:i w:val="0"/>
          <w:iCs w:val="0"/>
          <w:caps w:val="0"/>
          <w:color w:val="auto"/>
          <w:spacing w:val="0"/>
          <w:kern w:val="2"/>
          <w:sz w:val="32"/>
          <w:szCs w:val="32"/>
          <w:shd w:val="clear" w:color="auto" w:fill="FFFFFF"/>
          <w:lang w:val="en-US" w:eastAsia="zh-CN" w:bidi="ar-SA"/>
        </w:rPr>
        <w:t>3.绩效目标设定审核不规范问题。整改完成。</w:t>
      </w:r>
      <w:r>
        <w:rPr>
          <w:rFonts w:hint="eastAsia" w:ascii="仿宋" w:hAnsi="仿宋" w:eastAsia="仿宋" w:cs="仿宋"/>
          <w:b w:val="0"/>
          <w:bCs w:val="0"/>
          <w:color w:val="auto"/>
          <w:spacing w:val="-9"/>
          <w:kern w:val="2"/>
          <w:sz w:val="32"/>
          <w:szCs w:val="32"/>
          <w:lang w:val="en-US" w:eastAsia="zh-CN" w:bidi="ar-SA"/>
        </w:rPr>
        <w:t>财政部门全面加强预算绩效目标审核管理，督促各部门设定详实准确、科学规范、合理可行的绩效目标，进一步强化部门预算绩效管理意识，促进了预算绩效管理水平整体提升。</w:t>
      </w:r>
    </w:p>
    <w:p w14:paraId="0BBCF3E3">
      <w:pPr>
        <w:pStyle w:val="6"/>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jc w:val="both"/>
        <w:textAlignment w:val="auto"/>
        <w:rPr>
          <w:rFonts w:hint="eastAsia" w:ascii="仿宋" w:hAnsi="仿宋" w:eastAsia="仿宋" w:cs="仿宋"/>
          <w:b w:val="0"/>
          <w:bCs w:val="0"/>
          <w:i w:val="0"/>
          <w:iCs w:val="0"/>
          <w:caps w:val="0"/>
          <w:color w:val="auto"/>
          <w:spacing w:val="0"/>
          <w:sz w:val="32"/>
          <w:szCs w:val="32"/>
          <w:highlight w:val="none"/>
          <w:shd w:val="clear" w:color="auto" w:fill="FFFFFF"/>
          <w:lang w:val="en-US" w:eastAsia="zh-CN"/>
        </w:rPr>
      </w:pPr>
      <w:r>
        <w:rPr>
          <w:rFonts w:hint="eastAsia" w:ascii="仿宋" w:hAnsi="仿宋" w:eastAsia="仿宋" w:cs="仿宋"/>
          <w:b w:val="0"/>
          <w:bCs w:val="0"/>
          <w:i w:val="0"/>
          <w:iCs w:val="0"/>
          <w:caps w:val="0"/>
          <w:color w:val="auto"/>
          <w:spacing w:val="0"/>
          <w:sz w:val="32"/>
          <w:szCs w:val="32"/>
          <w:highlight w:val="none"/>
          <w:shd w:val="clear" w:color="auto" w:fill="FFFFFF"/>
          <w:lang w:val="en-US" w:eastAsia="zh-CN"/>
        </w:rPr>
        <w:t>4.未按规定开展绩效自评问题。整改完成。中共滦州市委组织部在审计查出问题后，立即组织对问题项目开展了绩效自评，严格对照绩效管理要求，对项目进行了系统梳理与客观评价，确保自评结果的真实性和规范性。</w:t>
      </w:r>
    </w:p>
    <w:p w14:paraId="2F24D746">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jc w:val="both"/>
        <w:rPr>
          <w:rFonts w:hint="eastAsia" w:ascii="仿宋" w:hAnsi="仿宋" w:eastAsia="仿宋" w:cs="仿宋"/>
          <w:b w:val="0"/>
          <w:bCs w:val="0"/>
          <w:i w:val="0"/>
          <w:iCs w:val="0"/>
          <w:caps w:val="0"/>
          <w:color w:val="auto"/>
          <w:spacing w:val="0"/>
          <w:sz w:val="32"/>
          <w:szCs w:val="32"/>
          <w:highlight w:val="none"/>
          <w:shd w:val="clear" w:color="auto" w:fill="FFFFFF"/>
          <w:lang w:val="en-US" w:eastAsia="zh-CN"/>
        </w:rPr>
      </w:pPr>
      <w:r>
        <w:rPr>
          <w:rFonts w:hint="eastAsia" w:ascii="仿宋" w:hAnsi="仿宋" w:eastAsia="仿宋" w:cs="仿宋"/>
          <w:b w:val="0"/>
          <w:bCs w:val="0"/>
          <w:i w:val="0"/>
          <w:iCs w:val="0"/>
          <w:caps w:val="0"/>
          <w:color w:val="auto"/>
          <w:spacing w:val="0"/>
          <w:sz w:val="32"/>
          <w:szCs w:val="32"/>
          <w:highlight w:val="none"/>
          <w:shd w:val="clear" w:color="auto" w:fill="FFFFFF"/>
          <w:lang w:val="en-US" w:eastAsia="zh-CN"/>
        </w:rPr>
        <w:t>5.绩效自评未及时公开问题。整改完成。</w:t>
      </w:r>
      <w:r>
        <w:rPr>
          <w:rFonts w:hint="eastAsia" w:ascii="仿宋" w:hAnsi="仿宋" w:eastAsia="仿宋" w:cs="仿宋"/>
          <w:b w:val="0"/>
          <w:bCs w:val="0"/>
          <w:color w:val="auto"/>
          <w:spacing w:val="-9"/>
          <w:kern w:val="2"/>
          <w:sz w:val="32"/>
          <w:szCs w:val="32"/>
          <w:lang w:val="en-US" w:eastAsia="zh-CN" w:bidi="ar-SA"/>
        </w:rPr>
        <w:t>各部门2024年度绩效自评结果已随部门决算报告同步公开。</w:t>
      </w:r>
    </w:p>
    <w:p w14:paraId="225806F8">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jc w:val="both"/>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i w:val="0"/>
          <w:iCs w:val="0"/>
          <w:caps w:val="0"/>
          <w:color w:val="auto"/>
          <w:spacing w:val="0"/>
          <w:sz w:val="32"/>
          <w:szCs w:val="32"/>
          <w:highlight w:val="none"/>
          <w:shd w:val="clear" w:color="auto" w:fill="FFFFFF"/>
          <w:lang w:val="en-US" w:eastAsia="zh-CN"/>
        </w:rPr>
        <w:t>6.国有企业效益低下问题。整改完成。滦州市财政局采取措施</w:t>
      </w:r>
      <w:r>
        <w:rPr>
          <w:rFonts w:hint="eastAsia" w:ascii="仿宋" w:hAnsi="仿宋" w:eastAsia="仿宋" w:cs="仿宋"/>
          <w:b w:val="0"/>
          <w:bCs w:val="0"/>
          <w:sz w:val="32"/>
          <w:szCs w:val="32"/>
          <w:lang w:val="en-US" w:eastAsia="zh-CN"/>
        </w:rPr>
        <w:t>推动滦州市国有资产统一运作、协同发展，对市属国有资产进行整合升级，增大资产和营收规模</w:t>
      </w:r>
      <w:r>
        <w:rPr>
          <w:rFonts w:hint="eastAsia" w:ascii="仿宋" w:hAnsi="仿宋" w:eastAsia="仿宋" w:cs="仿宋"/>
          <w:b w:val="0"/>
          <w:bCs w:val="0"/>
          <w:color w:val="auto"/>
          <w:spacing w:val="-9"/>
          <w:kern w:val="2"/>
          <w:sz w:val="32"/>
          <w:szCs w:val="32"/>
          <w:lang w:val="en-US" w:eastAsia="zh-CN" w:bidi="ar-SA"/>
        </w:rPr>
        <w:t>。</w:t>
      </w:r>
      <w:r>
        <w:rPr>
          <w:rFonts w:hint="eastAsia" w:ascii="仿宋" w:hAnsi="仿宋" w:eastAsia="仿宋" w:cs="仿宋"/>
          <w:b w:val="0"/>
          <w:bCs w:val="0"/>
          <w:sz w:val="32"/>
          <w:szCs w:val="32"/>
        </w:rPr>
        <w:t>建立有效的激励和约束机制，下达</w:t>
      </w:r>
      <w:r>
        <w:rPr>
          <w:rFonts w:hint="eastAsia" w:ascii="仿宋" w:hAnsi="仿宋" w:eastAsia="仿宋" w:cs="仿宋"/>
          <w:b w:val="0"/>
          <w:bCs w:val="0"/>
          <w:sz w:val="32"/>
          <w:szCs w:val="32"/>
          <w:lang w:val="en-US" w:eastAsia="zh-CN"/>
        </w:rPr>
        <w:t>国有</w:t>
      </w:r>
      <w:r>
        <w:rPr>
          <w:rFonts w:hint="eastAsia" w:ascii="仿宋" w:hAnsi="仿宋" w:eastAsia="仿宋" w:cs="仿宋"/>
          <w:b w:val="0"/>
          <w:bCs w:val="0"/>
          <w:sz w:val="32"/>
          <w:szCs w:val="32"/>
        </w:rPr>
        <w:t>企业负责人2025年经营业绩考核预指标，涵盖财务、融资、工程等重要指标，树立鲜明选人用人导向、注重公平奖优惩劣，充分调动工作主动性、积极性；针对监管企业债务风险上升的情况，严控负债规模，推动</w:t>
      </w:r>
      <w:r>
        <w:rPr>
          <w:rFonts w:hint="eastAsia" w:ascii="仿宋" w:hAnsi="仿宋" w:eastAsia="仿宋" w:cs="仿宋"/>
          <w:b w:val="0"/>
          <w:bCs w:val="0"/>
          <w:sz w:val="32"/>
          <w:szCs w:val="32"/>
          <w:lang w:val="en-US" w:eastAsia="zh-CN"/>
        </w:rPr>
        <w:t>企业</w:t>
      </w:r>
      <w:r>
        <w:rPr>
          <w:rFonts w:hint="eastAsia" w:ascii="仿宋" w:hAnsi="仿宋" w:eastAsia="仿宋" w:cs="仿宋"/>
          <w:b w:val="0"/>
          <w:bCs w:val="0"/>
          <w:sz w:val="32"/>
          <w:szCs w:val="32"/>
        </w:rPr>
        <w:t>通过资产重组、股权多元化等方式防范化解债务风险，同时下发《滦州市国有资产管理委员会内部审计管理办法》，建立健全</w:t>
      </w:r>
      <w:r>
        <w:rPr>
          <w:rFonts w:hint="eastAsia" w:ascii="仿宋" w:hAnsi="仿宋" w:eastAsia="仿宋" w:cs="仿宋"/>
          <w:b w:val="0"/>
          <w:bCs w:val="0"/>
          <w:sz w:val="32"/>
          <w:szCs w:val="32"/>
          <w:lang w:val="en-US" w:eastAsia="zh-CN"/>
        </w:rPr>
        <w:t>了</w:t>
      </w:r>
      <w:r>
        <w:rPr>
          <w:rFonts w:hint="eastAsia" w:ascii="仿宋" w:hAnsi="仿宋" w:eastAsia="仿宋" w:cs="仿宋"/>
          <w:b w:val="0"/>
          <w:bCs w:val="0"/>
          <w:sz w:val="32"/>
          <w:szCs w:val="32"/>
        </w:rPr>
        <w:t>内部审计制度，明确</w:t>
      </w:r>
      <w:r>
        <w:rPr>
          <w:rFonts w:hint="eastAsia" w:ascii="仿宋" w:hAnsi="仿宋" w:eastAsia="仿宋" w:cs="仿宋"/>
          <w:b w:val="0"/>
          <w:bCs w:val="0"/>
          <w:sz w:val="32"/>
          <w:szCs w:val="32"/>
          <w:lang w:val="en-US" w:eastAsia="zh-CN"/>
        </w:rPr>
        <w:t>了</w:t>
      </w:r>
      <w:r>
        <w:rPr>
          <w:rFonts w:hint="eastAsia" w:ascii="仿宋" w:hAnsi="仿宋" w:eastAsia="仿宋" w:cs="仿宋"/>
          <w:b w:val="0"/>
          <w:bCs w:val="0"/>
          <w:sz w:val="32"/>
          <w:szCs w:val="32"/>
        </w:rPr>
        <w:t>内部审计工作领导</w:t>
      </w:r>
      <w:r>
        <w:rPr>
          <w:rFonts w:hint="eastAsia" w:ascii="仿宋" w:hAnsi="仿宋" w:eastAsia="仿宋" w:cs="仿宋"/>
          <w:b w:val="0"/>
          <w:bCs w:val="0"/>
          <w:sz w:val="32"/>
          <w:szCs w:val="32"/>
          <w:lang w:val="en-US" w:eastAsia="zh-CN"/>
        </w:rPr>
        <w:t>机</w:t>
      </w:r>
      <w:r>
        <w:rPr>
          <w:rFonts w:hint="eastAsia" w:ascii="仿宋" w:hAnsi="仿宋" w:eastAsia="仿宋" w:cs="仿宋"/>
          <w:b w:val="0"/>
          <w:bCs w:val="0"/>
          <w:sz w:val="32"/>
          <w:szCs w:val="32"/>
        </w:rPr>
        <w:t>制。</w:t>
      </w:r>
    </w:p>
    <w:p w14:paraId="7BCFEC4E">
      <w:pPr>
        <w:pStyle w:val="7"/>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rPr>
          <w:rFonts w:hint="default" w:ascii="楷体" w:hAnsi="楷体" w:eastAsia="楷体" w:cs="楷体"/>
          <w:b/>
          <w:bCs/>
          <w:sz w:val="32"/>
          <w:szCs w:val="32"/>
          <w:lang w:val="en-US" w:eastAsia="zh-CN"/>
        </w:rPr>
      </w:pPr>
      <w:r>
        <w:rPr>
          <w:rFonts w:hint="eastAsia" w:ascii="楷体" w:hAnsi="楷体" w:eastAsia="楷体" w:cs="楷体"/>
          <w:b/>
          <w:bCs/>
          <w:color w:val="auto"/>
          <w:sz w:val="32"/>
          <w:szCs w:val="32"/>
          <w:highlight w:val="none"/>
          <w:lang w:val="en-US" w:eastAsia="zh-CN"/>
        </w:rPr>
        <w:t>（二）地方债务风险防范方面</w:t>
      </w:r>
    </w:p>
    <w:p w14:paraId="64CF2180">
      <w:pPr>
        <w:pStyle w:val="6"/>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jc w:val="both"/>
        <w:textAlignment w:val="auto"/>
        <w:rPr>
          <w:rFonts w:hint="eastAsia" w:ascii="仿宋" w:hAnsi="仿宋" w:eastAsia="仿宋" w:cs="仿宋"/>
          <w:b w:val="0"/>
          <w:bCs w:val="0"/>
          <w:i w:val="0"/>
          <w:iCs w:val="0"/>
          <w:caps w:val="0"/>
          <w:color w:val="auto"/>
          <w:spacing w:val="5"/>
          <w:kern w:val="2"/>
          <w:sz w:val="32"/>
          <w:szCs w:val="32"/>
          <w:highlight w:val="none"/>
          <w:shd w:val="clear" w:color="auto" w:fill="FFFFFF"/>
          <w:lang w:val="en-US" w:eastAsia="zh-CN" w:bidi="ar-SA"/>
        </w:rPr>
      </w:pPr>
      <w:r>
        <w:rPr>
          <w:rFonts w:hint="eastAsia" w:ascii="仿宋" w:hAnsi="仿宋" w:eastAsia="仿宋" w:cs="仿宋"/>
          <w:b w:val="0"/>
          <w:bCs w:val="0"/>
          <w:i w:val="0"/>
          <w:iCs w:val="0"/>
          <w:caps w:val="0"/>
          <w:color w:val="auto"/>
          <w:spacing w:val="0"/>
          <w:kern w:val="2"/>
          <w:sz w:val="32"/>
          <w:szCs w:val="32"/>
          <w:highlight w:val="none"/>
          <w:shd w:val="clear" w:color="auto" w:fill="FFFFFF"/>
          <w:lang w:val="en-US" w:eastAsia="zh-CN" w:bidi="ar-SA"/>
        </w:rPr>
        <w:t>部分专项债券资金闲置，未发挥效益问题。一是</w:t>
      </w:r>
      <w:r>
        <w:rPr>
          <w:rFonts w:hint="eastAsia" w:ascii="仿宋" w:hAnsi="仿宋" w:eastAsia="仿宋" w:cs="仿宋"/>
          <w:b w:val="0"/>
          <w:bCs w:val="0"/>
          <w:i w:val="0"/>
          <w:iCs w:val="0"/>
          <w:caps w:val="0"/>
          <w:color w:val="auto"/>
          <w:spacing w:val="5"/>
          <w:kern w:val="2"/>
          <w:sz w:val="32"/>
          <w:szCs w:val="32"/>
          <w:highlight w:val="none"/>
          <w:shd w:val="clear" w:color="auto" w:fill="FFFFFF"/>
          <w:lang w:val="en-US" w:eastAsia="zh-CN" w:bidi="ar-SA"/>
        </w:rPr>
        <w:t>滦州市住房和城乡建设局独立工矿区老化给水设施(古城至响嘡段)改造提升项目债券资金由于项目终止应调整资金用途，需省级统筹安排专项债券用途调整工作，将债券资金调整至其他项目，避免资金闲置。该问题正在整改，2025年8月30日已向省财政厅上报《专项债券项目调整情况表》，预计2026年下达调整批复。二是</w:t>
      </w:r>
      <w:r>
        <w:rPr>
          <w:rFonts w:hint="eastAsia" w:ascii="仿宋" w:hAnsi="仿宋" w:eastAsia="仿宋" w:cs="仿宋"/>
          <w:b w:val="0"/>
          <w:bCs w:val="0"/>
          <w:color w:val="auto"/>
          <w:spacing w:val="-9"/>
          <w:kern w:val="2"/>
          <w:sz w:val="32"/>
          <w:szCs w:val="32"/>
          <w:highlight w:val="none"/>
          <w:lang w:val="en-US" w:eastAsia="zh-CN" w:bidi="ar-SA"/>
        </w:rPr>
        <w:t>滦州市水利局2024年农村饮水安全巩固提升工程，2024年底结存的债券资金截至4月30日已经全部支出，整改完成。</w:t>
      </w:r>
    </w:p>
    <w:p w14:paraId="020E8D37">
      <w:pPr>
        <w:pStyle w:val="6"/>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640" w:firstLineChars="200"/>
        <w:jc w:val="both"/>
        <w:rPr>
          <w:rFonts w:hint="default" w:ascii="楷体" w:hAnsi="楷体" w:eastAsia="楷体" w:cs="楷体"/>
          <w:b/>
          <w:bCs/>
          <w:i w:val="0"/>
          <w:iCs w:val="0"/>
          <w:caps w:val="0"/>
          <w:color w:val="000000"/>
          <w:spacing w:val="0"/>
          <w:kern w:val="2"/>
          <w:sz w:val="32"/>
          <w:szCs w:val="32"/>
          <w:shd w:val="clear" w:color="auto" w:fill="FFFFFF"/>
          <w:lang w:val="en-US" w:eastAsia="zh-CN" w:bidi="ar-SA"/>
        </w:rPr>
      </w:pPr>
      <w:r>
        <w:rPr>
          <w:rFonts w:hint="eastAsia" w:ascii="楷体" w:hAnsi="楷体" w:eastAsia="楷体" w:cs="楷体"/>
          <w:b/>
          <w:bCs/>
          <w:i w:val="0"/>
          <w:iCs w:val="0"/>
          <w:caps w:val="0"/>
          <w:color w:val="000000"/>
          <w:spacing w:val="0"/>
          <w:kern w:val="2"/>
          <w:sz w:val="32"/>
          <w:szCs w:val="32"/>
          <w:shd w:val="clear" w:color="auto" w:fill="FFFFFF"/>
          <w:lang w:val="en-US" w:eastAsia="zh-CN" w:bidi="ar-SA"/>
        </w:rPr>
        <w:t>（三）决算草案编制方面</w:t>
      </w:r>
    </w:p>
    <w:p w14:paraId="02CFEAB2">
      <w:pPr>
        <w:pStyle w:val="6"/>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640" w:firstLineChars="200"/>
        <w:jc w:val="both"/>
        <w:textAlignment w:val="auto"/>
        <w:rPr>
          <w:rFonts w:hint="default" w:ascii="楷体" w:hAnsi="楷体" w:eastAsia="楷体" w:cs="楷体"/>
          <w:b w:val="0"/>
          <w:bCs w:val="0"/>
          <w:i w:val="0"/>
          <w:iCs w:val="0"/>
          <w:caps w:val="0"/>
          <w:color w:val="auto"/>
          <w:spacing w:val="0"/>
          <w:kern w:val="2"/>
          <w:sz w:val="32"/>
          <w:szCs w:val="32"/>
          <w:highlight w:val="none"/>
          <w:shd w:val="clear" w:color="auto" w:fill="FFFFFF"/>
          <w:lang w:val="en-US" w:eastAsia="zh-CN" w:bidi="ar-SA"/>
        </w:rPr>
      </w:pPr>
      <w:r>
        <w:rPr>
          <w:rFonts w:hint="eastAsia" w:ascii="仿宋" w:hAnsi="仿宋" w:eastAsia="仿宋" w:cs="仿宋"/>
          <w:b w:val="0"/>
          <w:bCs w:val="0"/>
          <w:i w:val="0"/>
          <w:iCs w:val="0"/>
          <w:caps w:val="0"/>
          <w:color w:val="auto"/>
          <w:spacing w:val="0"/>
          <w:sz w:val="32"/>
          <w:szCs w:val="32"/>
          <w:highlight w:val="none"/>
          <w:shd w:val="clear" w:color="auto" w:fill="FFFFFF"/>
          <w:lang w:val="en-US" w:eastAsia="zh-CN"/>
        </w:rPr>
        <w:t>应缴未缴财政收入问题。整改完成。</w:t>
      </w:r>
      <w:r>
        <w:rPr>
          <w:rFonts w:hint="eastAsia" w:ascii="仿宋" w:hAnsi="仿宋" w:eastAsia="仿宋" w:cs="仿宋"/>
          <w:b w:val="0"/>
          <w:bCs w:val="0"/>
          <w:color w:val="auto"/>
          <w:kern w:val="0"/>
          <w:sz w:val="32"/>
          <w:szCs w:val="32"/>
          <w:highlight w:val="none"/>
          <w:lang w:val="en-US" w:eastAsia="zh-CN" w:bidi="ar-SA"/>
        </w:rPr>
        <w:t>滦州市非税收入中心应缴财政款于审计期间</w:t>
      </w:r>
      <w:r>
        <w:rPr>
          <w:rFonts w:hint="eastAsia" w:ascii="仿宋" w:hAnsi="仿宋" w:eastAsia="仿宋" w:cs="仿宋"/>
          <w:b w:val="0"/>
          <w:bCs w:val="0"/>
          <w:i w:val="0"/>
          <w:iCs w:val="0"/>
          <w:caps w:val="0"/>
          <w:color w:val="auto"/>
          <w:spacing w:val="0"/>
          <w:kern w:val="2"/>
          <w:sz w:val="32"/>
          <w:szCs w:val="32"/>
          <w:shd w:val="clear" w:color="auto" w:fill="FFFFFF"/>
          <w:lang w:val="en-US" w:eastAsia="zh-CN" w:bidi="ar-SA"/>
        </w:rPr>
        <w:t>上缴财政</w:t>
      </w:r>
      <w:r>
        <w:rPr>
          <w:rFonts w:hint="eastAsia" w:ascii="仿宋" w:hAnsi="仿宋" w:eastAsia="仿宋" w:cs="仿宋"/>
          <w:b w:val="0"/>
          <w:bCs w:val="0"/>
          <w:color w:val="auto"/>
          <w:kern w:val="0"/>
          <w:sz w:val="32"/>
          <w:szCs w:val="32"/>
          <w:highlight w:val="none"/>
          <w:lang w:val="en-US" w:eastAsia="zh-CN" w:bidi="ar-SA"/>
        </w:rPr>
        <w:t>。</w:t>
      </w:r>
      <w:r>
        <w:rPr>
          <w:rFonts w:hint="eastAsia" w:ascii="仿宋" w:hAnsi="仿宋" w:eastAsia="仿宋" w:cs="仿宋"/>
          <w:b w:val="0"/>
          <w:bCs w:val="0"/>
          <w:i w:val="0"/>
          <w:iCs w:val="0"/>
          <w:caps w:val="0"/>
          <w:color w:val="auto"/>
          <w:spacing w:val="0"/>
          <w:kern w:val="2"/>
          <w:sz w:val="32"/>
          <w:szCs w:val="32"/>
          <w:shd w:val="clear" w:color="auto" w:fill="FFFFFF"/>
          <w:lang w:val="en-US" w:eastAsia="zh-CN" w:bidi="ar-SA"/>
        </w:rPr>
        <w:t>中共滦州市委组织部结余人才奖补资金于2025年5月28日上缴财政。</w:t>
      </w:r>
    </w:p>
    <w:p w14:paraId="4B0B3A8C">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left="0" w:right="0" w:rightChars="0" w:firstLine="640" w:firstLineChars="200"/>
        <w:jc w:val="both"/>
        <w:textAlignment w:val="auto"/>
        <w:rPr>
          <w:rFonts w:hint="eastAsia" w:ascii="楷体" w:hAnsi="楷体" w:eastAsia="楷体" w:cs="楷体"/>
          <w:b/>
          <w:bCs/>
          <w:i w:val="0"/>
          <w:iCs w:val="0"/>
          <w:strike w:val="0"/>
          <w:dstrike w:val="0"/>
          <w:color w:val="auto"/>
          <w:kern w:val="0"/>
          <w:sz w:val="32"/>
          <w:szCs w:val="32"/>
          <w:highlight w:val="none"/>
          <w:u w:val="none"/>
          <w:lang w:val="en-US" w:eastAsia="zh-CN" w:bidi="ar-SA"/>
        </w:rPr>
      </w:pPr>
      <w:r>
        <w:rPr>
          <w:rFonts w:hint="eastAsia" w:ascii="楷体" w:hAnsi="楷体" w:eastAsia="楷体" w:cs="楷体"/>
          <w:b/>
          <w:bCs/>
          <w:i w:val="0"/>
          <w:iCs w:val="0"/>
          <w:strike w:val="0"/>
          <w:dstrike w:val="0"/>
          <w:color w:val="auto"/>
          <w:kern w:val="0"/>
          <w:sz w:val="32"/>
          <w:szCs w:val="32"/>
          <w:highlight w:val="none"/>
          <w:u w:val="none"/>
          <w:lang w:val="en-US" w:eastAsia="zh-CN" w:bidi="ar-SA"/>
        </w:rPr>
        <w:t>（四）行政事业性国有资产管理方面</w:t>
      </w:r>
    </w:p>
    <w:p w14:paraId="4BBF0976">
      <w:pPr>
        <w:pStyle w:val="9"/>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rPr>
          <w:rFonts w:hint="eastAsia" w:ascii="仿宋" w:hAnsi="仿宋" w:eastAsia="仿宋" w:cs="仿宋"/>
          <w:b w:val="0"/>
          <w:bCs w:val="0"/>
          <w:i w:val="0"/>
          <w:iCs w:val="0"/>
          <w:caps w:val="0"/>
          <w:color w:val="auto"/>
          <w:spacing w:val="0"/>
          <w:kern w:val="2"/>
          <w:sz w:val="32"/>
          <w:szCs w:val="32"/>
          <w:highlight w:val="none"/>
          <w:shd w:val="clear" w:color="auto" w:fill="FFFFFF"/>
          <w:lang w:val="en-US" w:eastAsia="zh-CN" w:bidi="ar-SA"/>
        </w:rPr>
      </w:pPr>
      <w:r>
        <w:rPr>
          <w:rFonts w:hint="eastAsia" w:ascii="仿宋" w:hAnsi="仿宋" w:eastAsia="仿宋" w:cs="仿宋"/>
          <w:b w:val="0"/>
          <w:bCs w:val="0"/>
          <w:i w:val="0"/>
          <w:iCs w:val="0"/>
          <w:strike w:val="0"/>
          <w:dstrike w:val="0"/>
          <w:color w:val="auto"/>
          <w:kern w:val="0"/>
          <w:sz w:val="32"/>
          <w:szCs w:val="32"/>
          <w:highlight w:val="none"/>
          <w:u w:val="none"/>
          <w:lang w:val="en-US" w:eastAsia="zh-CN" w:bidi="ar-SA"/>
        </w:rPr>
        <w:t>1.行政事业性国有资产数据基础薄弱问题。整改完成。</w:t>
      </w:r>
      <w:r>
        <w:rPr>
          <w:rFonts w:hint="eastAsia" w:ascii="仿宋" w:hAnsi="仿宋" w:eastAsia="仿宋" w:cs="仿宋"/>
          <w:b w:val="0"/>
          <w:bCs w:val="0"/>
          <w:color w:val="auto"/>
          <w:kern w:val="2"/>
          <w:sz w:val="32"/>
          <w:szCs w:val="32"/>
          <w:lang w:val="en-US" w:eastAsia="zh-CN" w:bidi="ar-SA"/>
        </w:rPr>
        <w:t>截至目前，2024年我市</w:t>
      </w:r>
      <w:r>
        <w:rPr>
          <w:rFonts w:hint="eastAsia" w:ascii="仿宋" w:hAnsi="仿宋" w:eastAsia="仿宋" w:cs="仿宋"/>
          <w:b w:val="0"/>
          <w:bCs w:val="0"/>
          <w:i w:val="0"/>
          <w:iCs w:val="0"/>
          <w:caps w:val="0"/>
          <w:color w:val="auto"/>
          <w:spacing w:val="0"/>
          <w:kern w:val="2"/>
          <w:sz w:val="32"/>
          <w:szCs w:val="32"/>
          <w:highlight w:val="none"/>
          <w:shd w:val="clear" w:color="auto" w:fill="FFFFFF"/>
          <w:lang w:val="en-US" w:eastAsia="zh-CN" w:bidi="ar-SA"/>
        </w:rPr>
        <w:t>填报资产数据不准确的部门已按实际情况据实修改报表，待2025年统一填报行政事业性国有资产报告时上报至资产管理系统中。</w:t>
      </w:r>
    </w:p>
    <w:p w14:paraId="2509ED12">
      <w:pPr>
        <w:pStyle w:val="9"/>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rPr>
          <w:rFonts w:hint="eastAsia" w:ascii="仿宋" w:hAnsi="仿宋" w:eastAsia="仿宋" w:cs="仿宋"/>
          <w:b w:val="0"/>
          <w:bCs w:val="0"/>
          <w:i w:val="0"/>
          <w:iCs w:val="0"/>
          <w:caps w:val="0"/>
          <w:color w:val="auto"/>
          <w:spacing w:val="0"/>
          <w:kern w:val="2"/>
          <w:sz w:val="32"/>
          <w:szCs w:val="32"/>
          <w:highlight w:val="none"/>
          <w:shd w:val="clear" w:color="auto" w:fill="FFFFFF"/>
          <w:lang w:val="en-US" w:eastAsia="zh-CN" w:bidi="ar-SA"/>
        </w:rPr>
      </w:pPr>
      <w:r>
        <w:rPr>
          <w:rFonts w:hint="eastAsia" w:ascii="仿宋" w:hAnsi="仿宋" w:eastAsia="仿宋" w:cs="仿宋"/>
          <w:b w:val="0"/>
          <w:bCs w:val="0"/>
          <w:i w:val="0"/>
          <w:iCs w:val="0"/>
          <w:caps w:val="0"/>
          <w:color w:val="auto"/>
          <w:spacing w:val="0"/>
          <w:kern w:val="2"/>
          <w:sz w:val="32"/>
          <w:szCs w:val="32"/>
          <w:highlight w:val="none"/>
          <w:shd w:val="clear" w:color="auto" w:fill="FFFFFF"/>
          <w:lang w:val="en-US" w:eastAsia="zh-CN" w:bidi="ar-SA"/>
        </w:rPr>
        <w:t>2.未及时结转固定资产问题。整改完成。滦州市</w:t>
      </w:r>
      <w:r>
        <w:rPr>
          <w:rFonts w:hint="eastAsia" w:ascii="仿宋" w:hAnsi="仿宋" w:eastAsia="仿宋" w:cs="仿宋"/>
          <w:b w:val="0"/>
          <w:bCs w:val="0"/>
          <w:color w:val="auto"/>
          <w:sz w:val="32"/>
          <w:szCs w:val="32"/>
          <w:lang w:val="en-US" w:eastAsia="zh-CN"/>
        </w:rPr>
        <w:t>住房和城乡建设局、滦州市行政审批局、滦州市城市供水中心3</w:t>
      </w:r>
      <w:r>
        <w:rPr>
          <w:rFonts w:hint="eastAsia" w:ascii="仿宋" w:hAnsi="仿宋" w:eastAsia="仿宋" w:cs="仿宋"/>
          <w:b w:val="0"/>
          <w:bCs w:val="0"/>
          <w:i w:val="0"/>
          <w:iCs w:val="0"/>
          <w:caps w:val="0"/>
          <w:color w:val="auto"/>
          <w:spacing w:val="0"/>
          <w:kern w:val="2"/>
          <w:sz w:val="32"/>
          <w:szCs w:val="32"/>
          <w:highlight w:val="none"/>
          <w:shd w:val="clear" w:color="auto" w:fill="FFFFFF"/>
          <w:lang w:val="en-US" w:eastAsia="zh-CN" w:bidi="ar-SA"/>
        </w:rPr>
        <w:t>个单位8个项目已结转固定资产。</w:t>
      </w:r>
    </w:p>
    <w:p w14:paraId="4121A4F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eastAsia" w:ascii="仿宋" w:hAnsi="仿宋" w:eastAsia="仿宋" w:cs="仿宋"/>
          <w:b w:val="0"/>
          <w:bCs w:val="0"/>
          <w:i w:val="0"/>
          <w:iCs w:val="0"/>
          <w:caps w:val="0"/>
          <w:color w:val="auto"/>
          <w:spacing w:val="0"/>
          <w:kern w:val="2"/>
          <w:sz w:val="32"/>
          <w:szCs w:val="32"/>
          <w:shd w:val="clear" w:color="auto" w:fill="FFFFFF"/>
          <w:lang w:val="en-US" w:eastAsia="zh-CN" w:bidi="ar-SA"/>
        </w:rPr>
      </w:pPr>
      <w:r>
        <w:rPr>
          <w:rFonts w:hint="eastAsia" w:ascii="仿宋" w:hAnsi="仿宋" w:eastAsia="仿宋" w:cs="仿宋"/>
          <w:b w:val="0"/>
          <w:bCs w:val="0"/>
          <w:sz w:val="32"/>
          <w:szCs w:val="32"/>
          <w:lang w:val="en-US" w:eastAsia="zh-CN"/>
        </w:rPr>
        <w:t>3.公共基础设施未按规定计提折旧问题。整改完成。</w:t>
      </w:r>
      <w:r>
        <w:rPr>
          <w:rFonts w:hint="eastAsia" w:ascii="仿宋" w:hAnsi="仿宋" w:eastAsia="仿宋" w:cs="仿宋"/>
          <w:b w:val="0"/>
          <w:bCs w:val="0"/>
          <w:i w:val="0"/>
          <w:iCs w:val="0"/>
          <w:caps w:val="0"/>
          <w:color w:val="auto"/>
          <w:spacing w:val="0"/>
          <w:kern w:val="2"/>
          <w:sz w:val="32"/>
          <w:szCs w:val="32"/>
          <w:shd w:val="clear" w:color="auto" w:fill="FFFFFF"/>
          <w:lang w:val="en-US" w:eastAsia="zh-CN" w:bidi="ar-SA"/>
        </w:rPr>
        <w:t>2024年行政事业性国有资产报告公共基础设施-市政基础设施情况表市政交通设施中道路、交通安全管理设施已按规定补提折旧。</w:t>
      </w:r>
    </w:p>
    <w:p w14:paraId="57A5FE08">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jc w:val="both"/>
        <w:rPr>
          <w:rFonts w:hint="eastAsia" w:ascii="仿宋" w:hAnsi="仿宋" w:eastAsia="仿宋" w:cs="仿宋"/>
          <w:b w:val="0"/>
          <w:bCs w:val="0"/>
          <w:i w:val="0"/>
          <w:iCs w:val="0"/>
          <w:caps w:val="0"/>
          <w:color w:val="0000FF"/>
          <w:spacing w:val="0"/>
          <w:kern w:val="2"/>
          <w:sz w:val="32"/>
          <w:szCs w:val="32"/>
          <w:highlight w:val="none"/>
          <w:shd w:val="clear" w:color="auto" w:fill="FFFFFF"/>
          <w:lang w:val="en-US" w:eastAsia="zh-CN" w:bidi="ar-SA"/>
        </w:rPr>
      </w:pPr>
      <w:r>
        <w:rPr>
          <w:rFonts w:hint="eastAsia" w:ascii="仿宋" w:hAnsi="仿宋" w:eastAsia="仿宋" w:cs="仿宋"/>
          <w:b w:val="0"/>
          <w:bCs w:val="0"/>
          <w:i w:val="0"/>
          <w:iCs w:val="0"/>
          <w:caps w:val="0"/>
          <w:color w:val="auto"/>
          <w:spacing w:val="0"/>
          <w:kern w:val="2"/>
          <w:sz w:val="32"/>
          <w:szCs w:val="32"/>
          <w:shd w:val="clear" w:color="auto" w:fill="FFFFFF"/>
          <w:lang w:val="en-US" w:eastAsia="zh-CN" w:bidi="ar-SA"/>
        </w:rPr>
        <w:t>4.</w:t>
      </w:r>
      <w:r>
        <w:rPr>
          <w:rFonts w:hint="eastAsia" w:ascii="仿宋" w:hAnsi="仿宋" w:eastAsia="仿宋" w:cs="仿宋"/>
          <w:b w:val="0"/>
          <w:bCs w:val="0"/>
          <w:i w:val="0"/>
          <w:iCs w:val="0"/>
          <w:caps w:val="0"/>
          <w:color w:val="auto"/>
          <w:spacing w:val="0"/>
          <w:kern w:val="2"/>
          <w:sz w:val="32"/>
          <w:szCs w:val="32"/>
          <w:highlight w:val="none"/>
          <w:shd w:val="clear" w:color="auto" w:fill="FFFFFF"/>
          <w:lang w:val="en-US" w:eastAsia="zh-CN" w:bidi="ar-SA"/>
        </w:rPr>
        <w:t>固定资产账实、账表不一致问题。整改完成。滦州市融媒体中心</w:t>
      </w:r>
      <w:r>
        <w:rPr>
          <w:rFonts w:hint="eastAsia" w:ascii="仿宋" w:hAnsi="仿宋" w:eastAsia="仿宋" w:cs="仿宋"/>
          <w:b w:val="0"/>
          <w:bCs w:val="0"/>
          <w:i w:val="0"/>
          <w:iCs w:val="0"/>
          <w:color w:val="auto"/>
          <w:sz w:val="32"/>
          <w:szCs w:val="32"/>
          <w:highlight w:val="none"/>
          <w:lang w:val="en-US" w:eastAsia="zh-CN"/>
        </w:rPr>
        <w:t>认真核实了相关资产数据并进行了账务调整，于2025年6月22日整改完成。</w:t>
      </w:r>
      <w:r>
        <w:rPr>
          <w:rFonts w:hint="eastAsia" w:ascii="仿宋" w:hAnsi="仿宋" w:eastAsia="仿宋" w:cs="仿宋"/>
          <w:b w:val="0"/>
          <w:bCs w:val="0"/>
          <w:i w:val="0"/>
          <w:iCs w:val="0"/>
          <w:caps w:val="0"/>
          <w:color w:val="auto"/>
          <w:spacing w:val="0"/>
          <w:kern w:val="2"/>
          <w:sz w:val="32"/>
          <w:szCs w:val="32"/>
          <w:highlight w:val="none"/>
          <w:shd w:val="clear" w:color="auto" w:fill="FFFFFF"/>
          <w:lang w:val="en-US" w:eastAsia="zh-CN" w:bidi="ar-SA"/>
        </w:rPr>
        <w:t>滦州市残疾人联合会按照相关文件要求对已处置固定资产进行了资产减少处理。</w:t>
      </w:r>
    </w:p>
    <w:p w14:paraId="552703B4">
      <w:pPr>
        <w:pStyle w:val="7"/>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rPr>
          <w:rFonts w:hint="eastAsia" w:ascii="仿宋" w:hAnsi="仿宋" w:eastAsia="仿宋" w:cs="仿宋"/>
          <w:b w:val="0"/>
          <w:bCs w:val="0"/>
          <w:i w:val="0"/>
          <w:iCs w:val="0"/>
          <w:caps w:val="0"/>
          <w:color w:val="0000FF"/>
          <w:spacing w:val="0"/>
          <w:kern w:val="2"/>
          <w:sz w:val="32"/>
          <w:szCs w:val="32"/>
          <w:shd w:val="clear" w:color="auto" w:fill="FFFFFF"/>
          <w:lang w:val="en-US" w:eastAsia="zh-CN" w:bidi="ar-SA"/>
        </w:rPr>
      </w:pPr>
      <w:r>
        <w:rPr>
          <w:rFonts w:hint="eastAsia" w:ascii="仿宋" w:hAnsi="仿宋" w:eastAsia="仿宋" w:cs="仿宋"/>
          <w:b w:val="0"/>
          <w:bCs w:val="0"/>
          <w:i w:val="0"/>
          <w:iCs w:val="0"/>
          <w:caps w:val="0"/>
          <w:color w:val="auto"/>
          <w:spacing w:val="0"/>
          <w:kern w:val="2"/>
          <w:sz w:val="32"/>
          <w:szCs w:val="32"/>
          <w:shd w:val="clear" w:color="auto" w:fill="FFFFFF"/>
          <w:lang w:val="en-US" w:eastAsia="zh-CN" w:bidi="ar-SA"/>
        </w:rPr>
        <w:t>5.固定资产长期闲置未处置问题。整改完成。</w:t>
      </w:r>
      <w:r>
        <w:rPr>
          <w:rFonts w:hint="default" w:ascii="仿宋" w:hAnsi="仿宋" w:eastAsia="仿宋" w:cs="仿宋"/>
          <w:b w:val="0"/>
          <w:bCs w:val="0"/>
          <w:i w:val="0"/>
          <w:iCs w:val="0"/>
          <w:caps w:val="0"/>
          <w:color w:val="auto"/>
          <w:spacing w:val="0"/>
          <w:kern w:val="2"/>
          <w:sz w:val="32"/>
          <w:szCs w:val="32"/>
          <w:shd w:val="clear" w:color="auto" w:fill="FFFFFF"/>
          <w:lang w:val="en-US" w:eastAsia="zh-CN" w:bidi="ar-SA"/>
        </w:rPr>
        <w:t>滦州市残疾人联合会</w:t>
      </w:r>
      <w:r>
        <w:rPr>
          <w:rFonts w:hint="eastAsia" w:ascii="仿宋" w:hAnsi="仿宋" w:eastAsia="仿宋" w:cs="仿宋"/>
          <w:b w:val="0"/>
          <w:bCs w:val="0"/>
          <w:i w:val="0"/>
          <w:iCs w:val="0"/>
          <w:caps w:val="0"/>
          <w:color w:val="auto"/>
          <w:spacing w:val="0"/>
          <w:kern w:val="2"/>
          <w:sz w:val="32"/>
          <w:szCs w:val="32"/>
          <w:shd w:val="clear" w:color="auto" w:fill="FFFFFF"/>
          <w:lang w:val="en-US" w:eastAsia="zh-CN" w:bidi="ar-SA"/>
        </w:rPr>
        <w:t>将5项</w:t>
      </w:r>
      <w:r>
        <w:rPr>
          <w:rFonts w:hint="default" w:ascii="仿宋" w:hAnsi="仿宋" w:eastAsia="仿宋" w:cs="仿宋"/>
          <w:b w:val="0"/>
          <w:bCs w:val="0"/>
          <w:i w:val="0"/>
          <w:iCs w:val="0"/>
          <w:caps w:val="0"/>
          <w:color w:val="auto"/>
          <w:spacing w:val="0"/>
          <w:kern w:val="2"/>
          <w:sz w:val="32"/>
          <w:szCs w:val="32"/>
          <w:shd w:val="clear" w:color="auto" w:fill="FFFFFF"/>
          <w:lang w:val="en-US" w:eastAsia="zh-CN" w:bidi="ar-SA"/>
        </w:rPr>
        <w:t>闲置</w:t>
      </w:r>
      <w:r>
        <w:rPr>
          <w:rFonts w:hint="eastAsia" w:ascii="仿宋" w:hAnsi="仿宋" w:eastAsia="仿宋" w:cs="仿宋"/>
          <w:b w:val="0"/>
          <w:bCs w:val="0"/>
          <w:i w:val="0"/>
          <w:iCs w:val="0"/>
          <w:caps w:val="0"/>
          <w:color w:val="auto"/>
          <w:spacing w:val="0"/>
          <w:kern w:val="2"/>
          <w:sz w:val="32"/>
          <w:szCs w:val="32"/>
          <w:shd w:val="clear" w:color="auto" w:fill="FFFFFF"/>
          <w:lang w:val="en-US" w:eastAsia="zh-CN" w:bidi="ar-SA"/>
        </w:rPr>
        <w:t>资产报经国资部门审批后进行了处置。</w:t>
      </w:r>
    </w:p>
    <w:p w14:paraId="58EA247B">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left="0" w:right="0" w:rightChars="0" w:firstLine="640" w:firstLineChars="200"/>
        <w:jc w:val="both"/>
        <w:textAlignment w:val="auto"/>
        <w:rPr>
          <w:rFonts w:hint="default" w:ascii="楷体" w:hAnsi="楷体" w:eastAsia="楷体" w:cs="楷体"/>
          <w:b/>
          <w:bCs/>
          <w:i w:val="0"/>
          <w:iCs w:val="0"/>
          <w:strike w:val="0"/>
          <w:dstrike w:val="0"/>
          <w:color w:val="auto"/>
          <w:kern w:val="0"/>
          <w:sz w:val="32"/>
          <w:szCs w:val="32"/>
          <w:highlight w:val="none"/>
          <w:u w:val="none"/>
          <w:lang w:val="en-US" w:eastAsia="zh-CN" w:bidi="ar-SA"/>
        </w:rPr>
      </w:pPr>
      <w:r>
        <w:rPr>
          <w:rFonts w:hint="eastAsia" w:ascii="楷体" w:hAnsi="楷体" w:eastAsia="楷体" w:cs="楷体"/>
          <w:b/>
          <w:bCs/>
          <w:i w:val="0"/>
          <w:iCs w:val="0"/>
          <w:strike w:val="0"/>
          <w:dstrike w:val="0"/>
          <w:color w:val="auto"/>
          <w:kern w:val="0"/>
          <w:sz w:val="32"/>
          <w:szCs w:val="32"/>
          <w:highlight w:val="none"/>
          <w:u w:val="none"/>
          <w:lang w:val="en-US" w:eastAsia="zh-CN" w:bidi="ar-SA"/>
        </w:rPr>
        <w:t>（五）会计基础管理方面</w:t>
      </w:r>
    </w:p>
    <w:p w14:paraId="390F61DD">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left="0" w:right="0" w:rightChars="0" w:firstLine="640" w:firstLineChars="200"/>
        <w:jc w:val="both"/>
        <w:textAlignment w:val="auto"/>
        <w:rPr>
          <w:rFonts w:hint="default" w:ascii="仿宋" w:hAnsi="仿宋" w:eastAsia="仿宋" w:cs="仿宋"/>
          <w:b w:val="0"/>
          <w:bCs w:val="0"/>
          <w:i w:val="0"/>
          <w:iCs w:val="0"/>
          <w:caps w:val="0"/>
          <w:color w:val="auto"/>
          <w:spacing w:val="0"/>
          <w:kern w:val="2"/>
          <w:sz w:val="32"/>
          <w:szCs w:val="32"/>
          <w:shd w:val="clear" w:color="auto" w:fill="FFFFFF"/>
          <w:lang w:val="en-US" w:eastAsia="zh-CN" w:bidi="ar-SA"/>
        </w:rPr>
      </w:pPr>
      <w:r>
        <w:rPr>
          <w:rFonts w:hint="eastAsia" w:ascii="仿宋" w:hAnsi="仿宋" w:eastAsia="仿宋" w:cs="仿宋"/>
          <w:b w:val="0"/>
          <w:bCs w:val="0"/>
          <w:i w:val="0"/>
          <w:iCs w:val="0"/>
          <w:caps w:val="0"/>
          <w:color w:val="auto"/>
          <w:spacing w:val="0"/>
          <w:kern w:val="2"/>
          <w:sz w:val="32"/>
          <w:szCs w:val="32"/>
          <w:shd w:val="clear" w:color="auto" w:fill="FFFFFF"/>
          <w:lang w:val="en-US" w:eastAsia="zh-CN" w:bidi="ar-SA"/>
        </w:rPr>
        <w:t>1.会计核算不规范，会计信息失真问题。整改完成。2024年，滦州市融媒体中心“其他应交税费--应缴个人所得税”科目已于2025年9月12日调整完成。滦州市残疾人联合会在审计查出问题后，强化对财务人员培训与责任落实，严格执行会计核算制度，坚决杜绝滞后记账行为，保障会计核算的及时性与准确性。</w:t>
      </w:r>
    </w:p>
    <w:p w14:paraId="5AE84233">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left="0" w:right="0" w:rightChars="0" w:firstLine="640" w:firstLineChars="200"/>
        <w:jc w:val="both"/>
        <w:textAlignment w:val="auto"/>
        <w:rPr>
          <w:rFonts w:hint="default" w:ascii="仿宋" w:hAnsi="仿宋" w:eastAsia="仿宋" w:cs="仿宋"/>
          <w:b w:val="0"/>
          <w:bCs w:val="0"/>
          <w:i w:val="0"/>
          <w:iCs w:val="0"/>
          <w:caps w:val="0"/>
          <w:color w:val="auto"/>
          <w:spacing w:val="0"/>
          <w:kern w:val="2"/>
          <w:sz w:val="32"/>
          <w:szCs w:val="32"/>
          <w:shd w:val="clear" w:color="auto" w:fill="FFFFFF"/>
          <w:lang w:val="en-US" w:eastAsia="zh-CN" w:bidi="ar-SA"/>
        </w:rPr>
      </w:pPr>
      <w:r>
        <w:rPr>
          <w:rFonts w:hint="eastAsia" w:ascii="仿宋" w:hAnsi="仿宋" w:eastAsia="仿宋" w:cs="仿宋"/>
          <w:b w:val="0"/>
          <w:bCs w:val="0"/>
          <w:i w:val="0"/>
          <w:iCs w:val="0"/>
          <w:caps w:val="0"/>
          <w:color w:val="auto"/>
          <w:spacing w:val="0"/>
          <w:kern w:val="2"/>
          <w:sz w:val="32"/>
          <w:szCs w:val="32"/>
          <w:shd w:val="clear" w:color="auto" w:fill="FFFFFF"/>
          <w:lang w:val="en-US" w:eastAsia="zh-CN" w:bidi="ar-SA"/>
        </w:rPr>
        <w:t>2.原始凭证不齐全问题。整改完成。中共滦州市委组织部及</w:t>
      </w:r>
      <w:r>
        <w:rPr>
          <w:rFonts w:hint="default" w:ascii="仿宋" w:hAnsi="仿宋" w:eastAsia="仿宋" w:cs="仿宋"/>
          <w:b w:val="0"/>
          <w:bCs w:val="0"/>
          <w:i w:val="0"/>
          <w:iCs w:val="0"/>
          <w:strike w:val="0"/>
          <w:dstrike w:val="0"/>
          <w:color w:val="auto"/>
          <w:kern w:val="0"/>
          <w:sz w:val="32"/>
          <w:szCs w:val="32"/>
          <w:highlight w:val="none"/>
          <w:u w:val="none"/>
          <w:lang w:val="en-US" w:eastAsia="zh-CN" w:bidi="ar-SA"/>
        </w:rPr>
        <w:t>中共</w:t>
      </w:r>
      <w:r>
        <w:rPr>
          <w:rFonts w:hint="eastAsia" w:ascii="仿宋" w:hAnsi="仿宋" w:eastAsia="仿宋" w:cs="仿宋"/>
          <w:b w:val="0"/>
          <w:bCs w:val="0"/>
          <w:i w:val="0"/>
          <w:iCs w:val="0"/>
          <w:caps w:val="0"/>
          <w:color w:val="auto"/>
          <w:spacing w:val="0"/>
          <w:kern w:val="2"/>
          <w:sz w:val="32"/>
          <w:szCs w:val="32"/>
          <w:shd w:val="clear" w:color="auto" w:fill="FFFFFF"/>
          <w:lang w:val="en-US" w:eastAsia="zh-CN" w:bidi="ar-SA"/>
        </w:rPr>
        <w:t>滦州市委党校已将缺少的附件、银行回执、租车合同等补充完整。</w:t>
      </w:r>
    </w:p>
    <w:p w14:paraId="60D97FC1">
      <w:pPr>
        <w:pStyle w:val="9"/>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left="0" w:leftChars="0" w:right="0" w:rightChars="0" w:firstLine="640" w:firstLineChars="200"/>
        <w:jc w:val="both"/>
        <w:textAlignment w:val="auto"/>
        <w:rPr>
          <w:rFonts w:hint="eastAsia" w:ascii="楷体" w:hAnsi="楷体" w:eastAsia="楷体" w:cs="楷体"/>
          <w:b/>
          <w:bCs/>
          <w:i w:val="0"/>
          <w:iCs w:val="0"/>
          <w:strike w:val="0"/>
          <w:dstrike w:val="0"/>
          <w:color w:val="auto"/>
          <w:kern w:val="0"/>
          <w:sz w:val="32"/>
          <w:szCs w:val="32"/>
          <w:highlight w:val="none"/>
          <w:u w:val="none"/>
          <w:lang w:val="en-US" w:eastAsia="zh-CN" w:bidi="ar-SA"/>
        </w:rPr>
      </w:pPr>
      <w:r>
        <w:rPr>
          <w:rFonts w:hint="eastAsia" w:ascii="楷体" w:hAnsi="楷体" w:eastAsia="楷体" w:cs="楷体"/>
          <w:b/>
          <w:bCs/>
          <w:i w:val="0"/>
          <w:iCs w:val="0"/>
          <w:strike w:val="0"/>
          <w:dstrike w:val="0"/>
          <w:color w:val="auto"/>
          <w:kern w:val="0"/>
          <w:sz w:val="32"/>
          <w:szCs w:val="32"/>
          <w:lang w:val="en-US" w:eastAsia="zh-CN" w:bidi="ar-SA"/>
        </w:rPr>
        <w:t>（六）</w:t>
      </w:r>
      <w:r>
        <w:rPr>
          <w:rFonts w:hint="eastAsia" w:ascii="楷体" w:hAnsi="楷体" w:eastAsia="楷体" w:cs="楷体"/>
          <w:b/>
          <w:bCs/>
          <w:i w:val="0"/>
          <w:iCs w:val="0"/>
          <w:strike w:val="0"/>
          <w:dstrike w:val="0"/>
          <w:color w:val="auto"/>
          <w:kern w:val="0"/>
          <w:sz w:val="32"/>
          <w:szCs w:val="32"/>
          <w:highlight w:val="none"/>
          <w:u w:val="none"/>
          <w:lang w:val="en-US" w:eastAsia="zh-CN" w:bidi="ar-SA"/>
        </w:rPr>
        <w:t>内部控制制度落实方面</w:t>
      </w:r>
    </w:p>
    <w:p w14:paraId="74B81C0F">
      <w:pPr>
        <w:pStyle w:val="9"/>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rPr>
          <w:rFonts w:hint="default" w:ascii="仿宋" w:hAnsi="仿宋" w:eastAsia="仿宋" w:cs="仿宋"/>
          <w:b w:val="0"/>
          <w:bCs w:val="0"/>
          <w:i w:val="0"/>
          <w:iCs w:val="0"/>
          <w:caps w:val="0"/>
          <w:color w:val="0000FF"/>
          <w:spacing w:val="0"/>
          <w:kern w:val="2"/>
          <w:sz w:val="32"/>
          <w:szCs w:val="32"/>
          <w:shd w:val="clear" w:color="auto" w:fill="FFFFFF"/>
          <w:lang w:val="en-US" w:eastAsia="zh-CN" w:bidi="ar-SA"/>
        </w:rPr>
      </w:pPr>
      <w:r>
        <w:rPr>
          <w:rFonts w:hint="eastAsia" w:ascii="仿宋" w:hAnsi="仿宋" w:eastAsia="仿宋" w:cs="仿宋"/>
          <w:b w:val="0"/>
          <w:bCs w:val="0"/>
          <w:i w:val="0"/>
          <w:iCs w:val="0"/>
          <w:strike w:val="0"/>
          <w:dstrike w:val="0"/>
          <w:color w:val="auto"/>
          <w:kern w:val="0"/>
          <w:sz w:val="32"/>
          <w:szCs w:val="32"/>
          <w:highlight w:val="none"/>
          <w:u w:val="none"/>
          <w:lang w:val="en-US" w:eastAsia="zh-CN" w:bidi="ar-SA"/>
        </w:rPr>
        <w:t>物资采购验收环节不规范问题。整改完成。</w:t>
      </w:r>
      <w:r>
        <w:rPr>
          <w:rFonts w:hint="default" w:ascii="仿宋" w:hAnsi="仿宋" w:eastAsia="仿宋" w:cs="仿宋"/>
          <w:b w:val="0"/>
          <w:bCs w:val="0"/>
          <w:i w:val="0"/>
          <w:iCs w:val="0"/>
          <w:caps w:val="0"/>
          <w:color w:val="auto"/>
          <w:spacing w:val="0"/>
          <w:kern w:val="2"/>
          <w:sz w:val="32"/>
          <w:szCs w:val="32"/>
          <w:shd w:val="clear" w:color="auto" w:fill="FFFFFF"/>
          <w:lang w:val="en-US" w:eastAsia="zh-CN" w:bidi="ar-SA"/>
        </w:rPr>
        <w:t>中共滦州市委组织部</w:t>
      </w:r>
      <w:r>
        <w:rPr>
          <w:rFonts w:hint="eastAsia" w:ascii="仿宋" w:hAnsi="仿宋" w:eastAsia="仿宋" w:cs="仿宋"/>
          <w:b w:val="0"/>
          <w:bCs w:val="0"/>
          <w:i w:val="0"/>
          <w:iCs w:val="0"/>
          <w:caps w:val="0"/>
          <w:color w:val="auto"/>
          <w:spacing w:val="0"/>
          <w:kern w:val="2"/>
          <w:sz w:val="32"/>
          <w:szCs w:val="32"/>
          <w:shd w:val="clear" w:color="auto" w:fill="FFFFFF"/>
          <w:lang w:val="en-US" w:eastAsia="zh-CN" w:bidi="ar-SA"/>
        </w:rPr>
        <w:t>及滦州市残疾人联合会已立行立改，全面补充完善验收资料，确保验收程序合规、签字齐全、结论明确。下一步，将严格执行政府采购内控制度，压实验收责任，强化关键环节监督，并组织开展业务培训，切实杜绝此类问题再次发生。</w:t>
      </w:r>
    </w:p>
    <w:p w14:paraId="020D9C0F">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left="0" w:right="0" w:rightChars="0" w:firstLine="640" w:firstLineChars="200"/>
        <w:jc w:val="both"/>
        <w:textAlignment w:val="auto"/>
        <w:rPr>
          <w:rFonts w:hint="default" w:ascii="楷体" w:hAnsi="楷体" w:eastAsia="楷体" w:cs="楷体"/>
          <w:b/>
          <w:bCs/>
          <w:i w:val="0"/>
          <w:iCs w:val="0"/>
          <w:strike w:val="0"/>
          <w:dstrike w:val="0"/>
          <w:color w:val="auto"/>
          <w:kern w:val="0"/>
          <w:sz w:val="32"/>
          <w:szCs w:val="32"/>
          <w:highlight w:val="none"/>
          <w:u w:val="none"/>
          <w:lang w:val="en-US" w:eastAsia="zh-CN" w:bidi="ar-SA"/>
        </w:rPr>
      </w:pPr>
      <w:r>
        <w:rPr>
          <w:rFonts w:hint="eastAsia" w:ascii="楷体" w:hAnsi="楷体" w:eastAsia="楷体" w:cs="楷体"/>
          <w:b/>
          <w:bCs/>
          <w:i w:val="0"/>
          <w:iCs w:val="0"/>
          <w:strike w:val="0"/>
          <w:dstrike w:val="0"/>
          <w:color w:val="auto"/>
          <w:kern w:val="0"/>
          <w:sz w:val="32"/>
          <w:szCs w:val="32"/>
          <w:highlight w:val="none"/>
          <w:u w:val="none"/>
          <w:lang w:val="en-US" w:eastAsia="zh-CN" w:bidi="ar-SA"/>
        </w:rPr>
        <w:t>（七）以前年度审计发现问题整改落实方面</w:t>
      </w:r>
    </w:p>
    <w:p w14:paraId="68787177">
      <w:pPr>
        <w:keepNext w:val="0"/>
        <w:keepLines w:val="0"/>
        <w:pageBreakBefore w:val="0"/>
        <w:widowControl w:val="0"/>
        <w:kinsoku/>
        <w:wordWrap/>
        <w:overflowPunct/>
        <w:topLinePunct w:val="0"/>
        <w:autoSpaceDE/>
        <w:autoSpaceDN/>
        <w:bidi w:val="0"/>
        <w:adjustRightInd/>
        <w:snapToGrid/>
        <w:spacing w:line="540" w:lineRule="exact"/>
        <w:ind w:right="0" w:rightChars="0" w:firstLine="604"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color w:val="auto"/>
          <w:spacing w:val="-9"/>
          <w:kern w:val="2"/>
          <w:sz w:val="32"/>
          <w:szCs w:val="32"/>
          <w:lang w:val="en-US" w:eastAsia="zh-CN" w:bidi="ar-SA"/>
        </w:rPr>
        <w:t>截至目前，滦州市人民医院古城院区标准化建设项目由于尚未完工，资金未全部支付完毕。正在整改。下一步，责任单位将加快项目实施进度，尽快支出剩余债券资金。</w:t>
      </w:r>
    </w:p>
    <w:p w14:paraId="261AAB2F">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rPr>
          <w:rFonts w:hint="eastAsia" w:ascii="黑体" w:hAnsi="黑体" w:eastAsia="黑体" w:cs="黑体"/>
          <w:b w:val="0"/>
          <w:bCs w:val="0"/>
          <w:i w:val="0"/>
          <w:iCs w:val="0"/>
          <w:caps w:val="0"/>
          <w:color w:val="000000"/>
          <w:spacing w:val="0"/>
          <w:kern w:val="2"/>
          <w:sz w:val="32"/>
          <w:szCs w:val="32"/>
          <w:shd w:val="clear" w:color="auto" w:fill="FFFFFF"/>
          <w:lang w:val="en-US" w:eastAsia="zh-CN" w:bidi="ar-SA"/>
        </w:rPr>
      </w:pPr>
      <w:r>
        <w:rPr>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三、下步工作安排</w:t>
      </w:r>
    </w:p>
    <w:p w14:paraId="50B2D93D">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我们将持续深化审计整改跟踪督办机制，将整改落实与审计实施同部署、同推进。</w:t>
      </w:r>
      <w:r>
        <w:rPr>
          <w:rFonts w:hint="eastAsia" w:ascii="仿宋" w:hAnsi="仿宋" w:eastAsia="仿宋" w:cs="仿宋"/>
          <w:b/>
          <w:bCs/>
          <w:color w:val="auto"/>
          <w:sz w:val="32"/>
          <w:szCs w:val="32"/>
          <w:highlight w:val="none"/>
          <w:lang w:val="en-US" w:eastAsia="zh-CN"/>
        </w:rPr>
        <w:t>一是进一步压实整改责任。</w:t>
      </w:r>
      <w:r>
        <w:rPr>
          <w:rFonts w:hint="eastAsia" w:ascii="仿宋" w:hAnsi="仿宋" w:eastAsia="仿宋" w:cs="仿宋"/>
          <w:color w:val="auto"/>
          <w:sz w:val="32"/>
          <w:szCs w:val="32"/>
          <w:highlight w:val="none"/>
          <w:lang w:val="en-US" w:eastAsia="zh-CN"/>
        </w:rPr>
        <w:t>对未按期整改到位的事项一盯到底，精准提出可操作、见实效的整改路径，分阶段、分步骤有序推动整改落实，确保真改实改。</w:t>
      </w:r>
      <w:r>
        <w:rPr>
          <w:rFonts w:hint="eastAsia" w:ascii="仿宋" w:hAnsi="仿宋" w:eastAsia="仿宋" w:cs="仿宋"/>
          <w:b/>
          <w:bCs/>
          <w:color w:val="auto"/>
          <w:sz w:val="32"/>
          <w:szCs w:val="32"/>
          <w:highlight w:val="none"/>
          <w:lang w:val="en-US" w:eastAsia="zh-CN"/>
        </w:rPr>
        <w:t>二是进一步做好举一反三。</w:t>
      </w:r>
      <w:r>
        <w:rPr>
          <w:rFonts w:hint="eastAsia" w:ascii="仿宋" w:hAnsi="仿宋" w:eastAsia="仿宋" w:cs="仿宋"/>
          <w:color w:val="auto"/>
          <w:sz w:val="32"/>
          <w:szCs w:val="32"/>
          <w:highlight w:val="none"/>
          <w:lang w:val="en-US" w:eastAsia="zh-CN"/>
        </w:rPr>
        <w:t>立足于“治已病”和“防未病”，进一步完善审计整改全程监督机制，深入分析反复出现、经常发生问题产生的体制机制障碍，及时完善制度、堵塞漏洞、加强监管，推动被审计单位做到边审边改、即知即改、彻底整改。</w:t>
      </w:r>
      <w:r>
        <w:rPr>
          <w:rFonts w:hint="eastAsia" w:ascii="仿宋" w:hAnsi="仿宋" w:eastAsia="仿宋" w:cs="仿宋"/>
          <w:b/>
          <w:bCs/>
          <w:color w:val="auto"/>
          <w:sz w:val="32"/>
          <w:szCs w:val="32"/>
          <w:highlight w:val="none"/>
          <w:lang w:val="en-US" w:eastAsia="zh-CN"/>
        </w:rPr>
        <w:t>三是进一步用好问责利器。</w:t>
      </w:r>
      <w:r>
        <w:rPr>
          <w:rFonts w:hint="eastAsia" w:ascii="仿宋" w:hAnsi="仿宋" w:eastAsia="仿宋" w:cs="仿宋"/>
          <w:color w:val="auto"/>
          <w:sz w:val="32"/>
          <w:szCs w:val="32"/>
          <w:highlight w:val="none"/>
          <w:lang w:val="en-US" w:eastAsia="zh-CN"/>
        </w:rPr>
        <w:t>坚持失责必问、问责必严，对整改过程中存在的推诿塞责、敷衍应付、虚假整改甚至屡审屡犯等行为，依规运用督查、约谈、问责等方式严肃处理，切实增强审计的严肃性与权威性。</w:t>
      </w:r>
    </w:p>
    <w:p w14:paraId="290A188B">
      <w:pPr>
        <w:pStyle w:val="16"/>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color w:val="auto"/>
          <w:sz w:val="32"/>
          <w:szCs w:val="32"/>
          <w:highlight w:val="none"/>
          <w:lang w:val="en-US" w:eastAsia="zh-CN"/>
        </w:rPr>
        <w:t>审计是党和国家监督体系的重要组成部分，做好审计整改是提升监督效能的根本保证。今后工作中，我们将在市人大的有力监督和指导下，深入贯彻中办、国办《关于建立健全审计查出问题整改长效机制的意见》精神，持续加大问题整改跟踪督办力度，</w:t>
      </w:r>
      <w:r>
        <w:rPr>
          <w:rFonts w:hint="eastAsia" w:ascii="仿宋" w:hAnsi="仿宋" w:eastAsia="仿宋" w:cs="仿宋"/>
          <w:kern w:val="2"/>
          <w:sz w:val="32"/>
          <w:szCs w:val="32"/>
          <w:lang w:val="en-US" w:eastAsia="zh-CN" w:bidi="ar-SA"/>
        </w:rPr>
        <w:t>推动“查改联动、破立并举”落到实处，切实提升整改的合规性和实效性，为我市规范财经秩序、提高财政资金使用效益和管理水平提供坚实支撑。</w:t>
      </w:r>
    </w:p>
    <w:sectPr>
      <w:headerReference r:id="rId3" w:type="default"/>
      <w:footerReference r:id="rId4" w:type="default"/>
      <w:pgSz w:w="11906" w:h="16838"/>
      <w:pgMar w:top="1531" w:right="1531" w:bottom="1531" w:left="1531" w:header="851" w:footer="992" w:gutter="0"/>
      <w:pgNumType w:fmt="decimal"/>
      <w:cols w:space="0" w:num="1"/>
      <w:rtlGutter w:val="0"/>
      <w:docGrid w:type="linesAndChars" w:linePitch="579" w:charSpace="12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1"/>
    <w:family w:val="auto"/>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C6A81">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15D55D">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515D55D">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A0E08">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mNTYxNTFjMzdiYzE2OGYxM2M5ODg5MDk3N2UyNjQifQ=="/>
  </w:docVars>
  <w:rsids>
    <w:rsidRoot w:val="159D5868"/>
    <w:rsid w:val="05290F57"/>
    <w:rsid w:val="05597976"/>
    <w:rsid w:val="068715C6"/>
    <w:rsid w:val="074B67B4"/>
    <w:rsid w:val="080A1514"/>
    <w:rsid w:val="0AC3291A"/>
    <w:rsid w:val="0CC73303"/>
    <w:rsid w:val="108B19EC"/>
    <w:rsid w:val="148F4A75"/>
    <w:rsid w:val="159D5868"/>
    <w:rsid w:val="190A11D6"/>
    <w:rsid w:val="190B4275"/>
    <w:rsid w:val="1A133624"/>
    <w:rsid w:val="1AD83990"/>
    <w:rsid w:val="1BD20FAF"/>
    <w:rsid w:val="1D4D7911"/>
    <w:rsid w:val="1D5A7C0F"/>
    <w:rsid w:val="1D6F0180"/>
    <w:rsid w:val="2130749E"/>
    <w:rsid w:val="22D9135B"/>
    <w:rsid w:val="23E5683C"/>
    <w:rsid w:val="24DC45D7"/>
    <w:rsid w:val="257F7D90"/>
    <w:rsid w:val="27054F28"/>
    <w:rsid w:val="281345F2"/>
    <w:rsid w:val="297E7B81"/>
    <w:rsid w:val="2A295206"/>
    <w:rsid w:val="3005243D"/>
    <w:rsid w:val="31BB78C4"/>
    <w:rsid w:val="3633360B"/>
    <w:rsid w:val="36D27707"/>
    <w:rsid w:val="3E766D3B"/>
    <w:rsid w:val="423713AF"/>
    <w:rsid w:val="42611474"/>
    <w:rsid w:val="457F7E36"/>
    <w:rsid w:val="47BA6EFB"/>
    <w:rsid w:val="48064CD8"/>
    <w:rsid w:val="493913D0"/>
    <w:rsid w:val="4BE129F6"/>
    <w:rsid w:val="523E5889"/>
    <w:rsid w:val="53AE1C73"/>
    <w:rsid w:val="57537C84"/>
    <w:rsid w:val="57E20B09"/>
    <w:rsid w:val="5A614545"/>
    <w:rsid w:val="5DAA2825"/>
    <w:rsid w:val="61363955"/>
    <w:rsid w:val="630C7063"/>
    <w:rsid w:val="664A0030"/>
    <w:rsid w:val="67FD6FF9"/>
    <w:rsid w:val="68961786"/>
    <w:rsid w:val="6A405F3E"/>
    <w:rsid w:val="6C8E56EF"/>
    <w:rsid w:val="6DFF395A"/>
    <w:rsid w:val="6E0C43BB"/>
    <w:rsid w:val="6E9A19C7"/>
    <w:rsid w:val="709F0A11"/>
    <w:rsid w:val="71C836D8"/>
    <w:rsid w:val="720376CA"/>
    <w:rsid w:val="75265D63"/>
    <w:rsid w:val="75DD3CDC"/>
    <w:rsid w:val="78015D4B"/>
    <w:rsid w:val="78243CB4"/>
    <w:rsid w:val="788B5A5B"/>
    <w:rsid w:val="78C674C3"/>
    <w:rsid w:val="79E851C0"/>
    <w:rsid w:val="7B98709D"/>
    <w:rsid w:val="7BE14791"/>
    <w:rsid w:val="7D755AD9"/>
    <w:rsid w:val="7E562730"/>
    <w:rsid w:val="7F606D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1"/>
    <w:qFormat/>
    <w:uiPriority w:val="0"/>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footnote text"/>
    <w:basedOn w:val="1"/>
    <w:next w:val="7"/>
    <w:qFormat/>
    <w:uiPriority w:val="0"/>
    <w:pPr>
      <w:snapToGrid w:val="0"/>
      <w:jc w:val="left"/>
    </w:pPr>
    <w:rPr>
      <w:sz w:val="18"/>
      <w:szCs w:val="18"/>
    </w:rPr>
  </w:style>
  <w:style w:type="paragraph" w:customStyle="1" w:styleId="7">
    <w:name w:val="Body Text First Indent 21"/>
    <w:basedOn w:val="8"/>
    <w:qFormat/>
    <w:uiPriority w:val="0"/>
    <w:pPr>
      <w:adjustRightInd w:val="0"/>
      <w:spacing w:line="312" w:lineRule="atLeast"/>
      <w:ind w:firstLine="420" w:firstLineChars="200"/>
      <w:textAlignment w:val="baseline"/>
    </w:pPr>
    <w:rPr>
      <w:rFonts w:ascii="仿宋_GB2312" w:eastAsia="仿宋_GB2312"/>
      <w:color w:val="auto"/>
      <w:kern w:val="0"/>
      <w:sz w:val="32"/>
      <w:szCs w:val="20"/>
    </w:rPr>
  </w:style>
  <w:style w:type="paragraph" w:customStyle="1" w:styleId="8">
    <w:name w:val="Body Text Indent1"/>
    <w:basedOn w:val="1"/>
    <w:qFormat/>
    <w:uiPriority w:val="0"/>
    <w:pPr>
      <w:ind w:firstLine="630"/>
    </w:pPr>
    <w:rPr>
      <w:rFonts w:ascii="仿宋_GB2312" w:eastAsia="仿宋_GB2312"/>
      <w:sz w:val="32"/>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0">
    <w:name w:val="Title"/>
    <w:basedOn w:val="1"/>
    <w:next w:val="1"/>
    <w:qFormat/>
    <w:uiPriority w:val="0"/>
    <w:pPr>
      <w:jc w:val="center"/>
      <w:outlineLvl w:val="0"/>
    </w:pPr>
    <w:rPr>
      <w:rFonts w:ascii="Cambria" w:hAnsi="Cambria" w:cs="Times New Roman"/>
      <w:b/>
      <w:bCs/>
      <w:sz w:val="32"/>
      <w:szCs w:val="32"/>
    </w:rPr>
  </w:style>
  <w:style w:type="character" w:styleId="13">
    <w:name w:val="page number"/>
    <w:basedOn w:val="12"/>
    <w:qFormat/>
    <w:uiPriority w:val="0"/>
  </w:style>
  <w:style w:type="paragraph" w:customStyle="1" w:styleId="14">
    <w:name w:val="正文部分 Char Char Char"/>
    <w:basedOn w:val="3"/>
    <w:next w:val="15"/>
    <w:qFormat/>
    <w:uiPriority w:val="0"/>
    <w:pPr>
      <w:adjustRightInd w:val="0"/>
      <w:snapToGrid w:val="0"/>
      <w:spacing w:line="460" w:lineRule="exact"/>
      <w:textAlignment w:val="baseline"/>
    </w:pPr>
    <w:rPr>
      <w:rFonts w:hAnsi="Calibri" w:eastAsia="仿宋_GB2312"/>
    </w:rPr>
  </w:style>
  <w:style w:type="paragraph" w:customStyle="1" w:styleId="15">
    <w:name w:val="章标题"/>
    <w:basedOn w:val="10"/>
    <w:qFormat/>
    <w:uiPriority w:val="0"/>
    <w:pPr>
      <w:spacing w:line="360" w:lineRule="auto"/>
    </w:pPr>
    <w:rPr>
      <w:kern w:val="0"/>
      <w:sz w:val="21"/>
    </w:rPr>
  </w:style>
  <w:style w:type="paragraph" w:customStyle="1" w:styleId="16">
    <w:name w:val="Body Text First Indent 2"/>
    <w:basedOn w:val="17"/>
    <w:qFormat/>
    <w:uiPriority w:val="0"/>
    <w:pPr>
      <w:adjustRightInd w:val="0"/>
      <w:spacing w:line="312" w:lineRule="atLeast"/>
      <w:ind w:firstLine="420" w:firstLineChars="200"/>
      <w:textAlignment w:val="baseline"/>
    </w:pPr>
    <w:rPr>
      <w:rFonts w:ascii="仿宋_GB2312" w:eastAsia="仿宋_GB2312"/>
      <w:color w:val="auto"/>
      <w:kern w:val="0"/>
      <w:sz w:val="32"/>
      <w:szCs w:val="20"/>
    </w:rPr>
  </w:style>
  <w:style w:type="paragraph" w:customStyle="1" w:styleId="17">
    <w:name w:val="Body Text Indent"/>
    <w:basedOn w:val="1"/>
    <w:qFormat/>
    <w:uiPriority w:val="0"/>
    <w:pPr>
      <w:ind w:firstLine="630"/>
    </w:pPr>
    <w:rPr>
      <w:rFonts w:ascii="仿宋_GB2312" w:eastAsia="仿宋_GB2312"/>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2615</Words>
  <Characters>2700</Characters>
  <Lines>0</Lines>
  <Paragraphs>0</Paragraphs>
  <TotalTime>5</TotalTime>
  <ScaleCrop>false</ScaleCrop>
  <LinksUpToDate>false</LinksUpToDate>
  <CharactersWithSpaces>2701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2022-10-13T06:39:00Z</dcterms:created>
  <dc:creator>lenovo</dc:creator>
  <cp:lastModifiedBy>微信用户</cp:lastModifiedBy>
  <cp:lastPrinted>2025-11-25T08:19:00Z</cp:lastPrinted>
  <dcterms:modified xsi:type="dcterms:W3CDTF">2026-01-09T01:20:14Z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63E77C9011E4473D8427AEEA1B085ABB_13</vt:lpwstr>
  </property>
  <property fmtid="{D5CDD505-2E9C-101B-9397-08002B2CF9AE}" pid="4" name="KSOTemplateDocerSaveRecord">
    <vt:lpwstr>eyJoZGlkIjoiYjNmNTYxNTFjMzdiYzE2OGYxM2M5ODg5MDk3N2UyNjQiLCJ1c2VySWQiOiIxMjMyODg5NTYyIn0=</vt:lpwstr>
  </property>
</Properties>
</file>