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80C028">
      <w:pPr>
        <w:keepNext w:val="0"/>
        <w:keepLines w:val="0"/>
        <w:pageBreakBefore w:val="0"/>
        <w:widowControl w:val="0"/>
        <w:kinsoku/>
        <w:wordWrap/>
        <w:overflowPunct/>
        <w:topLinePunct w:val="0"/>
        <w:autoSpaceDE/>
        <w:autoSpaceDN/>
        <w:bidi w:val="0"/>
        <w:spacing w:line="560" w:lineRule="exact"/>
        <w:ind w:firstLine="684" w:firstLineChars="200"/>
        <w:jc w:val="center"/>
        <w:outlineLvl w:val="0"/>
        <w:rPr>
          <w:rFonts w:hint="eastAsia" w:ascii="方正小标宋简体" w:hAnsi="方正小标宋简体" w:eastAsia="方正小标宋简体" w:cs="方正小标宋简体"/>
          <w:snapToGrid w:val="0"/>
          <w:spacing w:val="-9"/>
          <w:kern w:val="0"/>
          <w:sz w:val="36"/>
          <w:szCs w:val="36"/>
        </w:rPr>
      </w:pPr>
      <w:r>
        <w:rPr>
          <w:rFonts w:hint="eastAsia" w:ascii="方正小标宋简体" w:hAnsi="方正小标宋简体" w:eastAsia="方正小标宋简体" w:cs="方正小标宋简体"/>
          <w:snapToGrid w:val="0"/>
          <w:spacing w:val="-9"/>
          <w:kern w:val="0"/>
          <w:sz w:val="36"/>
          <w:szCs w:val="36"/>
        </w:rPr>
        <w:t>滦州市人民政府</w:t>
      </w:r>
    </w:p>
    <w:p w14:paraId="4D03F0A1">
      <w:pPr>
        <w:keepNext w:val="0"/>
        <w:keepLines w:val="0"/>
        <w:pageBreakBefore w:val="0"/>
        <w:widowControl w:val="0"/>
        <w:kinsoku/>
        <w:wordWrap/>
        <w:overflowPunct/>
        <w:topLinePunct w:val="0"/>
        <w:autoSpaceDE/>
        <w:autoSpaceDN/>
        <w:bidi w:val="0"/>
        <w:spacing w:line="560" w:lineRule="exact"/>
        <w:ind w:firstLine="684" w:firstLineChars="200"/>
        <w:jc w:val="center"/>
        <w:outlineLvl w:val="0"/>
        <w:rPr>
          <w:rFonts w:hint="eastAsia" w:ascii="方正小标宋简体" w:hAnsi="方正小标宋简体" w:eastAsia="方正小标宋简体" w:cs="方正小标宋简体"/>
          <w:snapToGrid w:val="0"/>
          <w:spacing w:val="-9"/>
          <w:kern w:val="0"/>
          <w:sz w:val="36"/>
          <w:szCs w:val="36"/>
          <w:lang w:val="en-US" w:eastAsia="zh-CN"/>
        </w:rPr>
      </w:pPr>
      <w:r>
        <w:rPr>
          <w:rFonts w:hint="eastAsia" w:ascii="方正小标宋简体" w:hAnsi="方正小标宋简体" w:eastAsia="方正小标宋简体" w:cs="方正小标宋简体"/>
          <w:snapToGrid w:val="0"/>
          <w:spacing w:val="-9"/>
          <w:kern w:val="0"/>
          <w:sz w:val="36"/>
          <w:szCs w:val="36"/>
        </w:rPr>
        <w:t>关于20</w:t>
      </w:r>
      <w:r>
        <w:rPr>
          <w:rFonts w:hint="eastAsia" w:ascii="方正小标宋简体" w:hAnsi="方正小标宋简体" w:eastAsia="方正小标宋简体" w:cs="方正小标宋简体"/>
          <w:snapToGrid w:val="0"/>
          <w:spacing w:val="-9"/>
          <w:kern w:val="0"/>
          <w:sz w:val="36"/>
          <w:szCs w:val="36"/>
          <w:lang w:val="en-US" w:eastAsia="zh-CN"/>
        </w:rPr>
        <w:t>24</w:t>
      </w:r>
      <w:r>
        <w:rPr>
          <w:rFonts w:hint="eastAsia" w:ascii="方正小标宋简体" w:hAnsi="方正小标宋简体" w:eastAsia="方正小标宋简体" w:cs="方正小标宋简体"/>
          <w:snapToGrid w:val="0"/>
          <w:spacing w:val="-9"/>
          <w:kern w:val="0"/>
          <w:sz w:val="36"/>
          <w:szCs w:val="36"/>
        </w:rPr>
        <w:t>年</w:t>
      </w:r>
      <w:r>
        <w:rPr>
          <w:rFonts w:hint="eastAsia" w:ascii="方正小标宋简体" w:hAnsi="方正小标宋简体" w:eastAsia="方正小标宋简体" w:cs="方正小标宋简体"/>
          <w:snapToGrid w:val="0"/>
          <w:spacing w:val="-9"/>
          <w:kern w:val="0"/>
          <w:sz w:val="36"/>
          <w:szCs w:val="36"/>
          <w:lang w:val="en-US" w:eastAsia="zh-CN"/>
        </w:rPr>
        <w:t>市本级</w:t>
      </w:r>
      <w:r>
        <w:rPr>
          <w:rFonts w:hint="eastAsia" w:ascii="方正小标宋简体" w:hAnsi="方正小标宋简体" w:eastAsia="方正小标宋简体" w:cs="方正小标宋简体"/>
          <w:snapToGrid w:val="0"/>
          <w:spacing w:val="-9"/>
          <w:kern w:val="0"/>
          <w:sz w:val="36"/>
          <w:szCs w:val="36"/>
        </w:rPr>
        <w:t>预算执行及其他财政收支</w:t>
      </w:r>
      <w:r>
        <w:rPr>
          <w:rFonts w:hint="eastAsia" w:ascii="方正小标宋简体" w:hAnsi="方正小标宋简体" w:eastAsia="方正小标宋简体" w:cs="方正小标宋简体"/>
          <w:snapToGrid w:val="0"/>
          <w:spacing w:val="-9"/>
          <w:kern w:val="0"/>
          <w:sz w:val="36"/>
          <w:szCs w:val="36"/>
          <w:lang w:val="en-US" w:eastAsia="zh-CN"/>
        </w:rPr>
        <w:t>情况</w:t>
      </w:r>
    </w:p>
    <w:p w14:paraId="2270A4C2">
      <w:pPr>
        <w:keepNext w:val="0"/>
        <w:keepLines w:val="0"/>
        <w:pageBreakBefore w:val="0"/>
        <w:widowControl w:val="0"/>
        <w:kinsoku/>
        <w:wordWrap/>
        <w:overflowPunct/>
        <w:topLinePunct w:val="0"/>
        <w:autoSpaceDE/>
        <w:autoSpaceDN/>
        <w:bidi w:val="0"/>
        <w:spacing w:line="560" w:lineRule="exact"/>
        <w:ind w:firstLine="684" w:firstLineChars="200"/>
        <w:jc w:val="center"/>
        <w:outlineLvl w:val="0"/>
        <w:rPr>
          <w:rFonts w:hint="eastAsia" w:ascii="方正小标宋简体" w:hAnsi="方正小标宋简体" w:eastAsia="方正小标宋简体" w:cs="方正小标宋简体"/>
          <w:snapToGrid w:val="0"/>
          <w:spacing w:val="-9"/>
          <w:kern w:val="0"/>
          <w:sz w:val="36"/>
          <w:szCs w:val="36"/>
        </w:rPr>
      </w:pPr>
      <w:r>
        <w:rPr>
          <w:rFonts w:hint="eastAsia" w:ascii="方正小标宋简体" w:hAnsi="方正小标宋简体" w:eastAsia="方正小标宋简体" w:cs="方正小标宋简体"/>
          <w:snapToGrid w:val="0"/>
          <w:spacing w:val="-9"/>
          <w:kern w:val="0"/>
          <w:sz w:val="36"/>
          <w:szCs w:val="36"/>
        </w:rPr>
        <w:t>审计工作报告</w:t>
      </w:r>
    </w:p>
    <w:p w14:paraId="21A76EDA">
      <w:pPr>
        <w:keepNext w:val="0"/>
        <w:keepLines w:val="0"/>
        <w:pageBreakBefore w:val="0"/>
        <w:widowControl w:val="0"/>
        <w:kinsoku/>
        <w:wordWrap/>
        <w:overflowPunct/>
        <w:topLinePunct w:val="0"/>
        <w:autoSpaceDE/>
        <w:autoSpaceDN/>
        <w:bidi w:val="0"/>
        <w:spacing w:line="560" w:lineRule="exact"/>
        <w:ind w:firstLine="684" w:firstLineChars="200"/>
        <w:jc w:val="center"/>
        <w:outlineLvl w:val="0"/>
        <w:rPr>
          <w:rFonts w:hint="eastAsia" w:ascii="方正小标宋简体" w:hAnsi="方正小标宋简体" w:eastAsia="方正小标宋简体" w:cs="方正小标宋简体"/>
          <w:snapToGrid w:val="0"/>
          <w:spacing w:val="-9"/>
          <w:kern w:val="0"/>
          <w:sz w:val="36"/>
          <w:szCs w:val="36"/>
        </w:rPr>
      </w:pPr>
    </w:p>
    <w:p w14:paraId="3A7A1C98">
      <w:pPr>
        <w:keepNext w:val="0"/>
        <w:keepLines w:val="0"/>
        <w:pageBreakBefore w:val="0"/>
        <w:widowControl w:val="0"/>
        <w:kinsoku/>
        <w:wordWrap/>
        <w:overflowPunct/>
        <w:topLinePunct w:val="0"/>
        <w:autoSpaceDE/>
        <w:autoSpaceDN/>
        <w:bidi w:val="0"/>
        <w:spacing w:line="560" w:lineRule="exact"/>
        <w:ind w:firstLine="640" w:firstLineChars="200"/>
        <w:rPr>
          <w:rFonts w:hint="default" w:ascii="仿宋" w:hAnsi="仿宋" w:eastAsia="仿宋" w:cs="仿宋"/>
          <w:color w:val="auto"/>
          <w:kern w:val="0"/>
          <w:sz w:val="32"/>
          <w:szCs w:val="32"/>
          <w:highlight w:val="none"/>
          <w:lang w:val="en-US" w:eastAsia="zh-CN" w:bidi="ar-SA"/>
        </w:rPr>
      </w:pPr>
      <w:r>
        <w:rPr>
          <w:rFonts w:hint="eastAsia" w:ascii="仿宋" w:hAnsi="仿宋" w:eastAsia="仿宋" w:cs="仿宋"/>
          <w:color w:val="auto"/>
          <w:kern w:val="0"/>
          <w:sz w:val="32"/>
          <w:szCs w:val="32"/>
          <w:highlight w:val="none"/>
          <w:lang w:val="en-US" w:eastAsia="zh-CN" w:bidi="ar-SA"/>
        </w:rPr>
        <w:t>2025年8月14日，滦州</w:t>
      </w:r>
      <w:r>
        <w:rPr>
          <w:rFonts w:hint="eastAsia" w:ascii="仿宋" w:hAnsi="仿宋" w:eastAsia="仿宋" w:cs="方正楷体简体"/>
          <w:bCs/>
          <w:color w:val="auto"/>
          <w:szCs w:val="32"/>
        </w:rPr>
        <w:t>市</w:t>
      </w:r>
      <w:r>
        <w:rPr>
          <w:rFonts w:hint="eastAsia" w:ascii="仿宋" w:hAnsi="仿宋" w:eastAsia="仿宋" w:cs="方正楷体简体"/>
          <w:bCs/>
          <w:color w:val="auto"/>
          <w:szCs w:val="32"/>
          <w:lang w:eastAsia="zh-CN"/>
        </w:rPr>
        <w:t>第</w:t>
      </w:r>
      <w:r>
        <w:rPr>
          <w:rFonts w:hint="eastAsia" w:ascii="仿宋" w:hAnsi="仿宋" w:eastAsia="仿宋" w:cs="方正楷体简体"/>
          <w:bCs/>
          <w:color w:val="auto"/>
          <w:szCs w:val="32"/>
          <w:lang w:val="en-US" w:eastAsia="zh-CN"/>
        </w:rPr>
        <w:t>二</w:t>
      </w:r>
      <w:r>
        <w:rPr>
          <w:rFonts w:hint="eastAsia" w:ascii="仿宋" w:hAnsi="仿宋" w:eastAsia="仿宋" w:cs="方正楷体简体"/>
          <w:bCs/>
          <w:color w:val="auto"/>
          <w:szCs w:val="32"/>
        </w:rPr>
        <w:t>届人大常委会</w:t>
      </w:r>
      <w:r>
        <w:rPr>
          <w:rFonts w:hint="eastAsia" w:ascii="仿宋" w:hAnsi="仿宋" w:eastAsia="仿宋" w:cs="仿宋"/>
          <w:i w:val="0"/>
          <w:iCs w:val="0"/>
          <w:caps w:val="0"/>
          <w:color w:val="000000"/>
          <w:spacing w:val="0"/>
          <w:kern w:val="2"/>
          <w:sz w:val="32"/>
          <w:szCs w:val="32"/>
          <w:shd w:val="clear" w:color="auto" w:fill="FFFFFF"/>
          <w:lang w:val="en-US" w:eastAsia="zh-CN" w:bidi="ar-SA"/>
        </w:rPr>
        <w:t>第四十三次会议听取并审议了市政府关于2024年度市本级预算执行及其他财政收支情况审计工作报告。现将主要内容公布如下：</w:t>
      </w:r>
    </w:p>
    <w:p w14:paraId="40B64A5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楷体" w:hAnsi="楷体" w:eastAsia="楷体" w:cs="楷体"/>
          <w:b w:val="0"/>
          <w:bCs w:val="0"/>
          <w:color w:val="000000"/>
          <w:kern w:val="0"/>
          <w:sz w:val="32"/>
          <w:szCs w:val="32"/>
          <w:lang w:val="en-US" w:eastAsia="zh-CN"/>
        </w:rPr>
      </w:pPr>
      <w:r>
        <w:rPr>
          <w:rFonts w:hint="eastAsia" w:ascii="黑体" w:hAnsi="黑体" w:eastAsia="黑体" w:cs="黑体"/>
          <w:color w:val="auto"/>
          <w:lang w:val="en-US" w:eastAsia="zh-CN"/>
        </w:rPr>
        <w:t>一、</w:t>
      </w:r>
      <w:r>
        <w:rPr>
          <w:rFonts w:hint="eastAsia" w:ascii="黑体" w:hAnsi="黑体" w:eastAsia="黑体" w:cs="黑体"/>
          <w:color w:val="auto"/>
        </w:rPr>
        <w:t>202</w:t>
      </w:r>
      <w:r>
        <w:rPr>
          <w:rFonts w:hint="eastAsia" w:ascii="黑体" w:hAnsi="黑体" w:eastAsia="黑体" w:cs="黑体"/>
          <w:color w:val="auto"/>
          <w:lang w:val="en-US" w:eastAsia="zh-CN"/>
        </w:rPr>
        <w:t>4</w:t>
      </w:r>
      <w:r>
        <w:rPr>
          <w:rFonts w:hint="eastAsia" w:ascii="黑体" w:hAnsi="黑体" w:eastAsia="黑体" w:cs="黑体"/>
          <w:color w:val="auto"/>
        </w:rPr>
        <w:t>年财政预算执行情况</w:t>
      </w:r>
    </w:p>
    <w:p w14:paraId="03D9954E">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楷体" w:hAnsi="楷体" w:eastAsia="楷体" w:cs="楷体"/>
          <w:b w:val="0"/>
          <w:bCs w:val="0"/>
          <w:color w:val="000000"/>
          <w:kern w:val="0"/>
          <w:sz w:val="32"/>
          <w:szCs w:val="32"/>
          <w:lang w:val="en-US" w:eastAsia="zh-CN"/>
        </w:rPr>
      </w:pPr>
      <w:r>
        <w:rPr>
          <w:rFonts w:hint="eastAsia" w:ascii="楷体" w:hAnsi="楷体" w:eastAsia="楷体" w:cs="楷体"/>
          <w:b/>
          <w:bCs/>
          <w:color w:val="000000"/>
          <w:kern w:val="0"/>
          <w:sz w:val="32"/>
          <w:szCs w:val="32"/>
        </w:rPr>
        <w:t>(一)</w:t>
      </w:r>
      <w:r>
        <w:rPr>
          <w:rFonts w:hint="eastAsia" w:ascii="楷体" w:hAnsi="楷体" w:eastAsia="楷体" w:cs="楷体"/>
          <w:b/>
          <w:bCs/>
          <w:color w:val="000000"/>
          <w:kern w:val="0"/>
          <w:sz w:val="32"/>
          <w:szCs w:val="32"/>
          <w:lang w:val="en-US" w:eastAsia="zh-CN"/>
        </w:rPr>
        <w:t>2024年市本级预算执行情况</w:t>
      </w:r>
    </w:p>
    <w:p w14:paraId="1E944D57">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仿宋" w:hAnsi="仿宋" w:eastAsia="仿宋" w:cs="仿宋"/>
          <w:b/>
          <w:bCs/>
          <w:kern w:val="0"/>
          <w:sz w:val="32"/>
          <w:szCs w:val="32"/>
          <w:lang w:val="en-US" w:eastAsia="zh-CN"/>
        </w:rPr>
      </w:pPr>
      <w:r>
        <w:rPr>
          <w:rFonts w:hint="eastAsia" w:ascii="仿宋" w:hAnsi="仿宋" w:eastAsia="仿宋" w:cs="仿宋"/>
          <w:b/>
          <w:bCs/>
          <w:kern w:val="0"/>
          <w:sz w:val="32"/>
          <w:szCs w:val="32"/>
          <w:lang w:val="en-US" w:eastAsia="zh-CN"/>
        </w:rPr>
        <w:t>1.</w:t>
      </w:r>
      <w:bookmarkStart w:id="0" w:name="OLE_LINK4"/>
      <w:r>
        <w:rPr>
          <w:rFonts w:hint="eastAsia" w:ascii="仿宋" w:hAnsi="仿宋" w:eastAsia="仿宋" w:cs="仿宋"/>
          <w:b/>
          <w:bCs/>
          <w:kern w:val="0"/>
          <w:sz w:val="32"/>
          <w:szCs w:val="32"/>
          <w:lang w:val="en-US" w:eastAsia="zh-CN"/>
        </w:rPr>
        <w:t>市本级一般公共预算执行情况</w:t>
      </w:r>
      <w:bookmarkEnd w:id="0"/>
    </w:p>
    <w:p w14:paraId="453B5BA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color w:val="auto"/>
          <w:kern w:val="0"/>
          <w:sz w:val="32"/>
          <w:szCs w:val="32"/>
          <w:lang w:val="en-US" w:eastAsia="zh-CN"/>
        </w:rPr>
      </w:pPr>
      <w:bookmarkStart w:id="1" w:name="OLE_LINK5"/>
      <w:r>
        <w:rPr>
          <w:rFonts w:hint="eastAsia" w:ascii="仿宋" w:hAnsi="仿宋" w:eastAsia="仿宋" w:cs="仿宋"/>
          <w:color w:val="auto"/>
          <w:kern w:val="0"/>
          <w:sz w:val="32"/>
          <w:szCs w:val="32"/>
          <w:lang w:val="en-US" w:eastAsia="zh-CN"/>
        </w:rPr>
        <w:t>2024年市级收入总计490216万元，其中市本级收入266141万元。2024年市级支出总计490216万元，其中市本级支出470224万元。年终结余5460万元。</w:t>
      </w:r>
    </w:p>
    <w:bookmarkEnd w:id="1"/>
    <w:p w14:paraId="7C15011D">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仿宋" w:hAnsi="仿宋" w:eastAsia="仿宋" w:cs="仿宋"/>
          <w:b/>
          <w:bCs/>
          <w:kern w:val="0"/>
          <w:sz w:val="32"/>
          <w:szCs w:val="32"/>
          <w:lang w:val="en-US" w:eastAsia="zh-CN"/>
        </w:rPr>
      </w:pPr>
      <w:r>
        <w:rPr>
          <w:rFonts w:hint="eastAsia" w:ascii="仿宋" w:hAnsi="仿宋" w:eastAsia="仿宋" w:cs="仿宋"/>
          <w:b/>
          <w:bCs/>
          <w:kern w:val="0"/>
          <w:sz w:val="32"/>
          <w:szCs w:val="32"/>
          <w:lang w:val="en-US" w:eastAsia="zh-CN"/>
        </w:rPr>
        <w:t>2.</w:t>
      </w:r>
      <w:bookmarkStart w:id="2" w:name="OLE_LINK6"/>
      <w:r>
        <w:rPr>
          <w:rFonts w:hint="eastAsia" w:ascii="仿宋" w:hAnsi="仿宋" w:eastAsia="仿宋" w:cs="仿宋"/>
          <w:b/>
          <w:bCs/>
          <w:kern w:val="0"/>
          <w:sz w:val="32"/>
          <w:szCs w:val="32"/>
          <w:lang w:val="en-US" w:eastAsia="zh-CN"/>
        </w:rPr>
        <w:t>政府性基金预算执行情况</w:t>
      </w:r>
      <w:bookmarkEnd w:id="2"/>
    </w:p>
    <w:p w14:paraId="43FC8A4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kern w:val="0"/>
          <w:sz w:val="32"/>
          <w:szCs w:val="32"/>
          <w:lang w:val="en-US" w:eastAsia="zh-CN"/>
        </w:rPr>
      </w:pPr>
      <w:bookmarkStart w:id="3" w:name="OLE_LINK7"/>
      <w:r>
        <w:rPr>
          <w:rFonts w:hint="eastAsia" w:ascii="仿宋" w:hAnsi="仿宋" w:eastAsia="仿宋" w:cs="仿宋"/>
          <w:kern w:val="0"/>
          <w:sz w:val="32"/>
          <w:szCs w:val="32"/>
          <w:lang w:val="en-US" w:eastAsia="zh-CN"/>
        </w:rPr>
        <w:t>2024年政府性基金收入103574万元，支出95288万元，结转下年8286万元。</w:t>
      </w:r>
    </w:p>
    <w:bookmarkEnd w:id="3"/>
    <w:p w14:paraId="2D52E42A">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仿宋" w:hAnsi="仿宋" w:eastAsia="仿宋" w:cs="仿宋"/>
          <w:b/>
          <w:bCs/>
          <w:kern w:val="0"/>
          <w:sz w:val="32"/>
          <w:szCs w:val="32"/>
          <w:lang w:val="en-US" w:eastAsia="zh-CN"/>
        </w:rPr>
      </w:pPr>
      <w:r>
        <w:rPr>
          <w:rFonts w:hint="eastAsia" w:ascii="仿宋" w:hAnsi="仿宋" w:eastAsia="仿宋" w:cs="仿宋"/>
          <w:b/>
          <w:bCs/>
          <w:kern w:val="0"/>
          <w:sz w:val="32"/>
          <w:szCs w:val="32"/>
          <w:lang w:val="en-US" w:eastAsia="zh-CN"/>
        </w:rPr>
        <w:t>3.</w:t>
      </w:r>
      <w:bookmarkStart w:id="4" w:name="OLE_LINK8"/>
      <w:r>
        <w:rPr>
          <w:rFonts w:hint="eastAsia" w:ascii="仿宋" w:hAnsi="仿宋" w:eastAsia="仿宋" w:cs="仿宋"/>
          <w:b/>
          <w:bCs/>
          <w:kern w:val="0"/>
          <w:sz w:val="32"/>
          <w:szCs w:val="32"/>
          <w:lang w:val="en-US" w:eastAsia="zh-CN"/>
        </w:rPr>
        <w:t>国有资本经营预算执行情况</w:t>
      </w:r>
    </w:p>
    <w:bookmarkEnd w:id="4"/>
    <w:p w14:paraId="1ED1305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kern w:val="0"/>
          <w:sz w:val="32"/>
          <w:szCs w:val="32"/>
          <w:lang w:val="en-US" w:eastAsia="zh-CN"/>
        </w:rPr>
      </w:pPr>
      <w:bookmarkStart w:id="5" w:name="OLE_LINK9"/>
      <w:r>
        <w:rPr>
          <w:rFonts w:hint="eastAsia" w:ascii="仿宋" w:hAnsi="仿宋" w:eastAsia="仿宋" w:cs="仿宋"/>
          <w:kern w:val="0"/>
          <w:sz w:val="32"/>
          <w:szCs w:val="32"/>
          <w:lang w:val="en-US" w:eastAsia="zh-CN"/>
        </w:rPr>
        <w:t>2024年国有资本经营预算收支均为35万元。</w:t>
      </w:r>
    </w:p>
    <w:bookmarkEnd w:id="5"/>
    <w:p w14:paraId="3576899A">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仿宋" w:hAnsi="仿宋" w:eastAsia="仿宋" w:cs="仿宋"/>
          <w:b/>
          <w:bCs/>
          <w:kern w:val="0"/>
          <w:sz w:val="32"/>
          <w:szCs w:val="32"/>
          <w:lang w:val="en-US" w:eastAsia="zh-CN"/>
        </w:rPr>
      </w:pPr>
      <w:r>
        <w:rPr>
          <w:rFonts w:hint="eastAsia" w:ascii="仿宋" w:hAnsi="仿宋" w:eastAsia="仿宋" w:cs="仿宋"/>
          <w:b/>
          <w:bCs/>
          <w:kern w:val="0"/>
          <w:sz w:val="32"/>
          <w:szCs w:val="32"/>
          <w:lang w:val="en-US" w:eastAsia="zh-CN"/>
        </w:rPr>
        <w:t>4.</w:t>
      </w:r>
      <w:bookmarkStart w:id="6" w:name="OLE_LINK10"/>
      <w:r>
        <w:rPr>
          <w:rFonts w:hint="eastAsia" w:ascii="仿宋" w:hAnsi="仿宋" w:eastAsia="仿宋" w:cs="仿宋"/>
          <w:b/>
          <w:bCs/>
          <w:kern w:val="0"/>
          <w:sz w:val="32"/>
          <w:szCs w:val="32"/>
          <w:lang w:val="en-US" w:eastAsia="zh-CN"/>
        </w:rPr>
        <w:t>社会保险基金预算执行情况</w:t>
      </w:r>
      <w:bookmarkEnd w:id="6"/>
    </w:p>
    <w:p w14:paraId="456623D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Times New Roman" w:eastAsia="仿宋_GB2312" w:cs="仿宋_GB2312"/>
          <w:kern w:val="0"/>
          <w:sz w:val="32"/>
          <w:szCs w:val="32"/>
          <w:lang w:val="en-US" w:eastAsia="zh-CN"/>
        </w:rPr>
      </w:pPr>
      <w:bookmarkStart w:id="7" w:name="OLE_LINK11"/>
      <w:r>
        <w:rPr>
          <w:rFonts w:hint="eastAsia" w:ascii="仿宋" w:hAnsi="仿宋" w:eastAsia="仿宋" w:cs="仿宋"/>
          <w:kern w:val="0"/>
          <w:sz w:val="32"/>
          <w:szCs w:val="32"/>
          <w:lang w:val="en-US" w:eastAsia="zh-CN"/>
        </w:rPr>
        <w:t>2024年社会保险基金收入85773万元，支出80474万元，年末结余5299万元，年末滚存结余59167万元。</w:t>
      </w:r>
      <w:r>
        <w:rPr>
          <w:rFonts w:hint="eastAsia" w:ascii="仿宋_GB2312" w:hAnsi="Times New Roman" w:eastAsia="仿宋_GB2312" w:cs="仿宋_GB2312"/>
          <w:kern w:val="0"/>
          <w:sz w:val="32"/>
          <w:szCs w:val="32"/>
          <w:lang w:val="en-US" w:eastAsia="zh-CN"/>
        </w:rPr>
        <w:t xml:space="preserve"> </w:t>
      </w:r>
    </w:p>
    <w:bookmarkEnd w:id="7"/>
    <w:p w14:paraId="01E922D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楷体" w:hAnsi="楷体" w:eastAsia="楷体" w:cs="楷体"/>
          <w:b w:val="0"/>
          <w:bCs w:val="0"/>
          <w:color w:val="000000"/>
          <w:kern w:val="0"/>
          <w:sz w:val="32"/>
          <w:szCs w:val="32"/>
          <w:lang w:val="en-US" w:eastAsia="zh-CN"/>
        </w:rPr>
      </w:pPr>
      <w:r>
        <w:rPr>
          <w:rFonts w:hint="eastAsia" w:ascii="楷体" w:hAnsi="楷体" w:eastAsia="楷体" w:cs="楷体"/>
          <w:b/>
          <w:bCs/>
          <w:color w:val="000000"/>
          <w:kern w:val="0"/>
          <w:sz w:val="32"/>
          <w:szCs w:val="32"/>
          <w:lang w:val="en-US" w:eastAsia="zh-CN"/>
        </w:rPr>
        <w:t>（二）</w:t>
      </w:r>
      <w:bookmarkStart w:id="8" w:name="OLE_LINK12"/>
      <w:r>
        <w:rPr>
          <w:rFonts w:hint="eastAsia" w:ascii="楷体" w:hAnsi="楷体" w:eastAsia="楷体" w:cs="楷体"/>
          <w:b/>
          <w:bCs/>
          <w:color w:val="000000"/>
          <w:kern w:val="0"/>
          <w:sz w:val="32"/>
          <w:szCs w:val="32"/>
          <w:lang w:val="en-US" w:eastAsia="zh-CN"/>
        </w:rPr>
        <w:t>2024年滦州市本级其他财政资金收支情况</w:t>
      </w:r>
      <w:bookmarkEnd w:id="8"/>
    </w:p>
    <w:p w14:paraId="26B90CF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color w:val="auto"/>
          <w:kern w:val="0"/>
          <w:sz w:val="32"/>
          <w:szCs w:val="32"/>
          <w:highlight w:val="none"/>
          <w:lang w:val="en-US" w:eastAsia="zh-CN"/>
        </w:rPr>
      </w:pPr>
      <w:bookmarkStart w:id="9" w:name="OLE_LINK13"/>
      <w:r>
        <w:rPr>
          <w:rFonts w:hint="eastAsia" w:ascii="仿宋" w:hAnsi="仿宋" w:eastAsia="仿宋" w:cs="仿宋"/>
          <w:color w:val="auto"/>
          <w:kern w:val="0"/>
          <w:sz w:val="32"/>
          <w:szCs w:val="32"/>
          <w:highlight w:val="none"/>
          <w:lang w:val="en-US" w:eastAsia="zh-CN"/>
        </w:rPr>
        <w:t>1.社会保障资金专户期初余额17963万元，收入90212万元，支出89856万元，余额18319万元。</w:t>
      </w:r>
    </w:p>
    <w:p w14:paraId="7F52F3E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color w:val="auto"/>
          <w:kern w:val="0"/>
          <w:sz w:val="32"/>
          <w:szCs w:val="32"/>
          <w:highlight w:val="none"/>
          <w:lang w:val="en-US" w:eastAsia="zh-CN"/>
        </w:rPr>
      </w:pPr>
      <w:r>
        <w:rPr>
          <w:rFonts w:hint="eastAsia" w:ascii="仿宋" w:hAnsi="仿宋" w:eastAsia="仿宋" w:cs="仿宋"/>
          <w:color w:val="auto"/>
          <w:kern w:val="0"/>
          <w:sz w:val="32"/>
          <w:szCs w:val="32"/>
          <w:highlight w:val="none"/>
          <w:lang w:val="en-US" w:eastAsia="zh-CN"/>
        </w:rPr>
        <w:t>2.粮食风险金专户期初余额337万元，收入836万元，支出847万元，余额326万元。</w:t>
      </w:r>
    </w:p>
    <w:bookmarkEnd w:id="9"/>
    <w:p w14:paraId="1EBFA1F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楷体" w:hAnsi="楷体" w:eastAsia="楷体" w:cs="楷体"/>
          <w:b/>
          <w:bCs/>
          <w:color w:val="000000"/>
          <w:kern w:val="0"/>
          <w:sz w:val="32"/>
          <w:szCs w:val="32"/>
          <w:lang w:val="en-US" w:eastAsia="zh-CN"/>
        </w:rPr>
      </w:pPr>
      <w:r>
        <w:rPr>
          <w:rFonts w:hint="eastAsia" w:ascii="楷体" w:hAnsi="楷体" w:eastAsia="楷体" w:cs="楷体"/>
          <w:b/>
          <w:bCs/>
          <w:color w:val="000000"/>
          <w:kern w:val="0"/>
          <w:sz w:val="32"/>
          <w:szCs w:val="32"/>
          <w:lang w:val="en-US" w:eastAsia="zh-CN"/>
        </w:rPr>
        <w:t>（三）</w:t>
      </w:r>
      <w:bookmarkStart w:id="10" w:name="OLE_LINK14"/>
      <w:r>
        <w:rPr>
          <w:rFonts w:hint="eastAsia" w:ascii="楷体" w:hAnsi="楷体" w:eastAsia="楷体" w:cs="楷体"/>
          <w:b/>
          <w:bCs/>
          <w:color w:val="000000"/>
          <w:kern w:val="0"/>
          <w:sz w:val="32"/>
          <w:szCs w:val="32"/>
          <w:lang w:val="en-US" w:eastAsia="zh-CN"/>
        </w:rPr>
        <w:t>地方政府债务情况</w:t>
      </w:r>
      <w:bookmarkEnd w:id="10"/>
    </w:p>
    <w:p w14:paraId="674EF46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Times New Roman" w:eastAsia="仿宋_GB2312" w:cs="仿宋_GB2312"/>
          <w:kern w:val="0"/>
          <w:sz w:val="32"/>
          <w:szCs w:val="32"/>
          <w:lang w:val="en-US" w:eastAsia="zh-CN"/>
        </w:rPr>
      </w:pPr>
      <w:bookmarkStart w:id="11" w:name="OLE_LINK1"/>
      <w:r>
        <w:rPr>
          <w:rFonts w:hint="eastAsia" w:ascii="仿宋" w:hAnsi="仿宋" w:eastAsia="仿宋" w:cs="仿宋"/>
          <w:kern w:val="0"/>
          <w:sz w:val="32"/>
          <w:szCs w:val="32"/>
          <w:lang w:val="en-US" w:eastAsia="zh-CN"/>
        </w:rPr>
        <w:t>截至2024年底全市政府债务总额744925万元，比上年增加26730万元。</w:t>
      </w:r>
    </w:p>
    <w:bookmarkEnd w:id="11"/>
    <w:p w14:paraId="6D7DD7AC">
      <w:pPr>
        <w:keepNext w:val="0"/>
        <w:keepLines w:val="0"/>
        <w:pageBreakBefore w:val="0"/>
        <w:widowControl w:val="0"/>
        <w:numPr>
          <w:ilvl w:val="0"/>
          <w:numId w:val="1"/>
        </w:numPr>
        <w:kinsoku/>
        <w:wordWrap/>
        <w:overflowPunct/>
        <w:topLinePunct w:val="0"/>
        <w:autoSpaceDE/>
        <w:autoSpaceDN/>
        <w:bidi w:val="0"/>
        <w:spacing w:line="560" w:lineRule="exact"/>
        <w:ind w:firstLine="640" w:firstLineChars="200"/>
        <w:rPr>
          <w:rFonts w:hint="eastAsia" w:ascii="黑体" w:hAnsi="黑体" w:eastAsia="黑体" w:cs="黑体"/>
          <w:highlight w:val="none"/>
        </w:rPr>
      </w:pPr>
      <w:r>
        <w:rPr>
          <w:rFonts w:hint="eastAsia" w:ascii="黑体" w:hAnsi="黑体" w:eastAsia="黑体" w:cs="黑体"/>
          <w:highlight w:val="none"/>
        </w:rPr>
        <w:t>审计发现的主要问题</w:t>
      </w:r>
    </w:p>
    <w:p w14:paraId="1558E00F">
      <w:pPr>
        <w:pStyle w:val="13"/>
        <w:keepNext w:val="0"/>
        <w:keepLines w:val="0"/>
        <w:pageBreakBefore w:val="0"/>
        <w:numPr>
          <w:ilvl w:val="0"/>
          <w:numId w:val="0"/>
        </w:numPr>
        <w:kinsoku/>
        <w:wordWrap/>
        <w:overflowPunct/>
        <w:topLinePunct w:val="0"/>
        <w:autoSpaceDE/>
        <w:autoSpaceDN/>
        <w:bidi w:val="0"/>
        <w:spacing w:line="560" w:lineRule="exact"/>
        <w:ind w:firstLine="643" w:firstLineChars="200"/>
        <w:jc w:val="both"/>
        <w:rPr>
          <w:rFonts w:hint="eastAsia" w:ascii="楷体" w:hAnsi="楷体" w:eastAsia="楷体" w:cs="楷体"/>
          <w:b/>
          <w:bCs/>
          <w:i w:val="0"/>
          <w:iCs w:val="0"/>
          <w:caps w:val="0"/>
          <w:color w:val="000000"/>
          <w:spacing w:val="0"/>
          <w:kern w:val="2"/>
          <w:sz w:val="32"/>
          <w:szCs w:val="32"/>
          <w:shd w:val="clear" w:color="auto" w:fill="FFFFFF"/>
          <w:lang w:val="en-US" w:eastAsia="zh-CN" w:bidi="ar-SA"/>
        </w:rPr>
      </w:pPr>
      <w:r>
        <w:rPr>
          <w:rFonts w:hint="eastAsia" w:ascii="楷体" w:hAnsi="楷体" w:eastAsia="楷体" w:cs="楷体"/>
          <w:b/>
          <w:bCs/>
          <w:i w:val="0"/>
          <w:iCs w:val="0"/>
          <w:caps w:val="0"/>
          <w:color w:val="000000"/>
          <w:spacing w:val="0"/>
          <w:kern w:val="2"/>
          <w:sz w:val="32"/>
          <w:szCs w:val="32"/>
          <w:shd w:val="clear" w:color="auto" w:fill="FFFFFF"/>
          <w:lang w:val="en-US" w:eastAsia="zh-CN" w:bidi="ar-SA"/>
        </w:rPr>
        <w:t>（一）深化预算管理制度改革方面</w:t>
      </w:r>
    </w:p>
    <w:p w14:paraId="08E835F7">
      <w:pPr>
        <w:pStyle w:val="13"/>
        <w:keepNext w:val="0"/>
        <w:keepLines w:val="0"/>
        <w:pageBreakBefore w:val="0"/>
        <w:widowControl w:val="0"/>
        <w:kinsoku/>
        <w:wordWrap/>
        <w:overflowPunct/>
        <w:topLinePunct w:val="0"/>
        <w:autoSpaceDE/>
        <w:autoSpaceDN/>
        <w:bidi w:val="0"/>
        <w:adjustRightInd/>
        <w:spacing w:line="560" w:lineRule="exact"/>
        <w:ind w:leftChars="0" w:firstLine="643" w:firstLineChars="200"/>
        <w:jc w:val="both"/>
        <w:textAlignment w:val="auto"/>
        <w:rPr>
          <w:rFonts w:hint="default"/>
          <w:lang w:val="en-US" w:eastAsia="zh-CN"/>
        </w:rPr>
      </w:pPr>
      <w:r>
        <w:rPr>
          <w:rFonts w:hint="eastAsia" w:ascii="仿宋" w:hAnsi="仿宋" w:eastAsia="仿宋" w:cs="仿宋"/>
          <w:b/>
          <w:bCs/>
          <w:i w:val="0"/>
          <w:iCs w:val="0"/>
          <w:caps w:val="0"/>
          <w:color w:val="auto"/>
          <w:spacing w:val="0"/>
          <w:kern w:val="2"/>
          <w:sz w:val="32"/>
          <w:szCs w:val="32"/>
          <w:shd w:val="clear" w:color="auto" w:fill="FFFFFF"/>
          <w:lang w:val="en-US" w:eastAsia="zh-CN" w:bidi="ar-SA"/>
        </w:rPr>
        <w:t>1.非税往来账户存量资金未及时盘活。</w:t>
      </w:r>
      <w:r>
        <w:rPr>
          <w:rFonts w:hint="eastAsia" w:ascii="仿宋" w:hAnsi="仿宋" w:eastAsia="仿宋" w:cs="仿宋"/>
          <w:b w:val="0"/>
          <w:bCs w:val="0"/>
          <w:i w:val="0"/>
          <w:iCs w:val="0"/>
          <w:caps w:val="0"/>
          <w:color w:val="auto"/>
          <w:spacing w:val="0"/>
          <w:kern w:val="2"/>
          <w:sz w:val="32"/>
          <w:szCs w:val="32"/>
          <w:shd w:val="clear" w:color="auto" w:fill="FFFFFF"/>
          <w:lang w:val="en-US" w:eastAsia="zh-CN" w:bidi="ar-SA"/>
        </w:rPr>
        <w:t>滦州市财政局非税往来账户2008年至2022年挂账收入未及时盘活。</w:t>
      </w:r>
    </w:p>
    <w:p w14:paraId="580ACA09">
      <w:pPr>
        <w:pStyle w:val="13"/>
        <w:keepNext w:val="0"/>
        <w:keepLines w:val="0"/>
        <w:pageBreakBefore w:val="0"/>
        <w:widowControl w:val="0"/>
        <w:numPr>
          <w:ilvl w:val="0"/>
          <w:numId w:val="0"/>
        </w:numPr>
        <w:kinsoku/>
        <w:wordWrap/>
        <w:overflowPunct/>
        <w:topLinePunct w:val="0"/>
        <w:autoSpaceDE/>
        <w:autoSpaceDN/>
        <w:bidi w:val="0"/>
        <w:adjustRightInd/>
        <w:spacing w:line="560" w:lineRule="exact"/>
        <w:ind w:firstLine="643" w:firstLineChars="200"/>
        <w:textAlignment w:val="auto"/>
        <w:rPr>
          <w:rFonts w:hint="default" w:ascii="仿宋" w:hAnsi="仿宋" w:eastAsia="仿宋" w:cs="仿宋"/>
          <w:bCs w:val="0"/>
          <w:i w:val="0"/>
          <w:iCs w:val="0"/>
          <w:caps w:val="0"/>
          <w:color w:val="000000"/>
          <w:spacing w:val="0"/>
          <w:kern w:val="2"/>
          <w:sz w:val="32"/>
          <w:szCs w:val="32"/>
          <w:shd w:val="clear" w:color="auto" w:fill="FFFFFF"/>
          <w:lang w:val="en-US" w:eastAsia="zh-CN" w:bidi="ar-SA"/>
        </w:rPr>
      </w:pPr>
      <w:r>
        <w:rPr>
          <w:rFonts w:hint="eastAsia" w:ascii="仿宋" w:hAnsi="仿宋" w:eastAsia="仿宋" w:cs="仿宋"/>
          <w:b/>
          <w:bCs/>
          <w:i w:val="0"/>
          <w:iCs w:val="0"/>
          <w:caps w:val="0"/>
          <w:color w:val="auto"/>
          <w:spacing w:val="0"/>
          <w:kern w:val="2"/>
          <w:sz w:val="32"/>
          <w:szCs w:val="32"/>
          <w:shd w:val="clear" w:color="auto" w:fill="FFFFFF"/>
          <w:lang w:val="en-US" w:eastAsia="zh-CN" w:bidi="ar-SA"/>
        </w:rPr>
        <w:t>2.盘活资金未上缴国库。</w:t>
      </w:r>
      <w:r>
        <w:rPr>
          <w:rFonts w:hint="eastAsia" w:ascii="仿宋" w:hAnsi="仿宋" w:eastAsia="仿宋" w:cs="仿宋"/>
          <w:b w:val="0"/>
          <w:bCs w:val="0"/>
          <w:i w:val="0"/>
          <w:iCs w:val="0"/>
          <w:caps w:val="0"/>
          <w:color w:val="000000"/>
          <w:spacing w:val="0"/>
          <w:kern w:val="2"/>
          <w:sz w:val="32"/>
          <w:szCs w:val="32"/>
          <w:shd w:val="clear" w:color="auto" w:fill="FFFFFF"/>
          <w:lang w:val="en-US" w:eastAsia="zh-CN" w:bidi="ar-SA"/>
        </w:rPr>
        <w:t>截至2024年底，滦州市财政局财政专户</w:t>
      </w:r>
      <w:r>
        <w:rPr>
          <w:rFonts w:hint="eastAsia" w:ascii="仿宋" w:hAnsi="仿宋" w:eastAsia="仿宋" w:cs="仿宋"/>
          <w:bCs w:val="0"/>
          <w:i w:val="0"/>
          <w:iCs w:val="0"/>
          <w:caps w:val="0"/>
          <w:color w:val="000000"/>
          <w:spacing w:val="0"/>
          <w:kern w:val="2"/>
          <w:sz w:val="32"/>
          <w:szCs w:val="32"/>
          <w:shd w:val="clear" w:color="auto" w:fill="FFFFFF"/>
          <w:lang w:val="en-US" w:eastAsia="zh-CN" w:bidi="ar-SA"/>
        </w:rPr>
        <w:t>盘活资金科目结余资金未上缴国库。</w:t>
      </w:r>
    </w:p>
    <w:p w14:paraId="3891273D">
      <w:pPr>
        <w:keepNext w:val="0"/>
        <w:keepLines w:val="0"/>
        <w:pageBreakBefore w:val="0"/>
        <w:widowControl w:val="0"/>
        <w:kinsoku/>
        <w:wordWrap/>
        <w:overflowPunct/>
        <w:topLinePunct w:val="0"/>
        <w:autoSpaceDE/>
        <w:autoSpaceDN/>
        <w:bidi w:val="0"/>
        <w:adjustRightInd/>
        <w:spacing w:line="560" w:lineRule="exact"/>
        <w:ind w:firstLine="643" w:firstLineChars="200"/>
        <w:textAlignment w:val="auto"/>
        <w:rPr>
          <w:rFonts w:hint="default" w:ascii="仿宋" w:hAnsi="仿宋" w:eastAsia="仿宋" w:cs="仿宋"/>
          <w:i w:val="0"/>
          <w:iCs w:val="0"/>
          <w:caps w:val="0"/>
          <w:color w:val="auto"/>
          <w:spacing w:val="0"/>
          <w:kern w:val="2"/>
          <w:sz w:val="32"/>
          <w:szCs w:val="32"/>
          <w:shd w:val="clear" w:color="auto" w:fill="FFFFFF"/>
          <w:lang w:val="en-US" w:eastAsia="zh-CN" w:bidi="ar-SA"/>
        </w:rPr>
      </w:pPr>
      <w:r>
        <w:rPr>
          <w:rFonts w:hint="eastAsia" w:ascii="仿宋" w:hAnsi="仿宋" w:eastAsia="仿宋" w:cs="仿宋"/>
          <w:b/>
          <w:bCs/>
          <w:i w:val="0"/>
          <w:iCs w:val="0"/>
          <w:caps w:val="0"/>
          <w:color w:val="auto"/>
          <w:spacing w:val="0"/>
          <w:kern w:val="2"/>
          <w:sz w:val="32"/>
          <w:szCs w:val="32"/>
          <w:shd w:val="clear" w:color="auto" w:fill="FFFFFF"/>
          <w:lang w:val="en-US" w:eastAsia="zh-CN" w:bidi="ar-SA"/>
        </w:rPr>
        <w:t>3.绩效目标设定审核不规范。</w:t>
      </w:r>
      <w:r>
        <w:rPr>
          <w:rFonts w:hint="eastAsia" w:ascii="仿宋" w:hAnsi="仿宋" w:eastAsia="仿宋" w:cs="仿宋"/>
          <w:i w:val="0"/>
          <w:iCs w:val="0"/>
          <w:caps w:val="0"/>
          <w:color w:val="auto"/>
          <w:spacing w:val="0"/>
          <w:kern w:val="2"/>
          <w:sz w:val="32"/>
          <w:szCs w:val="32"/>
          <w:shd w:val="clear" w:color="auto" w:fill="FFFFFF"/>
          <w:lang w:val="en-US" w:eastAsia="zh-CN" w:bidi="ar-SA"/>
        </w:rPr>
        <w:t>滦州市财政局审核通过的2024年预算项目绩效目标中，部分项目预算绩效目标缺少明确的指标，目标设定过于宽泛和模糊，绩效目标设置不合理，财政部门审核不规范。滦州市残疾人联合会预算项目绩效目标表中“资金支出计划”设定不合理，与项目资金实际需求情况不符。</w:t>
      </w:r>
    </w:p>
    <w:p w14:paraId="76CB866E">
      <w:pPr>
        <w:pStyle w:val="13"/>
        <w:keepNext w:val="0"/>
        <w:keepLines w:val="0"/>
        <w:pageBreakBefore w:val="0"/>
        <w:widowControl w:val="0"/>
        <w:kinsoku/>
        <w:wordWrap/>
        <w:overflowPunct/>
        <w:topLinePunct w:val="0"/>
        <w:autoSpaceDE/>
        <w:autoSpaceDN/>
        <w:bidi w:val="0"/>
        <w:adjustRightInd/>
        <w:snapToGrid w:val="0"/>
        <w:spacing w:line="560" w:lineRule="exact"/>
        <w:ind w:firstLine="643" w:firstLineChars="200"/>
        <w:jc w:val="both"/>
        <w:textAlignment w:val="auto"/>
        <w:rPr>
          <w:rFonts w:hint="default" w:ascii="仿宋" w:hAnsi="仿宋" w:eastAsia="仿宋" w:cs="仿宋"/>
          <w:b w:val="0"/>
          <w:bCs w:val="0"/>
          <w:i w:val="0"/>
          <w:iCs w:val="0"/>
          <w:caps w:val="0"/>
          <w:color w:val="auto"/>
          <w:spacing w:val="0"/>
          <w:sz w:val="32"/>
          <w:szCs w:val="32"/>
          <w:highlight w:val="none"/>
          <w:shd w:val="clear" w:color="auto" w:fill="FFFFFF"/>
          <w:lang w:val="en-US" w:eastAsia="zh-CN"/>
        </w:rPr>
      </w:pPr>
      <w:r>
        <w:rPr>
          <w:rFonts w:hint="eastAsia" w:ascii="仿宋" w:hAnsi="仿宋" w:eastAsia="仿宋" w:cs="仿宋"/>
          <w:b/>
          <w:bCs/>
          <w:i w:val="0"/>
          <w:iCs w:val="0"/>
          <w:caps w:val="0"/>
          <w:color w:val="auto"/>
          <w:spacing w:val="0"/>
          <w:sz w:val="32"/>
          <w:szCs w:val="32"/>
          <w:highlight w:val="none"/>
          <w:shd w:val="clear" w:color="auto" w:fill="FFFFFF"/>
          <w:lang w:val="en-US" w:eastAsia="zh-CN"/>
        </w:rPr>
        <w:t>4.未按规定开展绩效自评。</w:t>
      </w:r>
      <w:r>
        <w:rPr>
          <w:rFonts w:hint="eastAsia" w:ascii="仿宋" w:hAnsi="仿宋" w:eastAsia="仿宋" w:cs="仿宋"/>
          <w:b w:val="0"/>
          <w:bCs w:val="0"/>
          <w:i w:val="0"/>
          <w:iCs w:val="0"/>
          <w:caps w:val="0"/>
          <w:color w:val="auto"/>
          <w:spacing w:val="0"/>
          <w:sz w:val="32"/>
          <w:szCs w:val="32"/>
          <w:highlight w:val="none"/>
          <w:shd w:val="clear" w:color="auto" w:fill="FFFFFF"/>
          <w:lang w:val="en-US" w:eastAsia="zh-CN"/>
        </w:rPr>
        <w:t>中共滦州市委组织部部分项目未按规定开展绩效自评，财政资金使用效益和项目实施效果无法准确衡量，不能实现</w:t>
      </w:r>
      <w:r>
        <w:rPr>
          <w:rFonts w:hint="eastAsia" w:ascii="仿宋" w:hAnsi="仿宋" w:eastAsia="仿宋" w:cs="仿宋"/>
          <w:b w:val="0"/>
          <w:bCs w:val="0"/>
          <w:kern w:val="0"/>
          <w:sz w:val="32"/>
          <w:szCs w:val="32"/>
          <w:lang w:val="en-US" w:eastAsia="zh-CN" w:bidi="ar-SA"/>
        </w:rPr>
        <w:t>预算安排和绩效管理有机衔接</w:t>
      </w:r>
      <w:r>
        <w:rPr>
          <w:rFonts w:hint="eastAsia" w:ascii="仿宋" w:hAnsi="仿宋" w:eastAsia="仿宋" w:cs="仿宋"/>
          <w:b w:val="0"/>
          <w:bCs w:val="0"/>
          <w:i w:val="0"/>
          <w:iCs w:val="0"/>
          <w:caps w:val="0"/>
          <w:color w:val="auto"/>
          <w:spacing w:val="0"/>
          <w:sz w:val="32"/>
          <w:szCs w:val="32"/>
          <w:highlight w:val="none"/>
          <w:shd w:val="clear" w:color="auto" w:fill="FFFFFF"/>
          <w:lang w:val="en-US" w:eastAsia="zh-CN"/>
        </w:rPr>
        <w:t>。</w:t>
      </w:r>
    </w:p>
    <w:p w14:paraId="1E1BF7F0">
      <w:pPr>
        <w:pStyle w:val="13"/>
        <w:keepNext w:val="0"/>
        <w:keepLines w:val="0"/>
        <w:pageBreakBefore w:val="0"/>
        <w:widowControl w:val="0"/>
        <w:kinsoku/>
        <w:wordWrap/>
        <w:overflowPunct/>
        <w:topLinePunct w:val="0"/>
        <w:autoSpaceDE/>
        <w:autoSpaceDN/>
        <w:bidi w:val="0"/>
        <w:adjustRightInd/>
        <w:snapToGrid w:val="0"/>
        <w:spacing w:line="560" w:lineRule="exact"/>
        <w:ind w:firstLine="643" w:firstLineChars="200"/>
        <w:jc w:val="both"/>
        <w:textAlignment w:val="auto"/>
        <w:rPr>
          <w:rFonts w:hint="eastAsia" w:ascii="仿宋" w:hAnsi="仿宋" w:eastAsia="仿宋" w:cs="仿宋"/>
          <w:b w:val="0"/>
          <w:bCs w:val="0"/>
          <w:i w:val="0"/>
          <w:iCs w:val="0"/>
          <w:caps w:val="0"/>
          <w:color w:val="auto"/>
          <w:spacing w:val="0"/>
          <w:sz w:val="32"/>
          <w:szCs w:val="32"/>
          <w:highlight w:val="none"/>
          <w:shd w:val="clear" w:color="auto" w:fill="FFFFFF"/>
          <w:lang w:val="en-US" w:eastAsia="zh-CN"/>
        </w:rPr>
      </w:pPr>
      <w:r>
        <w:rPr>
          <w:rFonts w:hint="eastAsia" w:ascii="仿宋" w:hAnsi="仿宋" w:eastAsia="仿宋" w:cs="仿宋"/>
          <w:b/>
          <w:bCs/>
          <w:i w:val="0"/>
          <w:iCs w:val="0"/>
          <w:caps w:val="0"/>
          <w:color w:val="auto"/>
          <w:spacing w:val="0"/>
          <w:sz w:val="32"/>
          <w:szCs w:val="32"/>
          <w:highlight w:val="none"/>
          <w:shd w:val="clear" w:color="auto" w:fill="FFFFFF"/>
          <w:lang w:val="en-US" w:eastAsia="zh-CN"/>
        </w:rPr>
        <w:t>5.绩效自评未及时公开。</w:t>
      </w:r>
      <w:r>
        <w:rPr>
          <w:rFonts w:hint="eastAsia" w:ascii="仿宋" w:hAnsi="仿宋" w:eastAsia="仿宋" w:cs="仿宋"/>
          <w:b w:val="0"/>
          <w:bCs w:val="0"/>
          <w:i w:val="0"/>
          <w:iCs w:val="0"/>
          <w:caps w:val="0"/>
          <w:color w:val="auto"/>
          <w:spacing w:val="0"/>
          <w:sz w:val="32"/>
          <w:szCs w:val="32"/>
          <w:highlight w:val="none"/>
          <w:shd w:val="clear" w:color="auto" w:fill="FFFFFF"/>
          <w:lang w:val="en-US" w:eastAsia="zh-CN"/>
        </w:rPr>
        <w:t>滦州市财政局绩效自评工作开展情况、绩效自评结果未按规定及时公开。</w:t>
      </w:r>
    </w:p>
    <w:p w14:paraId="0516087C">
      <w:pPr>
        <w:pStyle w:val="13"/>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3" w:firstLineChars="200"/>
        <w:jc w:val="both"/>
        <w:textAlignment w:val="auto"/>
        <w:rPr>
          <w:rFonts w:hint="default" w:ascii="仿宋" w:hAnsi="仿宋" w:eastAsia="仿宋" w:cs="仿宋"/>
          <w:b w:val="0"/>
          <w:bCs w:val="0"/>
          <w:color w:val="auto"/>
          <w:sz w:val="32"/>
          <w:szCs w:val="32"/>
          <w:highlight w:val="none"/>
          <w:lang w:val="en-US" w:eastAsia="zh-CN"/>
        </w:rPr>
      </w:pPr>
      <w:r>
        <w:rPr>
          <w:rFonts w:hint="eastAsia" w:ascii="仿宋" w:hAnsi="仿宋" w:eastAsia="仿宋" w:cs="仿宋"/>
          <w:b/>
          <w:bCs/>
          <w:i w:val="0"/>
          <w:iCs w:val="0"/>
          <w:caps w:val="0"/>
          <w:color w:val="auto"/>
          <w:spacing w:val="0"/>
          <w:sz w:val="32"/>
          <w:szCs w:val="32"/>
          <w:highlight w:val="none"/>
          <w:shd w:val="clear" w:color="auto" w:fill="FFFFFF"/>
          <w:lang w:val="en-US" w:eastAsia="zh-CN"/>
        </w:rPr>
        <w:t>6.国有企业效益低下。</w:t>
      </w:r>
      <w:r>
        <w:rPr>
          <w:rFonts w:hint="eastAsia" w:ascii="仿宋" w:hAnsi="仿宋" w:eastAsia="仿宋" w:cs="仿宋"/>
          <w:b w:val="0"/>
          <w:bCs w:val="0"/>
          <w:i w:val="0"/>
          <w:iCs w:val="0"/>
          <w:caps w:val="0"/>
          <w:color w:val="auto"/>
          <w:spacing w:val="0"/>
          <w:sz w:val="32"/>
          <w:szCs w:val="32"/>
          <w:highlight w:val="none"/>
          <w:shd w:val="clear" w:color="auto" w:fill="FFFFFF"/>
          <w:lang w:val="en-US" w:eastAsia="zh-CN"/>
        </w:rPr>
        <w:t>截至</w:t>
      </w:r>
      <w:r>
        <w:rPr>
          <w:rFonts w:hint="eastAsia" w:ascii="仿宋" w:hAnsi="仿宋" w:eastAsia="仿宋" w:cs="仿宋"/>
          <w:b w:val="0"/>
          <w:bCs w:val="0"/>
          <w:color w:val="auto"/>
          <w:sz w:val="32"/>
          <w:szCs w:val="32"/>
          <w:highlight w:val="none"/>
          <w:lang w:val="en-US" w:eastAsia="zh-CN"/>
        </w:rPr>
        <w:t>2024年，市属国有及国有控股企业市场化程度不高，经营效益较低，国有资产未能有效保值增值。</w:t>
      </w:r>
    </w:p>
    <w:p w14:paraId="1A0DA172">
      <w:pPr>
        <w:pStyle w:val="14"/>
        <w:keepNext w:val="0"/>
        <w:keepLines w:val="0"/>
        <w:pageBreakBefore w:val="0"/>
        <w:kinsoku/>
        <w:wordWrap/>
        <w:overflowPunct/>
        <w:topLinePunct w:val="0"/>
        <w:autoSpaceDE/>
        <w:autoSpaceDN/>
        <w:bidi w:val="0"/>
        <w:spacing w:line="560" w:lineRule="exact"/>
        <w:ind w:left="0" w:leftChars="0" w:firstLine="643" w:firstLineChars="200"/>
        <w:rPr>
          <w:rFonts w:hint="eastAsia" w:ascii="楷体" w:hAnsi="楷体" w:eastAsia="楷体" w:cs="楷体"/>
          <w:b/>
          <w:bCs/>
          <w:lang w:val="en-US" w:eastAsia="zh-CN"/>
        </w:rPr>
      </w:pPr>
      <w:r>
        <w:rPr>
          <w:rFonts w:hint="eastAsia" w:ascii="楷体" w:hAnsi="楷体" w:eastAsia="楷体" w:cs="楷体"/>
          <w:b/>
          <w:bCs/>
          <w:color w:val="auto"/>
          <w:sz w:val="32"/>
          <w:szCs w:val="32"/>
          <w:highlight w:val="none"/>
          <w:lang w:val="en-US" w:eastAsia="zh-CN"/>
        </w:rPr>
        <w:t>（二）地方债务风险防范情况</w:t>
      </w:r>
    </w:p>
    <w:p w14:paraId="12379E72">
      <w:pPr>
        <w:pStyle w:val="13"/>
        <w:keepNext w:val="0"/>
        <w:keepLines w:val="0"/>
        <w:pageBreakBefore w:val="0"/>
        <w:kinsoku/>
        <w:wordWrap/>
        <w:overflowPunct/>
        <w:topLinePunct w:val="0"/>
        <w:autoSpaceDE/>
        <w:autoSpaceDN/>
        <w:bidi w:val="0"/>
        <w:adjustRightInd/>
        <w:spacing w:line="560" w:lineRule="exact"/>
        <w:ind w:firstLine="660" w:firstLineChars="200"/>
        <w:textAlignment w:val="auto"/>
        <w:rPr>
          <w:rFonts w:hint="eastAsia" w:ascii="仿宋" w:hAnsi="仿宋" w:eastAsia="仿宋" w:cs="仿宋"/>
          <w:b w:val="0"/>
          <w:bCs w:val="0"/>
          <w:i w:val="0"/>
          <w:iCs w:val="0"/>
          <w:caps w:val="0"/>
          <w:color w:val="auto"/>
          <w:spacing w:val="5"/>
          <w:kern w:val="2"/>
          <w:sz w:val="32"/>
          <w:szCs w:val="32"/>
          <w:highlight w:val="none"/>
          <w:shd w:val="clear" w:color="auto" w:fill="FFFFFF"/>
          <w:lang w:val="en-US" w:eastAsia="zh-CN" w:bidi="ar-SA"/>
        </w:rPr>
      </w:pPr>
      <w:r>
        <w:rPr>
          <w:rFonts w:hint="eastAsia" w:ascii="仿宋" w:hAnsi="仿宋" w:eastAsia="仿宋" w:cs="仿宋"/>
          <w:b w:val="0"/>
          <w:bCs w:val="0"/>
          <w:i w:val="0"/>
          <w:iCs w:val="0"/>
          <w:caps w:val="0"/>
          <w:color w:val="auto"/>
          <w:spacing w:val="5"/>
          <w:kern w:val="2"/>
          <w:sz w:val="32"/>
          <w:szCs w:val="32"/>
          <w:highlight w:val="none"/>
          <w:shd w:val="clear" w:color="auto" w:fill="FFFFFF"/>
          <w:lang w:val="en-US" w:eastAsia="zh-CN" w:bidi="ar-SA"/>
        </w:rPr>
        <w:t>部分专项债券资金闲置，未发挥效益。截至2024年底，滦州市住房和城乡建设局独立工矿区老化给水设施（古城至响嘡段）改造提升项目债券资金由于项目终止资金在财政部门结存。滦州市水利局2024年农村饮水安全巩固提升工程债券资金支出进度较慢，债券资金在财政结存。</w:t>
      </w:r>
    </w:p>
    <w:p w14:paraId="5B76C684">
      <w:pPr>
        <w:pStyle w:val="13"/>
        <w:keepNext w:val="0"/>
        <w:keepLines w:val="0"/>
        <w:pageBreakBefore w:val="0"/>
        <w:numPr>
          <w:ilvl w:val="0"/>
          <w:numId w:val="0"/>
        </w:numPr>
        <w:kinsoku/>
        <w:wordWrap/>
        <w:overflowPunct/>
        <w:topLinePunct w:val="0"/>
        <w:autoSpaceDE/>
        <w:autoSpaceDN/>
        <w:bidi w:val="0"/>
        <w:spacing w:line="560" w:lineRule="exact"/>
        <w:ind w:firstLine="643" w:firstLineChars="200"/>
        <w:jc w:val="both"/>
        <w:rPr>
          <w:rFonts w:hint="eastAsia" w:ascii="楷体" w:hAnsi="楷体" w:eastAsia="楷体" w:cs="楷体"/>
          <w:b/>
          <w:bCs/>
          <w:i w:val="0"/>
          <w:iCs w:val="0"/>
          <w:caps w:val="0"/>
          <w:color w:val="000000"/>
          <w:spacing w:val="0"/>
          <w:kern w:val="2"/>
          <w:sz w:val="32"/>
          <w:szCs w:val="32"/>
          <w:shd w:val="clear" w:color="auto" w:fill="FFFFFF"/>
          <w:lang w:val="en-US" w:eastAsia="zh-CN" w:bidi="ar-SA"/>
        </w:rPr>
      </w:pPr>
      <w:r>
        <w:rPr>
          <w:rFonts w:hint="eastAsia" w:ascii="楷体" w:hAnsi="楷体" w:eastAsia="楷体" w:cs="楷体"/>
          <w:b/>
          <w:bCs/>
          <w:i w:val="0"/>
          <w:iCs w:val="0"/>
          <w:caps w:val="0"/>
          <w:color w:val="000000"/>
          <w:spacing w:val="0"/>
          <w:kern w:val="2"/>
          <w:sz w:val="32"/>
          <w:szCs w:val="32"/>
          <w:shd w:val="clear" w:color="auto" w:fill="FFFFFF"/>
          <w:lang w:val="en-US" w:eastAsia="zh-CN" w:bidi="ar-SA"/>
        </w:rPr>
        <w:t>（三）决算草案编制情况</w:t>
      </w:r>
    </w:p>
    <w:p w14:paraId="68709174">
      <w:pPr>
        <w:pStyle w:val="13"/>
        <w:keepNext w:val="0"/>
        <w:keepLines w:val="0"/>
        <w:pageBreakBefore w:val="0"/>
        <w:widowControl w:val="0"/>
        <w:numPr>
          <w:ilvl w:val="0"/>
          <w:numId w:val="0"/>
        </w:numPr>
        <w:kinsoku/>
        <w:wordWrap/>
        <w:overflowPunct/>
        <w:topLinePunct w:val="0"/>
        <w:autoSpaceDE/>
        <w:autoSpaceDN/>
        <w:bidi w:val="0"/>
        <w:adjustRightInd/>
        <w:spacing w:line="560" w:lineRule="exact"/>
        <w:ind w:firstLine="640" w:firstLineChars="200"/>
        <w:textAlignment w:val="auto"/>
        <w:rPr>
          <w:rFonts w:hint="default" w:ascii="楷体" w:hAnsi="楷体" w:eastAsia="楷体" w:cs="楷体"/>
          <w:b/>
          <w:bCs/>
          <w:i w:val="0"/>
          <w:iCs w:val="0"/>
          <w:caps w:val="0"/>
          <w:color w:val="0000FF"/>
          <w:spacing w:val="0"/>
          <w:kern w:val="2"/>
          <w:sz w:val="32"/>
          <w:szCs w:val="32"/>
          <w:highlight w:val="none"/>
          <w:shd w:val="clear" w:color="auto" w:fill="FFFFFF"/>
          <w:lang w:val="en-US" w:eastAsia="zh-CN" w:bidi="ar-SA"/>
        </w:rPr>
      </w:pPr>
      <w:r>
        <w:rPr>
          <w:rFonts w:hint="eastAsia" w:ascii="仿宋" w:hAnsi="仿宋" w:eastAsia="仿宋" w:cs="仿宋"/>
          <w:b w:val="0"/>
          <w:bCs w:val="0"/>
          <w:i w:val="0"/>
          <w:iCs w:val="0"/>
          <w:caps w:val="0"/>
          <w:color w:val="auto"/>
          <w:spacing w:val="0"/>
          <w:sz w:val="32"/>
          <w:szCs w:val="32"/>
          <w:highlight w:val="none"/>
          <w:shd w:val="clear" w:color="auto" w:fill="FFFFFF"/>
          <w:lang w:val="en-US" w:eastAsia="zh-CN"/>
        </w:rPr>
        <w:t>应缴未缴财政收入。</w:t>
      </w:r>
      <w:r>
        <w:rPr>
          <w:rFonts w:hint="eastAsia" w:ascii="仿宋" w:hAnsi="仿宋" w:eastAsia="仿宋" w:cs="仿宋"/>
          <w:b w:val="0"/>
          <w:bCs w:val="0"/>
          <w:color w:val="auto"/>
          <w:kern w:val="0"/>
          <w:sz w:val="32"/>
          <w:szCs w:val="32"/>
          <w:highlight w:val="none"/>
          <w:lang w:val="en-US" w:eastAsia="zh-CN" w:bidi="ar-SA"/>
        </w:rPr>
        <w:t>截至2024年底，滦州市非税收入中心应缴财政款未及时缴入国库及财政专户，此问题于审计期间整改完成，收入已全部上缴。</w:t>
      </w:r>
      <w:r>
        <w:rPr>
          <w:rFonts w:hint="eastAsia" w:ascii="仿宋" w:hAnsi="仿宋" w:eastAsia="仿宋" w:cs="仿宋"/>
          <w:bCs w:val="0"/>
          <w:i w:val="0"/>
          <w:iCs w:val="0"/>
          <w:caps w:val="0"/>
          <w:color w:val="000000"/>
          <w:spacing w:val="0"/>
          <w:kern w:val="2"/>
          <w:sz w:val="32"/>
          <w:szCs w:val="32"/>
          <w:shd w:val="clear" w:color="auto" w:fill="FFFFFF"/>
          <w:lang w:val="en-US" w:eastAsia="zh-CN" w:bidi="ar-SA"/>
        </w:rPr>
        <w:t>中共滦州市委组织部结余人才奖补资金</w:t>
      </w:r>
      <w:r>
        <w:rPr>
          <w:rFonts w:hint="eastAsia" w:ascii="仿宋" w:hAnsi="仿宋" w:eastAsia="仿宋" w:cs="仿宋"/>
          <w:b w:val="0"/>
          <w:bCs w:val="0"/>
          <w:i w:val="0"/>
          <w:iCs w:val="0"/>
          <w:caps w:val="0"/>
          <w:color w:val="auto"/>
          <w:spacing w:val="0"/>
          <w:kern w:val="2"/>
          <w:sz w:val="32"/>
          <w:szCs w:val="32"/>
          <w:shd w:val="clear" w:color="auto" w:fill="FFFFFF"/>
          <w:lang w:val="en-US" w:eastAsia="zh-CN" w:bidi="ar-SA"/>
        </w:rPr>
        <w:t>2025年5月28日</w:t>
      </w:r>
      <w:r>
        <w:rPr>
          <w:rFonts w:hint="eastAsia" w:ascii="仿宋" w:hAnsi="仿宋" w:eastAsia="仿宋" w:cs="仿宋"/>
          <w:bCs w:val="0"/>
          <w:i w:val="0"/>
          <w:iCs w:val="0"/>
          <w:caps w:val="0"/>
          <w:color w:val="000000"/>
          <w:spacing w:val="0"/>
          <w:kern w:val="2"/>
          <w:sz w:val="32"/>
          <w:szCs w:val="32"/>
          <w:shd w:val="clear" w:color="auto" w:fill="FFFFFF"/>
          <w:lang w:val="en-US" w:eastAsia="zh-CN" w:bidi="ar-SA"/>
        </w:rPr>
        <w:t>上缴财政。</w:t>
      </w:r>
    </w:p>
    <w:p w14:paraId="1227A039">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pacing w:before="0" w:beforeAutospacing="0" w:after="80" w:afterAutospacing="0" w:line="560" w:lineRule="exact"/>
        <w:ind w:left="0" w:right="0" w:firstLine="643" w:firstLineChars="200"/>
        <w:jc w:val="both"/>
        <w:textAlignment w:val="auto"/>
        <w:rPr>
          <w:rFonts w:hint="eastAsia" w:ascii="楷体" w:hAnsi="楷体" w:eastAsia="楷体" w:cs="楷体"/>
          <w:b/>
          <w:bCs/>
          <w:i w:val="0"/>
          <w:iCs w:val="0"/>
          <w:strike w:val="0"/>
          <w:dstrike w:val="0"/>
          <w:color w:val="auto"/>
          <w:kern w:val="0"/>
          <w:sz w:val="32"/>
          <w:szCs w:val="32"/>
          <w:highlight w:val="none"/>
          <w:u w:val="none"/>
          <w:lang w:val="en-US" w:eastAsia="zh-CN" w:bidi="ar-SA"/>
        </w:rPr>
      </w:pPr>
      <w:r>
        <w:rPr>
          <w:rFonts w:hint="eastAsia" w:ascii="楷体" w:hAnsi="楷体" w:eastAsia="楷体" w:cs="楷体"/>
          <w:b/>
          <w:bCs/>
          <w:i w:val="0"/>
          <w:iCs w:val="0"/>
          <w:strike w:val="0"/>
          <w:dstrike w:val="0"/>
          <w:color w:val="auto"/>
          <w:kern w:val="0"/>
          <w:sz w:val="32"/>
          <w:szCs w:val="32"/>
          <w:highlight w:val="none"/>
          <w:u w:val="none"/>
          <w:lang w:val="en-US" w:eastAsia="zh-CN" w:bidi="ar-SA"/>
        </w:rPr>
        <w:t>（四）行政事业性国有资产管理情况</w:t>
      </w:r>
    </w:p>
    <w:p w14:paraId="29BFE12F">
      <w:pPr>
        <w:pStyle w:val="1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pacing w:before="0" w:beforeAutospacing="0" w:after="80" w:afterAutospacing="0" w:line="560" w:lineRule="exact"/>
        <w:ind w:right="0" w:rightChars="0" w:firstLine="643" w:firstLineChars="200"/>
        <w:jc w:val="both"/>
        <w:textAlignment w:val="auto"/>
        <w:rPr>
          <w:rFonts w:hint="eastAsia" w:ascii="仿宋" w:hAnsi="仿宋" w:eastAsia="仿宋" w:cs="仿宋"/>
          <w:b/>
          <w:bCs/>
          <w:i w:val="0"/>
          <w:iCs w:val="0"/>
          <w:strike w:val="0"/>
          <w:dstrike w:val="0"/>
          <w:color w:val="auto"/>
          <w:kern w:val="0"/>
          <w:sz w:val="32"/>
          <w:szCs w:val="32"/>
          <w:highlight w:val="none"/>
          <w:u w:val="none"/>
          <w:lang w:val="en-US" w:eastAsia="zh-CN" w:bidi="ar-SA"/>
        </w:rPr>
      </w:pPr>
      <w:r>
        <w:rPr>
          <w:rFonts w:hint="eastAsia" w:ascii="仿宋" w:hAnsi="仿宋" w:eastAsia="仿宋" w:cs="仿宋"/>
          <w:b/>
          <w:bCs/>
          <w:i w:val="0"/>
          <w:iCs w:val="0"/>
          <w:strike w:val="0"/>
          <w:dstrike w:val="0"/>
          <w:color w:val="auto"/>
          <w:kern w:val="0"/>
          <w:sz w:val="32"/>
          <w:szCs w:val="32"/>
          <w:highlight w:val="none"/>
          <w:u w:val="none"/>
          <w:lang w:val="en-US" w:eastAsia="zh-CN" w:bidi="ar-SA"/>
        </w:rPr>
        <w:t>1.行政事业性国有资产数据基础薄弱</w:t>
      </w:r>
    </w:p>
    <w:p w14:paraId="4735C046">
      <w:pPr>
        <w:pStyle w:val="1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pacing w:before="0" w:beforeAutospacing="0" w:after="80" w:afterAutospacing="0" w:line="560" w:lineRule="exact"/>
        <w:ind w:right="0" w:rightChars="0" w:firstLine="640" w:firstLineChars="200"/>
        <w:jc w:val="both"/>
        <w:textAlignment w:val="auto"/>
        <w:rPr>
          <w:rFonts w:hint="eastAsia" w:ascii="仿宋" w:hAnsi="仿宋" w:eastAsia="仿宋" w:cs="仿宋"/>
          <w:i w:val="0"/>
          <w:iCs w:val="0"/>
          <w:caps w:val="0"/>
          <w:color w:val="auto"/>
          <w:spacing w:val="0"/>
          <w:kern w:val="2"/>
          <w:sz w:val="32"/>
          <w:szCs w:val="32"/>
          <w:highlight w:val="none"/>
          <w:shd w:val="clear" w:color="auto" w:fill="FFFFFF"/>
          <w:lang w:val="en-US" w:eastAsia="zh-CN" w:bidi="ar-SA"/>
        </w:rPr>
      </w:pPr>
      <w:r>
        <w:rPr>
          <w:rFonts w:hint="eastAsia" w:ascii="仿宋" w:hAnsi="仿宋" w:eastAsia="仿宋" w:cs="仿宋"/>
          <w:color w:val="auto"/>
          <w:kern w:val="2"/>
          <w:sz w:val="32"/>
          <w:szCs w:val="32"/>
          <w:lang w:val="en-US" w:eastAsia="zh-CN" w:bidi="ar-SA"/>
        </w:rPr>
        <w:t>2024年我市</w:t>
      </w:r>
      <w:r>
        <w:rPr>
          <w:rFonts w:hint="eastAsia" w:ascii="仿宋" w:hAnsi="仿宋" w:eastAsia="仿宋" w:cs="仿宋"/>
          <w:i w:val="0"/>
          <w:iCs w:val="0"/>
          <w:caps w:val="0"/>
          <w:color w:val="auto"/>
          <w:spacing w:val="0"/>
          <w:kern w:val="2"/>
          <w:sz w:val="32"/>
          <w:szCs w:val="32"/>
          <w:highlight w:val="none"/>
          <w:shd w:val="clear" w:color="auto" w:fill="FFFFFF"/>
          <w:lang w:val="en-US" w:eastAsia="zh-CN" w:bidi="ar-SA"/>
        </w:rPr>
        <w:t>部分部门填报资产数据不准确，造成全</w:t>
      </w:r>
      <w:r>
        <w:rPr>
          <w:rFonts w:hint="eastAsia" w:ascii="仿宋" w:hAnsi="仿宋" w:eastAsia="仿宋" w:cs="仿宋"/>
          <w:color w:val="auto"/>
          <w:kern w:val="2"/>
          <w:sz w:val="32"/>
          <w:szCs w:val="32"/>
          <w:lang w:val="en-US" w:eastAsia="zh-CN" w:bidi="ar-SA"/>
        </w:rPr>
        <w:t>市行政事业性国有资产报告数据与实际不符</w:t>
      </w:r>
      <w:r>
        <w:rPr>
          <w:rFonts w:hint="eastAsia" w:ascii="仿宋" w:hAnsi="仿宋" w:eastAsia="仿宋" w:cs="仿宋"/>
          <w:i w:val="0"/>
          <w:iCs w:val="0"/>
          <w:caps w:val="0"/>
          <w:color w:val="auto"/>
          <w:spacing w:val="0"/>
          <w:kern w:val="2"/>
          <w:sz w:val="32"/>
          <w:szCs w:val="32"/>
          <w:highlight w:val="none"/>
          <w:shd w:val="clear" w:color="auto" w:fill="FFFFFF"/>
          <w:lang w:val="en-US" w:eastAsia="zh-CN" w:bidi="ar-SA"/>
        </w:rPr>
        <w:t>。</w:t>
      </w:r>
    </w:p>
    <w:p w14:paraId="50AB095C">
      <w:pPr>
        <w:pStyle w:val="14"/>
        <w:keepNext w:val="0"/>
        <w:keepLines w:val="0"/>
        <w:pageBreakBefore w:val="0"/>
        <w:numPr>
          <w:ilvl w:val="0"/>
          <w:numId w:val="0"/>
        </w:numPr>
        <w:kinsoku/>
        <w:wordWrap/>
        <w:overflowPunct/>
        <w:topLinePunct w:val="0"/>
        <w:autoSpaceDE/>
        <w:autoSpaceDN/>
        <w:bidi w:val="0"/>
        <w:spacing w:line="560" w:lineRule="exact"/>
        <w:ind w:firstLine="640" w:firstLineChars="200"/>
        <w:jc w:val="both"/>
        <w:rPr>
          <w:rFonts w:hint="eastAsia" w:ascii="仿宋" w:hAnsi="仿宋" w:eastAsia="仿宋" w:cs="仿宋"/>
          <w:i w:val="0"/>
          <w:iCs w:val="0"/>
          <w:caps w:val="0"/>
          <w:color w:val="auto"/>
          <w:spacing w:val="0"/>
          <w:kern w:val="2"/>
          <w:sz w:val="32"/>
          <w:szCs w:val="32"/>
          <w:highlight w:val="none"/>
          <w:shd w:val="clear" w:color="auto" w:fill="FFFFFF"/>
          <w:lang w:val="en-US" w:eastAsia="zh-CN" w:bidi="ar-SA"/>
        </w:rPr>
      </w:pPr>
      <w:r>
        <w:rPr>
          <w:rFonts w:hint="eastAsia" w:ascii="仿宋" w:hAnsi="仿宋" w:eastAsia="仿宋" w:cs="仿宋"/>
          <w:i w:val="0"/>
          <w:iCs w:val="0"/>
          <w:caps w:val="0"/>
          <w:color w:val="auto"/>
          <w:spacing w:val="0"/>
          <w:kern w:val="2"/>
          <w:sz w:val="32"/>
          <w:szCs w:val="32"/>
          <w:highlight w:val="none"/>
          <w:shd w:val="clear" w:color="auto" w:fill="FFFFFF"/>
          <w:lang w:val="en-US" w:eastAsia="zh-CN" w:bidi="ar-SA"/>
        </w:rPr>
        <w:t>（1）2024年行政事业性国有资产报告土地情况表权属证号填报错误，土地面积填报不准确。共涉及滦州市第四中学、滦州市青龙山国营林场、滦州市横渠实验小学、滦州市第二实验小学、滦州市第二中学、滦州市第三中学、滦州市人民医院7个单位。</w:t>
      </w:r>
    </w:p>
    <w:p w14:paraId="784E2001">
      <w:pPr>
        <w:pStyle w:val="14"/>
        <w:keepNext w:val="0"/>
        <w:keepLines w:val="0"/>
        <w:pageBreakBefore w:val="0"/>
        <w:numPr>
          <w:ilvl w:val="0"/>
          <w:numId w:val="0"/>
        </w:numPr>
        <w:kinsoku/>
        <w:wordWrap/>
        <w:overflowPunct/>
        <w:topLinePunct w:val="0"/>
        <w:autoSpaceDE/>
        <w:autoSpaceDN/>
        <w:bidi w:val="0"/>
        <w:spacing w:line="560" w:lineRule="exact"/>
        <w:ind w:firstLine="640" w:firstLineChars="200"/>
        <w:jc w:val="both"/>
        <w:rPr>
          <w:rFonts w:hint="eastAsia" w:ascii="仿宋" w:hAnsi="仿宋" w:eastAsia="仿宋" w:cs="仿宋"/>
          <w:i w:val="0"/>
          <w:iCs w:val="0"/>
          <w:caps w:val="0"/>
          <w:color w:val="auto"/>
          <w:spacing w:val="0"/>
          <w:kern w:val="2"/>
          <w:sz w:val="32"/>
          <w:szCs w:val="32"/>
          <w:highlight w:val="none"/>
          <w:shd w:val="clear" w:color="auto" w:fill="FFFFFF"/>
          <w:lang w:val="en-US" w:eastAsia="zh-CN" w:bidi="ar-SA"/>
        </w:rPr>
      </w:pPr>
      <w:r>
        <w:rPr>
          <w:rFonts w:hint="eastAsia" w:ascii="仿宋" w:hAnsi="仿宋" w:eastAsia="仿宋" w:cs="仿宋"/>
          <w:i w:val="0"/>
          <w:iCs w:val="0"/>
          <w:caps w:val="0"/>
          <w:color w:val="auto"/>
          <w:spacing w:val="0"/>
          <w:kern w:val="2"/>
          <w:sz w:val="32"/>
          <w:szCs w:val="32"/>
          <w:highlight w:val="none"/>
          <w:shd w:val="clear" w:color="auto" w:fill="FFFFFF"/>
          <w:lang w:val="en-US" w:eastAsia="zh-CN" w:bidi="ar-SA"/>
        </w:rPr>
        <w:t>（2）2024年行政事业性国有资产报告保障性住房情况表中保障性租赁住房期末账面数量为16套，原值净值均为1270207.36元，累计折旧未填列。</w:t>
      </w:r>
    </w:p>
    <w:p w14:paraId="2734D1E8">
      <w:pPr>
        <w:pStyle w:val="14"/>
        <w:keepNext w:val="0"/>
        <w:keepLines w:val="0"/>
        <w:pageBreakBefore w:val="0"/>
        <w:numPr>
          <w:ilvl w:val="0"/>
          <w:numId w:val="0"/>
        </w:numPr>
        <w:kinsoku/>
        <w:wordWrap/>
        <w:overflowPunct/>
        <w:topLinePunct w:val="0"/>
        <w:autoSpaceDE/>
        <w:autoSpaceDN/>
        <w:bidi w:val="0"/>
        <w:spacing w:line="560" w:lineRule="exact"/>
        <w:ind w:firstLine="640" w:firstLineChars="200"/>
        <w:jc w:val="both"/>
        <w:rPr>
          <w:rFonts w:hint="eastAsia" w:ascii="仿宋" w:hAnsi="仿宋" w:eastAsia="仿宋" w:cs="仿宋"/>
          <w:i w:val="0"/>
          <w:iCs w:val="0"/>
          <w:caps w:val="0"/>
          <w:color w:val="auto"/>
          <w:spacing w:val="0"/>
          <w:kern w:val="2"/>
          <w:sz w:val="32"/>
          <w:szCs w:val="32"/>
          <w:highlight w:val="none"/>
          <w:shd w:val="clear" w:color="auto" w:fill="FFFFFF"/>
          <w:lang w:val="en-US" w:eastAsia="zh-CN" w:bidi="ar-SA"/>
        </w:rPr>
      </w:pPr>
      <w:r>
        <w:rPr>
          <w:rFonts w:hint="eastAsia" w:ascii="仿宋" w:hAnsi="仿宋" w:eastAsia="仿宋" w:cs="仿宋"/>
          <w:i w:val="0"/>
          <w:iCs w:val="0"/>
          <w:caps w:val="0"/>
          <w:color w:val="auto"/>
          <w:spacing w:val="0"/>
          <w:kern w:val="2"/>
          <w:sz w:val="32"/>
          <w:szCs w:val="32"/>
          <w:highlight w:val="none"/>
          <w:shd w:val="clear" w:color="auto" w:fill="FFFFFF"/>
          <w:lang w:val="en-US" w:eastAsia="zh-CN" w:bidi="ar-SA"/>
        </w:rPr>
        <w:t>（3）2024年行政事业性国有资产报告资产出租出借情况表出租面积、出租期限、出借收益填报错误，涉及滦州市中医医院、滦州市杨柳庄镇人民政府、滦州市交通运输局、滦州市职业技术教育中心4个单位。</w:t>
      </w:r>
    </w:p>
    <w:p w14:paraId="14F7F004">
      <w:pPr>
        <w:pStyle w:val="14"/>
        <w:keepNext w:val="0"/>
        <w:keepLines w:val="0"/>
        <w:pageBreakBefore w:val="0"/>
        <w:numPr>
          <w:ilvl w:val="0"/>
          <w:numId w:val="0"/>
        </w:numPr>
        <w:kinsoku/>
        <w:wordWrap/>
        <w:overflowPunct/>
        <w:topLinePunct w:val="0"/>
        <w:autoSpaceDE/>
        <w:autoSpaceDN/>
        <w:bidi w:val="0"/>
        <w:spacing w:line="560" w:lineRule="exact"/>
        <w:ind w:firstLine="640" w:firstLineChars="200"/>
        <w:jc w:val="both"/>
        <w:rPr>
          <w:rFonts w:hint="eastAsia" w:ascii="仿宋" w:hAnsi="仿宋" w:eastAsia="仿宋" w:cs="仿宋"/>
          <w:i w:val="0"/>
          <w:iCs w:val="0"/>
          <w:caps w:val="0"/>
          <w:color w:val="auto"/>
          <w:spacing w:val="0"/>
          <w:kern w:val="2"/>
          <w:sz w:val="32"/>
          <w:szCs w:val="32"/>
          <w:highlight w:val="none"/>
          <w:shd w:val="clear" w:color="auto" w:fill="FFFFFF"/>
          <w:lang w:val="en-US" w:eastAsia="zh-CN" w:bidi="ar-SA"/>
        </w:rPr>
      </w:pPr>
      <w:r>
        <w:rPr>
          <w:rFonts w:hint="eastAsia" w:ascii="仿宋" w:hAnsi="仿宋" w:eastAsia="仿宋" w:cs="仿宋"/>
          <w:i w:val="0"/>
          <w:iCs w:val="0"/>
          <w:caps w:val="0"/>
          <w:color w:val="auto"/>
          <w:spacing w:val="0"/>
          <w:kern w:val="2"/>
          <w:sz w:val="32"/>
          <w:szCs w:val="32"/>
          <w:highlight w:val="none"/>
          <w:shd w:val="clear" w:color="auto" w:fill="FFFFFF"/>
          <w:lang w:val="en-US" w:eastAsia="zh-CN" w:bidi="ar-SA"/>
        </w:rPr>
        <w:t>（4）2024年滦州市国有资产管理系统实时资产查询信息表中①河北省滦州市殡仪馆、滦州市自然资源和规划局将资产取得方式应为购置的电脑、软件填列为自行研制，涉及3条资产信息。②滦州市自然资源和规划局涉及470条资产信息折旧/摊销方法为不折旧，实际已计提折旧。③滦州市中山实验学校13条盘亏资产仍在表中显示，未及时进行账务处理。</w:t>
      </w:r>
    </w:p>
    <w:p w14:paraId="1B58FECC">
      <w:pPr>
        <w:pStyle w:val="14"/>
        <w:keepNext w:val="0"/>
        <w:keepLines w:val="0"/>
        <w:pageBreakBefore w:val="0"/>
        <w:numPr>
          <w:ilvl w:val="0"/>
          <w:numId w:val="0"/>
        </w:numPr>
        <w:kinsoku/>
        <w:wordWrap/>
        <w:overflowPunct/>
        <w:topLinePunct w:val="0"/>
        <w:autoSpaceDE/>
        <w:autoSpaceDN/>
        <w:bidi w:val="0"/>
        <w:spacing w:line="560" w:lineRule="exact"/>
        <w:ind w:firstLine="643" w:firstLineChars="200"/>
        <w:jc w:val="both"/>
        <w:rPr>
          <w:rFonts w:hint="eastAsia" w:ascii="仿宋" w:hAnsi="仿宋" w:eastAsia="仿宋" w:cs="仿宋"/>
          <w:i w:val="0"/>
          <w:iCs w:val="0"/>
          <w:caps w:val="0"/>
          <w:color w:val="auto"/>
          <w:spacing w:val="0"/>
          <w:kern w:val="2"/>
          <w:sz w:val="32"/>
          <w:szCs w:val="32"/>
          <w:highlight w:val="none"/>
          <w:shd w:val="clear" w:color="auto" w:fill="FFFFFF"/>
          <w:lang w:val="en-US" w:eastAsia="zh-CN" w:bidi="ar-SA"/>
        </w:rPr>
      </w:pPr>
      <w:r>
        <w:rPr>
          <w:rFonts w:hint="eastAsia" w:ascii="仿宋" w:hAnsi="仿宋" w:eastAsia="仿宋" w:cs="仿宋"/>
          <w:b/>
          <w:bCs/>
          <w:i w:val="0"/>
          <w:iCs w:val="0"/>
          <w:caps w:val="0"/>
          <w:color w:val="auto"/>
          <w:spacing w:val="0"/>
          <w:kern w:val="2"/>
          <w:sz w:val="32"/>
          <w:szCs w:val="32"/>
          <w:highlight w:val="none"/>
          <w:shd w:val="clear" w:color="auto" w:fill="FFFFFF"/>
          <w:lang w:val="en-US" w:eastAsia="zh-CN" w:bidi="ar-SA"/>
        </w:rPr>
        <w:t>2.未及时结转固定资产。</w:t>
      </w:r>
      <w:r>
        <w:rPr>
          <w:rFonts w:hint="eastAsia" w:ascii="仿宋" w:hAnsi="仿宋" w:eastAsia="仿宋" w:cs="仿宋"/>
          <w:i w:val="0"/>
          <w:iCs w:val="0"/>
          <w:caps w:val="0"/>
          <w:color w:val="auto"/>
          <w:spacing w:val="0"/>
          <w:kern w:val="2"/>
          <w:sz w:val="32"/>
          <w:szCs w:val="32"/>
          <w:highlight w:val="none"/>
          <w:shd w:val="clear" w:color="auto" w:fill="FFFFFF"/>
          <w:lang w:val="en-US" w:eastAsia="zh-CN" w:bidi="ar-SA"/>
        </w:rPr>
        <w:t>2024年行政事业性国有资产报告在建工程情况表中在建工程已投入使用或已竣工验收审计未及时结转固定资产，涉及滦州市</w:t>
      </w:r>
      <w:r>
        <w:rPr>
          <w:rFonts w:hint="eastAsia" w:ascii="仿宋" w:hAnsi="仿宋" w:eastAsia="仿宋" w:cs="仿宋"/>
          <w:color w:val="auto"/>
          <w:sz w:val="32"/>
          <w:szCs w:val="32"/>
          <w:lang w:val="en-US" w:eastAsia="zh-CN"/>
        </w:rPr>
        <w:t>住房和城乡建设局、滦州市行政审批局、滦州市城市供水中心3</w:t>
      </w:r>
      <w:r>
        <w:rPr>
          <w:rFonts w:hint="eastAsia" w:ascii="仿宋" w:hAnsi="仿宋" w:eastAsia="仿宋" w:cs="仿宋"/>
          <w:i w:val="0"/>
          <w:iCs w:val="0"/>
          <w:caps w:val="0"/>
          <w:color w:val="auto"/>
          <w:spacing w:val="0"/>
          <w:kern w:val="2"/>
          <w:sz w:val="32"/>
          <w:szCs w:val="32"/>
          <w:highlight w:val="none"/>
          <w:shd w:val="clear" w:color="auto" w:fill="FFFFFF"/>
          <w:lang w:val="en-US" w:eastAsia="zh-CN" w:bidi="ar-SA"/>
        </w:rPr>
        <w:t>个单位8个项目。</w:t>
      </w:r>
    </w:p>
    <w:p w14:paraId="0072D2D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left"/>
        <w:textAlignment w:val="auto"/>
        <w:outlineLvl w:val="9"/>
        <w:rPr>
          <w:rFonts w:hint="eastAsia" w:ascii="仿宋" w:hAnsi="仿宋" w:eastAsia="仿宋" w:cs="仿宋"/>
          <w:i w:val="0"/>
          <w:iCs w:val="0"/>
          <w:caps w:val="0"/>
          <w:color w:val="auto"/>
          <w:spacing w:val="0"/>
          <w:kern w:val="2"/>
          <w:sz w:val="32"/>
          <w:szCs w:val="32"/>
          <w:shd w:val="clear" w:color="auto" w:fill="FFFFFF"/>
          <w:lang w:val="en-US" w:eastAsia="zh-CN" w:bidi="ar-SA"/>
        </w:rPr>
      </w:pPr>
      <w:r>
        <w:rPr>
          <w:rFonts w:hint="eastAsia" w:ascii="仿宋" w:hAnsi="仿宋" w:eastAsia="仿宋" w:cs="仿宋"/>
          <w:b/>
          <w:bCs/>
          <w:sz w:val="32"/>
          <w:szCs w:val="32"/>
          <w:lang w:val="en-US" w:eastAsia="zh-CN"/>
        </w:rPr>
        <w:t>3.公共基础设施未按规定计提折旧。</w:t>
      </w:r>
      <w:r>
        <w:rPr>
          <w:rFonts w:hint="eastAsia" w:ascii="仿宋" w:hAnsi="仿宋" w:eastAsia="仿宋" w:cs="仿宋"/>
          <w:i w:val="0"/>
          <w:iCs w:val="0"/>
          <w:caps w:val="0"/>
          <w:color w:val="auto"/>
          <w:spacing w:val="0"/>
          <w:kern w:val="2"/>
          <w:sz w:val="32"/>
          <w:szCs w:val="32"/>
          <w:shd w:val="clear" w:color="auto" w:fill="FFFFFF"/>
          <w:lang w:val="en-US" w:eastAsia="zh-CN" w:bidi="ar-SA"/>
        </w:rPr>
        <w:t>2024年行政事业性国有资产报告公共基础设施-市政基础设施情况表市政交通设施中道路、交通安全管理设施原值净值相等，期初账面数、期末账面数累计折旧/摊销为0。</w:t>
      </w:r>
    </w:p>
    <w:p w14:paraId="637CB6D8">
      <w:pPr>
        <w:pStyle w:val="14"/>
        <w:keepNext w:val="0"/>
        <w:keepLines w:val="0"/>
        <w:pageBreakBefore w:val="0"/>
        <w:widowControl w:val="0"/>
        <w:numPr>
          <w:ilvl w:val="0"/>
          <w:numId w:val="0"/>
        </w:numPr>
        <w:kinsoku/>
        <w:wordWrap/>
        <w:overflowPunct/>
        <w:topLinePunct w:val="0"/>
        <w:autoSpaceDE/>
        <w:autoSpaceDN/>
        <w:bidi w:val="0"/>
        <w:spacing w:line="560" w:lineRule="exact"/>
        <w:ind w:left="0" w:leftChars="0" w:firstLine="643" w:firstLineChars="200"/>
        <w:jc w:val="left"/>
        <w:rPr>
          <w:rFonts w:hint="eastAsia" w:ascii="仿宋" w:hAnsi="仿宋" w:eastAsia="仿宋" w:cs="仿宋"/>
          <w:i w:val="0"/>
          <w:iCs w:val="0"/>
          <w:caps w:val="0"/>
          <w:color w:val="auto"/>
          <w:spacing w:val="0"/>
          <w:kern w:val="2"/>
          <w:sz w:val="32"/>
          <w:szCs w:val="32"/>
          <w:shd w:val="clear" w:color="auto" w:fill="FFFFFF"/>
          <w:lang w:val="en-US" w:eastAsia="zh-CN" w:bidi="ar-SA"/>
        </w:rPr>
      </w:pPr>
      <w:r>
        <w:rPr>
          <w:rFonts w:hint="eastAsia" w:ascii="仿宋" w:hAnsi="仿宋" w:eastAsia="仿宋" w:cs="仿宋"/>
          <w:b/>
          <w:bCs/>
          <w:i w:val="0"/>
          <w:iCs w:val="0"/>
          <w:caps w:val="0"/>
          <w:color w:val="auto"/>
          <w:spacing w:val="0"/>
          <w:kern w:val="2"/>
          <w:sz w:val="32"/>
          <w:szCs w:val="32"/>
          <w:shd w:val="clear" w:color="auto" w:fill="FFFFFF"/>
          <w:lang w:val="en-US" w:eastAsia="zh-CN" w:bidi="ar-SA"/>
        </w:rPr>
        <w:t>4.固定资产账实、账表不一致。</w:t>
      </w:r>
      <w:r>
        <w:rPr>
          <w:rFonts w:hint="eastAsia" w:ascii="仿宋" w:hAnsi="仿宋" w:eastAsia="仿宋" w:cs="仿宋"/>
          <w:i w:val="0"/>
          <w:iCs w:val="0"/>
          <w:caps w:val="0"/>
          <w:color w:val="auto"/>
          <w:spacing w:val="0"/>
          <w:kern w:val="2"/>
          <w:sz w:val="32"/>
          <w:szCs w:val="32"/>
          <w:shd w:val="clear" w:color="auto" w:fill="FFFFFF"/>
          <w:lang w:val="en-US" w:eastAsia="zh-CN" w:bidi="ar-SA"/>
        </w:rPr>
        <w:t>滦州市融媒体中心国有资产管理系统数据与财务账不一致，滦州市残疾人联合会相关固定资产已处置未及时进行资产减少处理，导致资产账实不符。</w:t>
      </w:r>
    </w:p>
    <w:p w14:paraId="373EBE49">
      <w:pPr>
        <w:pStyle w:val="14"/>
        <w:keepNext w:val="0"/>
        <w:keepLines w:val="0"/>
        <w:pageBreakBefore w:val="0"/>
        <w:widowControl w:val="0"/>
        <w:numPr>
          <w:ilvl w:val="0"/>
          <w:numId w:val="0"/>
        </w:numPr>
        <w:kinsoku/>
        <w:wordWrap/>
        <w:overflowPunct/>
        <w:topLinePunct w:val="0"/>
        <w:autoSpaceDE/>
        <w:autoSpaceDN/>
        <w:bidi w:val="0"/>
        <w:spacing w:line="560" w:lineRule="exact"/>
        <w:ind w:left="0" w:leftChars="0" w:firstLine="643" w:firstLineChars="200"/>
        <w:jc w:val="both"/>
        <w:rPr>
          <w:rFonts w:hint="default" w:ascii="仿宋" w:hAnsi="仿宋" w:eastAsia="仿宋" w:cs="仿宋"/>
          <w:i w:val="0"/>
          <w:iCs w:val="0"/>
          <w:caps w:val="0"/>
          <w:color w:val="auto"/>
          <w:spacing w:val="0"/>
          <w:kern w:val="2"/>
          <w:sz w:val="32"/>
          <w:szCs w:val="32"/>
          <w:shd w:val="clear" w:color="auto" w:fill="FFFFFF"/>
          <w:lang w:val="en-US" w:eastAsia="zh-CN" w:bidi="ar-SA"/>
        </w:rPr>
      </w:pPr>
      <w:r>
        <w:rPr>
          <w:rFonts w:hint="eastAsia" w:ascii="仿宋" w:hAnsi="仿宋" w:eastAsia="仿宋" w:cs="仿宋"/>
          <w:b/>
          <w:bCs/>
          <w:i w:val="0"/>
          <w:iCs w:val="0"/>
          <w:caps w:val="0"/>
          <w:color w:val="auto"/>
          <w:spacing w:val="0"/>
          <w:kern w:val="2"/>
          <w:sz w:val="32"/>
          <w:szCs w:val="32"/>
          <w:shd w:val="clear" w:color="auto" w:fill="FFFFFF"/>
          <w:lang w:val="en-US" w:eastAsia="zh-CN" w:bidi="ar-SA"/>
        </w:rPr>
        <w:t>5.</w:t>
      </w:r>
      <w:r>
        <w:rPr>
          <w:rFonts w:hint="default" w:ascii="仿宋" w:hAnsi="仿宋" w:eastAsia="仿宋" w:cs="仿宋"/>
          <w:b/>
          <w:bCs/>
          <w:i w:val="0"/>
          <w:iCs w:val="0"/>
          <w:caps w:val="0"/>
          <w:color w:val="auto"/>
          <w:spacing w:val="0"/>
          <w:kern w:val="2"/>
          <w:sz w:val="32"/>
          <w:szCs w:val="32"/>
          <w:shd w:val="clear" w:color="auto" w:fill="FFFFFF"/>
          <w:lang w:val="en-US" w:eastAsia="zh-CN" w:bidi="ar-SA"/>
        </w:rPr>
        <w:t>固定资产长期闲置未处置</w:t>
      </w:r>
      <w:r>
        <w:rPr>
          <w:rFonts w:hint="eastAsia" w:ascii="仿宋" w:hAnsi="仿宋" w:eastAsia="仿宋" w:cs="仿宋"/>
          <w:b/>
          <w:bCs/>
          <w:i w:val="0"/>
          <w:iCs w:val="0"/>
          <w:caps w:val="0"/>
          <w:color w:val="auto"/>
          <w:spacing w:val="0"/>
          <w:kern w:val="2"/>
          <w:sz w:val="32"/>
          <w:szCs w:val="32"/>
          <w:shd w:val="clear" w:color="auto" w:fill="FFFFFF"/>
          <w:lang w:val="en-US" w:eastAsia="zh-CN" w:bidi="ar-SA"/>
        </w:rPr>
        <w:t>。</w:t>
      </w:r>
      <w:r>
        <w:rPr>
          <w:rFonts w:hint="default" w:ascii="仿宋" w:hAnsi="仿宋" w:eastAsia="仿宋" w:cs="仿宋"/>
          <w:i w:val="0"/>
          <w:iCs w:val="0"/>
          <w:caps w:val="0"/>
          <w:color w:val="auto"/>
          <w:spacing w:val="0"/>
          <w:kern w:val="2"/>
          <w:sz w:val="32"/>
          <w:szCs w:val="32"/>
          <w:shd w:val="clear" w:color="auto" w:fill="FFFFFF"/>
          <w:lang w:val="en-US" w:eastAsia="zh-CN" w:bidi="ar-SA"/>
        </w:rPr>
        <w:t>滦州市残疾人联合会</w:t>
      </w:r>
      <w:r>
        <w:rPr>
          <w:rFonts w:hint="eastAsia" w:ascii="仿宋" w:hAnsi="仿宋" w:eastAsia="仿宋" w:cs="仿宋"/>
          <w:i w:val="0"/>
          <w:iCs w:val="0"/>
          <w:caps w:val="0"/>
          <w:color w:val="auto"/>
          <w:spacing w:val="0"/>
          <w:kern w:val="2"/>
          <w:sz w:val="32"/>
          <w:szCs w:val="32"/>
          <w:shd w:val="clear" w:color="auto" w:fill="FFFFFF"/>
          <w:lang w:val="en-US" w:eastAsia="zh-CN" w:bidi="ar-SA"/>
        </w:rPr>
        <w:t>5项资产</w:t>
      </w:r>
      <w:r>
        <w:rPr>
          <w:rFonts w:hint="default" w:ascii="仿宋" w:hAnsi="仿宋" w:eastAsia="仿宋" w:cs="仿宋"/>
          <w:i w:val="0"/>
          <w:iCs w:val="0"/>
          <w:caps w:val="0"/>
          <w:color w:val="auto"/>
          <w:spacing w:val="0"/>
          <w:kern w:val="2"/>
          <w:sz w:val="32"/>
          <w:szCs w:val="32"/>
          <w:shd w:val="clear" w:color="auto" w:fill="FFFFFF"/>
          <w:lang w:val="en-US" w:eastAsia="zh-CN" w:bidi="ar-SA"/>
        </w:rPr>
        <w:t>已达报废年限且不能使用，闲置</w:t>
      </w:r>
      <w:r>
        <w:rPr>
          <w:rFonts w:hint="eastAsia" w:ascii="仿宋" w:hAnsi="仿宋" w:eastAsia="仿宋" w:cs="仿宋"/>
          <w:i w:val="0"/>
          <w:iCs w:val="0"/>
          <w:caps w:val="0"/>
          <w:color w:val="auto"/>
          <w:spacing w:val="0"/>
          <w:kern w:val="2"/>
          <w:sz w:val="32"/>
          <w:szCs w:val="32"/>
          <w:shd w:val="clear" w:color="auto" w:fill="FFFFFF"/>
          <w:lang w:val="en-US" w:eastAsia="zh-CN" w:bidi="ar-SA"/>
        </w:rPr>
        <w:t>十五年以上</w:t>
      </w:r>
      <w:r>
        <w:rPr>
          <w:rFonts w:hint="default" w:ascii="仿宋" w:hAnsi="仿宋" w:eastAsia="仿宋" w:cs="仿宋"/>
          <w:i w:val="0"/>
          <w:iCs w:val="0"/>
          <w:caps w:val="0"/>
          <w:color w:val="auto"/>
          <w:spacing w:val="0"/>
          <w:kern w:val="2"/>
          <w:sz w:val="32"/>
          <w:szCs w:val="32"/>
          <w:shd w:val="clear" w:color="auto" w:fill="FFFFFF"/>
          <w:lang w:val="en-US" w:eastAsia="zh-CN" w:bidi="ar-SA"/>
        </w:rPr>
        <w:t>未</w:t>
      </w:r>
      <w:r>
        <w:rPr>
          <w:rFonts w:hint="eastAsia" w:ascii="仿宋" w:hAnsi="仿宋" w:eastAsia="仿宋" w:cs="仿宋"/>
          <w:i w:val="0"/>
          <w:iCs w:val="0"/>
          <w:caps w:val="0"/>
          <w:color w:val="auto"/>
          <w:spacing w:val="0"/>
          <w:kern w:val="2"/>
          <w:sz w:val="32"/>
          <w:szCs w:val="32"/>
          <w:shd w:val="clear" w:color="auto" w:fill="FFFFFF"/>
          <w:lang w:val="en-US" w:eastAsia="zh-CN" w:bidi="ar-SA"/>
        </w:rPr>
        <w:t>进行</w:t>
      </w:r>
      <w:r>
        <w:rPr>
          <w:rFonts w:hint="default" w:ascii="仿宋" w:hAnsi="仿宋" w:eastAsia="仿宋" w:cs="仿宋"/>
          <w:i w:val="0"/>
          <w:iCs w:val="0"/>
          <w:caps w:val="0"/>
          <w:color w:val="auto"/>
          <w:spacing w:val="0"/>
          <w:kern w:val="2"/>
          <w:sz w:val="32"/>
          <w:szCs w:val="32"/>
          <w:shd w:val="clear" w:color="auto" w:fill="FFFFFF"/>
          <w:lang w:val="en-US" w:eastAsia="zh-CN" w:bidi="ar-SA"/>
        </w:rPr>
        <w:t>处置</w:t>
      </w:r>
      <w:r>
        <w:rPr>
          <w:rFonts w:hint="eastAsia" w:ascii="仿宋" w:hAnsi="仿宋" w:eastAsia="仿宋" w:cs="仿宋"/>
          <w:i w:val="0"/>
          <w:iCs w:val="0"/>
          <w:caps w:val="0"/>
          <w:color w:val="auto"/>
          <w:spacing w:val="0"/>
          <w:kern w:val="2"/>
          <w:sz w:val="32"/>
          <w:szCs w:val="32"/>
          <w:shd w:val="clear" w:color="auto" w:fill="FFFFFF"/>
          <w:lang w:val="en-US" w:eastAsia="zh-CN" w:bidi="ar-SA"/>
        </w:rPr>
        <w:t>。</w:t>
      </w:r>
    </w:p>
    <w:p w14:paraId="5617C5C9">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pacing w:before="0" w:beforeAutospacing="0" w:after="80" w:afterAutospacing="0" w:line="560" w:lineRule="exact"/>
        <w:ind w:left="0" w:right="0" w:firstLine="643" w:firstLineChars="200"/>
        <w:jc w:val="both"/>
        <w:textAlignment w:val="auto"/>
        <w:rPr>
          <w:rFonts w:hint="eastAsia" w:ascii="楷体" w:hAnsi="楷体" w:eastAsia="楷体" w:cs="楷体"/>
          <w:b/>
          <w:bCs/>
          <w:i w:val="0"/>
          <w:iCs w:val="0"/>
          <w:strike w:val="0"/>
          <w:dstrike w:val="0"/>
          <w:color w:val="auto"/>
          <w:kern w:val="0"/>
          <w:sz w:val="32"/>
          <w:szCs w:val="32"/>
          <w:highlight w:val="none"/>
          <w:u w:val="none"/>
          <w:lang w:val="en-US" w:eastAsia="zh-CN" w:bidi="ar-SA"/>
        </w:rPr>
      </w:pPr>
      <w:r>
        <w:rPr>
          <w:rFonts w:hint="eastAsia" w:ascii="楷体" w:hAnsi="楷体" w:eastAsia="楷体" w:cs="楷体"/>
          <w:b/>
          <w:bCs/>
          <w:i w:val="0"/>
          <w:iCs w:val="0"/>
          <w:strike w:val="0"/>
          <w:dstrike w:val="0"/>
          <w:color w:val="auto"/>
          <w:kern w:val="0"/>
          <w:sz w:val="32"/>
          <w:szCs w:val="32"/>
          <w:highlight w:val="none"/>
          <w:u w:val="none"/>
          <w:lang w:val="en-US" w:eastAsia="zh-CN" w:bidi="ar-SA"/>
        </w:rPr>
        <w:t>（五）会计基础管理情况</w:t>
      </w:r>
    </w:p>
    <w:p w14:paraId="1E16A28B">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pacing w:before="0" w:beforeAutospacing="0" w:after="80" w:afterAutospacing="0" w:line="560" w:lineRule="exact"/>
        <w:ind w:left="0" w:right="0" w:firstLine="643" w:firstLineChars="200"/>
        <w:jc w:val="both"/>
        <w:textAlignment w:val="auto"/>
        <w:rPr>
          <w:rFonts w:hint="default" w:ascii="仿宋" w:hAnsi="仿宋" w:eastAsia="仿宋" w:cs="仿宋"/>
          <w:i w:val="0"/>
          <w:iCs w:val="0"/>
          <w:caps w:val="0"/>
          <w:color w:val="auto"/>
          <w:spacing w:val="0"/>
          <w:kern w:val="2"/>
          <w:sz w:val="32"/>
          <w:szCs w:val="32"/>
          <w:shd w:val="clear" w:color="auto" w:fill="FFFFFF"/>
          <w:lang w:val="en-US" w:eastAsia="zh-CN" w:bidi="ar-SA"/>
        </w:rPr>
      </w:pPr>
      <w:r>
        <w:rPr>
          <w:rFonts w:hint="eastAsia" w:ascii="仿宋" w:hAnsi="仿宋" w:eastAsia="仿宋" w:cs="仿宋"/>
          <w:b/>
          <w:bCs/>
          <w:i w:val="0"/>
          <w:iCs w:val="0"/>
          <w:caps w:val="0"/>
          <w:color w:val="auto"/>
          <w:spacing w:val="0"/>
          <w:kern w:val="2"/>
          <w:sz w:val="32"/>
          <w:szCs w:val="32"/>
          <w:shd w:val="clear" w:color="auto" w:fill="FFFFFF"/>
          <w:lang w:val="en-US" w:eastAsia="zh-CN" w:bidi="ar-SA"/>
        </w:rPr>
        <w:t>1.会计核算不规范，会计信息失真。</w:t>
      </w:r>
      <w:r>
        <w:rPr>
          <w:rFonts w:hint="eastAsia" w:ascii="仿宋" w:hAnsi="仿宋" w:eastAsia="仿宋" w:cs="仿宋"/>
          <w:i w:val="0"/>
          <w:iCs w:val="0"/>
          <w:caps w:val="0"/>
          <w:color w:val="auto"/>
          <w:spacing w:val="0"/>
          <w:kern w:val="2"/>
          <w:sz w:val="32"/>
          <w:szCs w:val="32"/>
          <w:shd w:val="clear" w:color="auto" w:fill="FFFFFF"/>
          <w:lang w:val="en-US" w:eastAsia="zh-CN" w:bidi="ar-SA"/>
        </w:rPr>
        <w:t>2024年，滦州市融媒体中心“其他应交税费--应缴个人所得税”科目余额应为贷方正值，由于会计核算错误导致该科目期初、期末贷方余额均为负数。滦州市残疾人联合会2021年、2022年已开具发票的货物购置项目于2024年1月记账，未在经济业务发生时及时进行会计核算。</w:t>
      </w:r>
    </w:p>
    <w:p w14:paraId="2CE29513">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pacing w:before="0" w:beforeAutospacing="0" w:after="80" w:afterAutospacing="0" w:line="560" w:lineRule="exact"/>
        <w:ind w:left="0" w:right="0" w:firstLine="643" w:firstLineChars="200"/>
        <w:jc w:val="both"/>
        <w:textAlignment w:val="auto"/>
        <w:rPr>
          <w:rFonts w:hint="default" w:ascii="仿宋" w:hAnsi="仿宋" w:eastAsia="仿宋" w:cs="仿宋"/>
          <w:i w:val="0"/>
          <w:iCs w:val="0"/>
          <w:caps w:val="0"/>
          <w:color w:val="auto"/>
          <w:spacing w:val="0"/>
          <w:kern w:val="2"/>
          <w:sz w:val="32"/>
          <w:szCs w:val="32"/>
          <w:shd w:val="clear" w:color="auto" w:fill="FFFFFF"/>
          <w:lang w:val="en-US" w:eastAsia="zh-CN" w:bidi="ar-SA"/>
        </w:rPr>
      </w:pPr>
      <w:r>
        <w:rPr>
          <w:rFonts w:hint="eastAsia" w:ascii="仿宋" w:hAnsi="仿宋" w:eastAsia="仿宋" w:cs="仿宋"/>
          <w:b/>
          <w:bCs/>
          <w:i w:val="0"/>
          <w:iCs w:val="0"/>
          <w:caps w:val="0"/>
          <w:color w:val="auto"/>
          <w:spacing w:val="0"/>
          <w:kern w:val="2"/>
          <w:sz w:val="32"/>
          <w:szCs w:val="32"/>
          <w:shd w:val="clear" w:color="auto" w:fill="FFFFFF"/>
          <w:lang w:val="en-US" w:eastAsia="zh-CN" w:bidi="ar-SA"/>
        </w:rPr>
        <w:t>2.原始凭证不齐全。</w:t>
      </w:r>
      <w:r>
        <w:rPr>
          <w:rFonts w:hint="eastAsia" w:ascii="仿宋" w:hAnsi="仿宋" w:eastAsia="仿宋" w:cs="仿宋"/>
          <w:i w:val="0"/>
          <w:iCs w:val="0"/>
          <w:caps w:val="0"/>
          <w:color w:val="auto"/>
          <w:spacing w:val="0"/>
          <w:kern w:val="2"/>
          <w:sz w:val="32"/>
          <w:szCs w:val="32"/>
          <w:shd w:val="clear" w:color="auto" w:fill="FFFFFF"/>
          <w:lang w:val="en-US" w:eastAsia="zh-CN" w:bidi="ar-SA"/>
        </w:rPr>
        <w:t>中共滦州市委组织部发放工会集体福利未附领取人员名单，支付各镇村干部职务补贴及银行手续费缺少银行回执及扣款凭证。</w:t>
      </w:r>
      <w:r>
        <w:rPr>
          <w:rFonts w:hint="default" w:ascii="仿宋" w:hAnsi="仿宋" w:eastAsia="仿宋" w:cs="仿宋"/>
          <w:b w:val="0"/>
          <w:bCs w:val="0"/>
          <w:i w:val="0"/>
          <w:iCs w:val="0"/>
          <w:strike w:val="0"/>
          <w:dstrike w:val="0"/>
          <w:color w:val="auto"/>
          <w:kern w:val="0"/>
          <w:sz w:val="32"/>
          <w:szCs w:val="32"/>
          <w:highlight w:val="none"/>
          <w:u w:val="none"/>
          <w:lang w:val="en-US" w:eastAsia="zh-CN" w:bidi="ar-SA"/>
        </w:rPr>
        <w:t>中共</w:t>
      </w:r>
      <w:r>
        <w:rPr>
          <w:rFonts w:hint="eastAsia" w:ascii="仿宋" w:hAnsi="仿宋" w:eastAsia="仿宋" w:cs="仿宋"/>
          <w:i w:val="0"/>
          <w:iCs w:val="0"/>
          <w:caps w:val="0"/>
          <w:color w:val="auto"/>
          <w:spacing w:val="0"/>
          <w:kern w:val="2"/>
          <w:sz w:val="32"/>
          <w:szCs w:val="32"/>
          <w:shd w:val="clear" w:color="auto" w:fill="FFFFFF"/>
          <w:lang w:val="en-US" w:eastAsia="zh-CN" w:bidi="ar-SA"/>
        </w:rPr>
        <w:t>滦州市委党校列支租车费缺少租赁合同。</w:t>
      </w:r>
    </w:p>
    <w:p w14:paraId="30CFB761">
      <w:pPr>
        <w:pStyle w:val="16"/>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pacing w:before="0" w:beforeAutospacing="0" w:after="80" w:afterAutospacing="0" w:line="560" w:lineRule="exact"/>
        <w:ind w:left="0" w:right="0" w:firstLine="643" w:firstLineChars="200"/>
        <w:jc w:val="both"/>
        <w:textAlignment w:val="auto"/>
        <w:rPr>
          <w:rFonts w:hint="eastAsia" w:ascii="楷体" w:hAnsi="楷体" w:eastAsia="楷体" w:cs="楷体"/>
          <w:b/>
          <w:bCs/>
          <w:i w:val="0"/>
          <w:iCs w:val="0"/>
          <w:strike w:val="0"/>
          <w:dstrike w:val="0"/>
          <w:color w:val="auto"/>
          <w:kern w:val="0"/>
          <w:sz w:val="32"/>
          <w:szCs w:val="32"/>
          <w:highlight w:val="none"/>
          <w:u w:val="none"/>
          <w:lang w:val="en-US" w:eastAsia="zh-CN" w:bidi="ar-SA"/>
        </w:rPr>
      </w:pPr>
      <w:r>
        <w:rPr>
          <w:rFonts w:hint="eastAsia" w:ascii="楷体" w:hAnsi="楷体" w:eastAsia="楷体" w:cs="楷体"/>
          <w:b/>
          <w:bCs/>
          <w:i w:val="0"/>
          <w:iCs w:val="0"/>
          <w:strike w:val="0"/>
          <w:dstrike w:val="0"/>
          <w:color w:val="auto"/>
          <w:kern w:val="0"/>
          <w:sz w:val="32"/>
          <w:szCs w:val="32"/>
          <w:highlight w:val="none"/>
          <w:u w:val="none"/>
          <w:lang w:val="en-US" w:eastAsia="zh-CN" w:bidi="ar-SA"/>
        </w:rPr>
        <w:t>内部控制制度落实情况</w:t>
      </w:r>
    </w:p>
    <w:p w14:paraId="58A93572">
      <w:pPr>
        <w:pStyle w:val="1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pacing w:before="0" w:beforeAutospacing="0" w:after="80" w:afterAutospacing="0" w:line="560" w:lineRule="exact"/>
        <w:ind w:right="0" w:rightChars="0" w:firstLine="640" w:firstLineChars="200"/>
        <w:jc w:val="both"/>
        <w:textAlignment w:val="auto"/>
        <w:rPr>
          <w:rFonts w:hint="default" w:ascii="仿宋" w:hAnsi="仿宋" w:eastAsia="仿宋" w:cs="仿宋"/>
          <w:b w:val="0"/>
          <w:bCs w:val="0"/>
          <w:i w:val="0"/>
          <w:iCs w:val="0"/>
          <w:strike w:val="0"/>
          <w:dstrike w:val="0"/>
          <w:color w:val="auto"/>
          <w:kern w:val="0"/>
          <w:sz w:val="32"/>
          <w:szCs w:val="32"/>
          <w:highlight w:val="none"/>
          <w:u w:val="none"/>
          <w:lang w:val="en-US" w:eastAsia="zh-CN" w:bidi="ar-SA"/>
        </w:rPr>
      </w:pPr>
      <w:r>
        <w:rPr>
          <w:rFonts w:hint="eastAsia" w:ascii="仿宋" w:hAnsi="仿宋" w:eastAsia="仿宋" w:cs="仿宋"/>
          <w:b w:val="0"/>
          <w:bCs w:val="0"/>
          <w:i w:val="0"/>
          <w:iCs w:val="0"/>
          <w:strike w:val="0"/>
          <w:dstrike w:val="0"/>
          <w:color w:val="auto"/>
          <w:kern w:val="0"/>
          <w:sz w:val="32"/>
          <w:szCs w:val="32"/>
          <w:highlight w:val="none"/>
          <w:u w:val="none"/>
          <w:lang w:val="en-US" w:eastAsia="zh-CN" w:bidi="ar-SA"/>
        </w:rPr>
        <w:t>物资采购验收环节不规范。</w:t>
      </w:r>
      <w:r>
        <w:rPr>
          <w:rFonts w:hint="default" w:ascii="仿宋" w:hAnsi="仿宋" w:eastAsia="仿宋" w:cs="仿宋"/>
          <w:b w:val="0"/>
          <w:bCs w:val="0"/>
          <w:i w:val="0"/>
          <w:iCs w:val="0"/>
          <w:strike w:val="0"/>
          <w:dstrike w:val="0"/>
          <w:color w:val="auto"/>
          <w:kern w:val="0"/>
          <w:sz w:val="32"/>
          <w:szCs w:val="32"/>
          <w:highlight w:val="none"/>
          <w:u w:val="none"/>
          <w:lang w:val="en-US" w:eastAsia="zh-CN" w:bidi="ar-SA"/>
        </w:rPr>
        <w:t>中共滦州市委组织部</w:t>
      </w:r>
      <w:r>
        <w:rPr>
          <w:rFonts w:hint="eastAsia" w:ascii="仿宋" w:hAnsi="仿宋" w:eastAsia="仿宋" w:cs="仿宋"/>
          <w:b w:val="0"/>
          <w:bCs w:val="0"/>
          <w:i w:val="0"/>
          <w:iCs w:val="0"/>
          <w:strike w:val="0"/>
          <w:dstrike w:val="0"/>
          <w:color w:val="auto"/>
          <w:kern w:val="0"/>
          <w:sz w:val="32"/>
          <w:szCs w:val="32"/>
          <w:highlight w:val="none"/>
          <w:u w:val="none"/>
          <w:lang w:val="en-US" w:eastAsia="zh-CN" w:bidi="ar-SA"/>
        </w:rPr>
        <w:t>购买全棉四件套项目验收书仅经办人1人签字验收；购买蒸锅项目验收小组成员为偶数。滦州市残疾人联合会对购买的货物验收时未填写履约验收结论性意见，</w:t>
      </w:r>
      <w:r>
        <w:rPr>
          <w:rFonts w:hint="default" w:ascii="仿宋" w:hAnsi="仿宋" w:eastAsia="仿宋" w:cs="仿宋"/>
          <w:b w:val="0"/>
          <w:bCs w:val="0"/>
          <w:i w:val="0"/>
          <w:iCs w:val="0"/>
          <w:strike w:val="0"/>
          <w:dstrike w:val="0"/>
          <w:color w:val="auto"/>
          <w:kern w:val="0"/>
          <w:sz w:val="32"/>
          <w:szCs w:val="32"/>
          <w:highlight w:val="none"/>
          <w:u w:val="none"/>
          <w:lang w:val="en-US" w:eastAsia="zh-CN" w:bidi="ar-SA"/>
        </w:rPr>
        <w:t>物资采购验收环节缺乏有效监督，单位内部控制</w:t>
      </w:r>
      <w:r>
        <w:rPr>
          <w:rFonts w:hint="eastAsia" w:ascii="仿宋" w:hAnsi="仿宋" w:eastAsia="仿宋" w:cs="仿宋"/>
          <w:b w:val="0"/>
          <w:bCs w:val="0"/>
          <w:i w:val="0"/>
          <w:iCs w:val="0"/>
          <w:strike w:val="0"/>
          <w:dstrike w:val="0"/>
          <w:color w:val="auto"/>
          <w:kern w:val="0"/>
          <w:sz w:val="32"/>
          <w:szCs w:val="32"/>
          <w:highlight w:val="none"/>
          <w:u w:val="none"/>
          <w:lang w:val="en-US" w:eastAsia="zh-CN" w:bidi="ar-SA"/>
        </w:rPr>
        <w:t>制度落实不到位。</w:t>
      </w:r>
    </w:p>
    <w:p w14:paraId="5745E372">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pacing w:before="0" w:beforeAutospacing="0" w:after="80" w:afterAutospacing="0" w:line="560" w:lineRule="exact"/>
        <w:ind w:left="0" w:right="0" w:firstLine="643" w:firstLineChars="200"/>
        <w:jc w:val="both"/>
        <w:textAlignment w:val="auto"/>
        <w:rPr>
          <w:rFonts w:hint="eastAsia" w:ascii="楷体" w:hAnsi="楷体" w:eastAsia="楷体" w:cs="楷体"/>
          <w:b/>
          <w:bCs/>
          <w:i w:val="0"/>
          <w:iCs w:val="0"/>
          <w:strike w:val="0"/>
          <w:dstrike w:val="0"/>
          <w:color w:val="auto"/>
          <w:kern w:val="0"/>
          <w:sz w:val="32"/>
          <w:szCs w:val="32"/>
          <w:highlight w:val="none"/>
          <w:u w:val="none"/>
          <w:lang w:val="en-US" w:eastAsia="zh-CN" w:bidi="ar-SA"/>
        </w:rPr>
      </w:pPr>
      <w:r>
        <w:rPr>
          <w:rFonts w:hint="eastAsia" w:ascii="楷体" w:hAnsi="楷体" w:eastAsia="楷体" w:cs="楷体"/>
          <w:b/>
          <w:bCs/>
          <w:i w:val="0"/>
          <w:iCs w:val="0"/>
          <w:strike w:val="0"/>
          <w:dstrike w:val="0"/>
          <w:color w:val="auto"/>
          <w:kern w:val="0"/>
          <w:sz w:val="32"/>
          <w:szCs w:val="32"/>
          <w:highlight w:val="none"/>
          <w:u w:val="none"/>
          <w:lang w:val="en-US" w:eastAsia="zh-CN" w:bidi="ar-SA"/>
        </w:rPr>
        <w:t>（七）以前年度审计发现问题整改落实情况</w:t>
      </w:r>
    </w:p>
    <w:p w14:paraId="62BF04A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lang w:val="en-US" w:eastAsia="zh-CN"/>
        </w:rPr>
      </w:pPr>
      <w:r>
        <w:rPr>
          <w:rFonts w:hint="eastAsia" w:ascii="仿宋" w:hAnsi="仿宋" w:eastAsia="仿宋" w:cs="仿宋"/>
          <w:b w:val="0"/>
          <w:bCs w:val="0"/>
          <w:i w:val="0"/>
          <w:iCs w:val="0"/>
          <w:strike w:val="0"/>
          <w:dstrike w:val="0"/>
          <w:color w:val="auto"/>
          <w:kern w:val="0"/>
          <w:sz w:val="32"/>
          <w:szCs w:val="32"/>
          <w:highlight w:val="none"/>
          <w:u w:val="none"/>
          <w:lang w:val="en-US" w:eastAsia="zh-CN" w:bidi="ar-SA"/>
        </w:rPr>
        <w:t>滦州市本级2023年预算执行、决算草案和其他财政财务收支情况审计发现四方面8个问题，截至审计日，未整改完成问题1个，为</w:t>
      </w:r>
      <w:r>
        <w:rPr>
          <w:rFonts w:hint="eastAsia" w:ascii="仿宋_GB2312" w:hAnsi="Times New Roman" w:eastAsia="仿宋_GB2312" w:cs="仿宋_GB2312"/>
          <w:kern w:val="0"/>
          <w:sz w:val="32"/>
          <w:szCs w:val="32"/>
          <w:lang w:val="en-US" w:eastAsia="zh-CN"/>
        </w:rPr>
        <w:t>滦州市人民医院古城院区标准化建设项目专项债券资金</w:t>
      </w:r>
      <w:r>
        <w:rPr>
          <w:rFonts w:hint="eastAsia" w:ascii="仿宋_GB2312" w:hAnsi="Times New Roman" w:cs="仿宋_GB2312"/>
          <w:kern w:val="0"/>
          <w:sz w:val="32"/>
          <w:szCs w:val="32"/>
          <w:lang w:val="en-US" w:eastAsia="zh-CN"/>
        </w:rPr>
        <w:t>在财政</w:t>
      </w:r>
      <w:r>
        <w:rPr>
          <w:rFonts w:hint="eastAsia" w:ascii="仿宋_GB2312" w:hAnsi="Times New Roman" w:eastAsia="仿宋_GB2312" w:cs="仿宋_GB2312"/>
          <w:kern w:val="0"/>
          <w:sz w:val="32"/>
          <w:szCs w:val="32"/>
          <w:lang w:val="en-US" w:eastAsia="zh-CN"/>
        </w:rPr>
        <w:t>结存，支付进度缓慢问题。此问题预计2025年12月底整改完成。</w:t>
      </w:r>
    </w:p>
    <w:p w14:paraId="71BC46A3">
      <w:pPr>
        <w:keepNext w:val="0"/>
        <w:keepLines w:val="0"/>
        <w:pageBreakBefore w:val="0"/>
        <w:widowControl w:val="0"/>
        <w:numPr>
          <w:ilvl w:val="0"/>
          <w:numId w:val="0"/>
        </w:numPr>
        <w:kinsoku/>
        <w:wordWrap/>
        <w:overflowPunct/>
        <w:topLinePunct w:val="0"/>
        <w:autoSpaceDE/>
        <w:autoSpaceDN/>
        <w:bidi w:val="0"/>
        <w:spacing w:line="560" w:lineRule="exact"/>
        <w:ind w:leftChars="50" w:firstLine="640" w:firstLineChars="200"/>
        <w:outlineLvl w:val="0"/>
        <w:rPr>
          <w:rFonts w:hint="eastAsia" w:ascii="仿宋" w:hAnsi="仿宋" w:eastAsia="仿宋" w:cs="Times New Roman"/>
          <w:color w:val="auto"/>
          <w:kern w:val="2"/>
          <w:sz w:val="32"/>
          <w:szCs w:val="32"/>
          <w:highlight w:val="none"/>
          <w:lang w:val="en-US" w:eastAsia="zh-CN" w:bidi="ar-SA"/>
        </w:rPr>
      </w:pPr>
      <w:r>
        <w:rPr>
          <w:rFonts w:hint="eastAsia" w:ascii="黑体" w:eastAsia="黑体" w:cs="Times New Roman"/>
          <w:sz w:val="32"/>
          <w:szCs w:val="32"/>
          <w:lang w:val="en-US" w:eastAsia="zh-CN"/>
        </w:rPr>
        <w:t>三、加强财政预算管理的意见</w:t>
      </w:r>
    </w:p>
    <w:p w14:paraId="6C40AD6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outlineLvl w:val="1"/>
        <w:rPr>
          <w:rFonts w:hint="eastAsia" w:ascii="仿宋_GB2312" w:hAnsi="Times New Roman" w:eastAsia="仿宋_GB2312" w:cs="仿宋_GB2312"/>
          <w:color w:val="auto"/>
          <w:kern w:val="0"/>
          <w:sz w:val="32"/>
          <w:szCs w:val="32"/>
          <w:lang w:val="en-US" w:eastAsia="zh-CN"/>
        </w:rPr>
      </w:pPr>
      <w:r>
        <w:rPr>
          <w:rFonts w:hint="eastAsia" w:ascii="楷体" w:hAnsi="楷体" w:eastAsia="楷体" w:cs="楷体"/>
          <w:b/>
          <w:bCs/>
          <w:color w:val="auto"/>
          <w:kern w:val="2"/>
          <w:sz w:val="32"/>
          <w:szCs w:val="32"/>
          <w:lang w:val="en-US" w:eastAsia="zh-CN" w:bidi="ar-SA"/>
        </w:rPr>
        <w:t>（一）深化预算管理制度改革，提升财政资源统筹效能与绩效管理水平。</w:t>
      </w:r>
      <w:r>
        <w:rPr>
          <w:rFonts w:hint="eastAsia" w:ascii="仿宋" w:hAnsi="仿宋" w:eastAsia="仿宋" w:cs="仿宋"/>
          <w:b w:val="0"/>
          <w:bCs w:val="0"/>
          <w:color w:val="auto"/>
          <w:kern w:val="2"/>
          <w:sz w:val="32"/>
          <w:szCs w:val="32"/>
          <w:lang w:val="en-US" w:eastAsia="zh-CN" w:bidi="ar-SA"/>
        </w:rPr>
        <w:t>要</w:t>
      </w:r>
      <w:r>
        <w:rPr>
          <w:rFonts w:hint="eastAsia" w:ascii="仿宋_GB2312" w:hAnsi="Times New Roman" w:eastAsia="仿宋_GB2312" w:cs="仿宋_GB2312"/>
          <w:color w:val="auto"/>
          <w:kern w:val="0"/>
          <w:sz w:val="32"/>
          <w:szCs w:val="32"/>
          <w:lang w:val="en-US" w:eastAsia="zh-CN"/>
        </w:rPr>
        <w:t>强化对存量资金的常态化盘活与统筹使用，深化预算绩效目标管理，严把审核关，确保目标科学、精准、可衡量。同时，推动健全国有资本经营预算制度，完善对国有企业考核评价体系，切实提升国有企业运营效益和国有资本回报率，服务全市发展大局。</w:t>
      </w:r>
    </w:p>
    <w:p w14:paraId="1202F81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outlineLvl w:val="1"/>
        <w:rPr>
          <w:rFonts w:hint="eastAsia" w:ascii="仿宋" w:hAnsi="仿宋" w:eastAsia="仿宋" w:cs="仿宋"/>
          <w:color w:val="0070C0"/>
          <w:kern w:val="2"/>
          <w:sz w:val="32"/>
          <w:szCs w:val="32"/>
          <w:highlight w:val="none"/>
          <w:lang w:val="en-US" w:eastAsia="zh-CN" w:bidi="ar-SA"/>
        </w:rPr>
      </w:pPr>
      <w:r>
        <w:rPr>
          <w:rFonts w:hint="eastAsia" w:ascii="楷体" w:hAnsi="楷体" w:eastAsia="楷体" w:cs="楷体"/>
          <w:b/>
          <w:bCs/>
          <w:color w:val="auto"/>
          <w:kern w:val="2"/>
          <w:sz w:val="32"/>
          <w:szCs w:val="32"/>
          <w:highlight w:val="none"/>
          <w:lang w:val="en-US" w:eastAsia="zh-CN" w:bidi="ar-SA"/>
        </w:rPr>
        <w:t>（二）强化地方政府专项债券全生命周期管理，切实防范化解债务风险。</w:t>
      </w:r>
      <w:r>
        <w:rPr>
          <w:rFonts w:hint="eastAsia" w:ascii="仿宋" w:hAnsi="仿宋" w:eastAsia="仿宋" w:cs="仿宋"/>
          <w:color w:val="auto"/>
          <w:kern w:val="2"/>
          <w:sz w:val="32"/>
          <w:szCs w:val="32"/>
          <w:highlight w:val="none"/>
          <w:lang w:val="en-US" w:eastAsia="zh-CN" w:bidi="ar-SA"/>
        </w:rPr>
        <w:t>科学谋划债券项目，完善政府投资效益评估机制，加强项目前期工作，严防资金闲置沉淀；加强专项债券使用管理，切实履行债券资金管理使用主体责任，确保债券资金高效合规使用；增强地方政府债务风险意识，加强债券项目全方位监测，实现对专项债券项目全周期、常态化风险监控，牢牢守住不发生系统性风险的底线。</w:t>
      </w:r>
    </w:p>
    <w:p w14:paraId="0F34095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outlineLvl w:val="1"/>
        <w:rPr>
          <w:rFonts w:hint="eastAsia" w:ascii="仿宋" w:hAnsi="仿宋" w:eastAsia="仿宋" w:cs="仿宋"/>
          <w:color w:val="auto"/>
          <w:kern w:val="2"/>
          <w:sz w:val="32"/>
          <w:szCs w:val="32"/>
          <w:highlight w:val="none"/>
          <w:lang w:val="en-US" w:eastAsia="zh-CN" w:bidi="ar-SA"/>
        </w:rPr>
      </w:pPr>
      <w:r>
        <w:rPr>
          <w:rFonts w:hint="eastAsia" w:ascii="楷体" w:hAnsi="楷体" w:eastAsia="楷体" w:cs="楷体"/>
          <w:b/>
          <w:bCs/>
          <w:color w:val="auto"/>
          <w:kern w:val="2"/>
          <w:sz w:val="32"/>
          <w:szCs w:val="32"/>
          <w:lang w:val="en-US" w:eastAsia="zh-CN" w:bidi="ar-SA"/>
        </w:rPr>
        <w:t>（三）严格规范决算草案编制，确保财政收支真实准确完整。</w:t>
      </w:r>
      <w:r>
        <w:rPr>
          <w:rFonts w:hint="eastAsia" w:ascii="仿宋" w:hAnsi="仿宋" w:eastAsia="仿宋" w:cs="仿宋"/>
          <w:color w:val="auto"/>
          <w:kern w:val="2"/>
          <w:sz w:val="32"/>
          <w:szCs w:val="32"/>
          <w:lang w:val="en-US" w:eastAsia="zh-CN" w:bidi="ar-SA"/>
        </w:rPr>
        <w:t>严格执行《预算法》及其实施条例，确保所有依法取得的财政收入及时足额缴入国库，维护决算草案的真实性、准确性和严肃性。</w:t>
      </w:r>
    </w:p>
    <w:p w14:paraId="2D43905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outlineLvl w:val="1"/>
        <w:rPr>
          <w:rFonts w:hint="eastAsia" w:ascii="仿宋" w:hAnsi="仿宋" w:eastAsia="仿宋" w:cs="仿宋"/>
          <w:color w:val="auto"/>
          <w:kern w:val="2"/>
          <w:sz w:val="32"/>
          <w:szCs w:val="32"/>
          <w:lang w:val="en-US" w:eastAsia="zh-CN" w:bidi="ar-SA"/>
        </w:rPr>
      </w:pPr>
      <w:r>
        <w:rPr>
          <w:rFonts w:hint="eastAsia" w:ascii="楷体" w:hAnsi="楷体" w:eastAsia="楷体" w:cs="楷体"/>
          <w:b/>
          <w:bCs/>
          <w:color w:val="auto"/>
          <w:kern w:val="2"/>
          <w:sz w:val="32"/>
          <w:szCs w:val="32"/>
          <w:lang w:val="en-US" w:eastAsia="zh-CN" w:bidi="ar-SA"/>
        </w:rPr>
        <w:t>（四）强化资产管理意识，提高资产管理能力。</w:t>
      </w:r>
      <w:r>
        <w:rPr>
          <w:rFonts w:hint="eastAsia" w:ascii="仿宋" w:hAnsi="仿宋" w:eastAsia="仿宋" w:cs="仿宋"/>
          <w:color w:val="auto"/>
          <w:kern w:val="2"/>
          <w:sz w:val="32"/>
          <w:szCs w:val="32"/>
          <w:lang w:val="en-US" w:eastAsia="zh-CN" w:bidi="ar-SA"/>
        </w:rPr>
        <w:t>切实提高资产管理意识，严格执行国有资产各项规章制度，严肃落实主体责任，构建权责清晰、配置科学、使用高效、处置规范、监督有力的行政事业性国有资产管理体制，夯实国有资产基础管理工作；加快闲置国有资产共享共用机制建设，切实提升国有资产管理效能和使用效益。</w:t>
      </w:r>
    </w:p>
    <w:p w14:paraId="7F01768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outlineLvl w:val="1"/>
        <w:rPr>
          <w:rFonts w:hint="eastAsia" w:ascii="仿宋" w:hAnsi="仿宋" w:eastAsia="仿宋" w:cs="Times New Roman"/>
          <w:color w:val="auto"/>
          <w:kern w:val="2"/>
          <w:sz w:val="32"/>
          <w:szCs w:val="32"/>
          <w:u w:val="none"/>
          <w:lang w:val="en-US" w:eastAsia="zh-CN" w:bidi="ar-SA"/>
        </w:rPr>
      </w:pPr>
      <w:r>
        <w:rPr>
          <w:rFonts w:hint="eastAsia" w:ascii="楷体" w:hAnsi="楷体" w:eastAsia="楷体" w:cs="楷体"/>
          <w:b/>
          <w:bCs/>
          <w:color w:val="auto"/>
          <w:kern w:val="2"/>
          <w:sz w:val="32"/>
          <w:szCs w:val="32"/>
          <w:lang w:val="en-US" w:eastAsia="zh-CN" w:bidi="ar-SA"/>
        </w:rPr>
        <w:t>（五）立足岗位职责，提高履职能力。</w:t>
      </w:r>
      <w:r>
        <w:rPr>
          <w:rFonts w:hint="eastAsia" w:ascii="仿宋" w:hAnsi="仿宋" w:eastAsia="仿宋" w:cs="仿宋"/>
          <w:b w:val="0"/>
          <w:bCs w:val="0"/>
          <w:color w:val="auto"/>
          <w:kern w:val="2"/>
          <w:sz w:val="32"/>
          <w:szCs w:val="32"/>
          <w:lang w:val="en-US" w:eastAsia="zh-CN" w:bidi="ar-SA"/>
        </w:rPr>
        <w:t>强化会计核算主体责任意识，严格执行会计准则及账务处理规范，夯实会计基础工作，确保会计信息真实、准确；严守内部控制规范，落实物资采购验收环节岗位职责分离，全面提升财政财务管理的规范化、精细化水平和风险防控能力。</w:t>
      </w:r>
    </w:p>
    <w:p w14:paraId="33ABE310">
      <w:pPr>
        <w:keepNext w:val="0"/>
        <w:keepLines w:val="0"/>
        <w:pageBreakBefore w:val="0"/>
        <w:widowControl w:val="0"/>
        <w:numPr>
          <w:ilvl w:val="0"/>
          <w:numId w:val="0"/>
        </w:numPr>
        <w:kinsoku/>
        <w:wordWrap/>
        <w:overflowPunct/>
        <w:topLinePunct w:val="0"/>
        <w:autoSpaceDE/>
        <w:autoSpaceDN/>
        <w:bidi w:val="0"/>
        <w:spacing w:line="560" w:lineRule="exact"/>
        <w:ind w:firstLine="640" w:firstLineChars="200"/>
        <w:rPr>
          <w:rFonts w:hint="eastAsia" w:ascii="仿宋" w:hAnsi="仿宋" w:eastAsia="仿宋" w:cs="Times New Roman"/>
          <w:color w:val="auto"/>
          <w:kern w:val="2"/>
          <w:sz w:val="32"/>
          <w:szCs w:val="32"/>
          <w:u w:val="none"/>
          <w:lang w:val="en-US" w:eastAsia="zh-CN" w:bidi="ar-SA"/>
        </w:rPr>
      </w:pPr>
      <w:r>
        <w:rPr>
          <w:rFonts w:hint="eastAsia" w:ascii="仿宋" w:hAnsi="仿宋" w:eastAsia="仿宋" w:cs="Times New Roman"/>
          <w:color w:val="auto"/>
          <w:kern w:val="2"/>
          <w:sz w:val="32"/>
          <w:szCs w:val="32"/>
          <w:u w:val="none"/>
          <w:lang w:val="en-US" w:eastAsia="zh-CN" w:bidi="ar-SA"/>
        </w:rPr>
        <w:t>对本报告反映的问题已依法征求被审计单位意见并出具了审计报告，提出了有针对性的审计建议，要求相关被审计单位限期整改。审计局将持续跟踪督促有关部门和单位认真从严抓好审计发现问题整改工作，年底前报告整改情况。</w:t>
      </w:r>
      <w:bookmarkStart w:id="12" w:name="_GoBack"/>
      <w:bookmarkEnd w:id="12"/>
    </w:p>
    <w:p w14:paraId="19EEBBB6">
      <w:pPr>
        <w:keepNext w:val="0"/>
        <w:keepLines w:val="0"/>
        <w:pageBreakBefore w:val="0"/>
        <w:widowControl w:val="0"/>
        <w:numPr>
          <w:ilvl w:val="0"/>
          <w:numId w:val="0"/>
        </w:numPr>
        <w:kinsoku/>
        <w:wordWrap/>
        <w:overflowPunct/>
        <w:topLinePunct w:val="0"/>
        <w:autoSpaceDE/>
        <w:autoSpaceDN/>
        <w:bidi w:val="0"/>
        <w:spacing w:line="560" w:lineRule="exact"/>
        <w:ind w:firstLine="640" w:firstLineChars="200"/>
        <w:rPr>
          <w:rFonts w:hint="eastAsia" w:ascii="仿宋" w:hAnsi="仿宋" w:eastAsia="仿宋" w:cs="仿宋"/>
          <w:highlight w:val="none"/>
          <w:lang w:val="en-US" w:eastAsia="zh-CN"/>
        </w:rPr>
      </w:pPr>
    </w:p>
    <w:sectPr>
      <w:footerReference r:id="rId3" w:type="default"/>
      <w:pgSz w:w="11906" w:h="16838"/>
      <w:pgMar w:top="2098" w:right="1474" w:bottom="1984" w:left="1587"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00" w:usb3="00000000" w:csb0="0004009F" w:csb1="DFD70000"/>
  </w:font>
  <w:font w:name="方正小标宋简体">
    <w:panose1 w:val="03000509000000000000"/>
    <w:charset w:val="86"/>
    <w:family w:val="auto"/>
    <w:pitch w:val="default"/>
    <w:sig w:usb0="00000001" w:usb1="080E0000" w:usb2="00000000" w:usb3="00000000" w:csb0="00040000" w:csb1="00000000"/>
  </w:font>
  <w:font w:name="方正楷体简体">
    <w:altName w:val="宋体"/>
    <w:panose1 w:val="02010601030101010101"/>
    <w:charset w:val="86"/>
    <w:family w:val="script"/>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D1EAFD">
    <w:pPr>
      <w:pStyle w:val="11"/>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A26A17">
                          <w:pPr>
                            <w:pStyle w:val="1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00A26A17">
                    <w:pPr>
                      <w:pStyle w:val="11"/>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04C5F13"/>
    <w:multiLevelType w:val="singleLevel"/>
    <w:tmpl w:val="504C5F13"/>
    <w:lvl w:ilvl="0" w:tentative="0">
      <w:start w:val="6"/>
      <w:numFmt w:val="chineseCounting"/>
      <w:suff w:val="nothing"/>
      <w:lvlText w:val="（%1）"/>
      <w:lvlJc w:val="left"/>
      <w:rPr>
        <w:rFonts w:hint="eastAsia"/>
      </w:rPr>
    </w:lvl>
  </w:abstractNum>
  <w:abstractNum w:abstractNumId="1">
    <w:nsid w:val="6A7CCAE0"/>
    <w:multiLevelType w:val="singleLevel"/>
    <w:tmpl w:val="6A7CCAE0"/>
    <w:lvl w:ilvl="0" w:tentative="0">
      <w:start w:val="2"/>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NmNTYxNTFjMzdiYzE2OGYxM2M5ODg5MDk3N2UyNjQifQ=="/>
  </w:docVars>
  <w:rsids>
    <w:rsidRoot w:val="5E7B1D6D"/>
    <w:rsid w:val="00C11FDA"/>
    <w:rsid w:val="0144698A"/>
    <w:rsid w:val="0231362F"/>
    <w:rsid w:val="032470C5"/>
    <w:rsid w:val="0CB437FC"/>
    <w:rsid w:val="0CE27CA8"/>
    <w:rsid w:val="0DEB25F2"/>
    <w:rsid w:val="112C71E6"/>
    <w:rsid w:val="125D5446"/>
    <w:rsid w:val="12DA1AE3"/>
    <w:rsid w:val="13D44784"/>
    <w:rsid w:val="141F3614"/>
    <w:rsid w:val="16A3587A"/>
    <w:rsid w:val="1978322B"/>
    <w:rsid w:val="1A605966"/>
    <w:rsid w:val="1B9F38C9"/>
    <w:rsid w:val="1D59739C"/>
    <w:rsid w:val="1DB4289C"/>
    <w:rsid w:val="1EB12291"/>
    <w:rsid w:val="231E77CA"/>
    <w:rsid w:val="24735788"/>
    <w:rsid w:val="255B69D9"/>
    <w:rsid w:val="25966774"/>
    <w:rsid w:val="27306100"/>
    <w:rsid w:val="28C16623"/>
    <w:rsid w:val="2A425821"/>
    <w:rsid w:val="2CC27AA7"/>
    <w:rsid w:val="2EBA1883"/>
    <w:rsid w:val="30D013BE"/>
    <w:rsid w:val="35811B60"/>
    <w:rsid w:val="38BC6370"/>
    <w:rsid w:val="3B0F1104"/>
    <w:rsid w:val="3C882ABE"/>
    <w:rsid w:val="3C9C3F52"/>
    <w:rsid w:val="3CBE7BFC"/>
    <w:rsid w:val="3DE04971"/>
    <w:rsid w:val="3DEA4487"/>
    <w:rsid w:val="3E1E6079"/>
    <w:rsid w:val="41A24135"/>
    <w:rsid w:val="43DE2931"/>
    <w:rsid w:val="456B4365"/>
    <w:rsid w:val="489B4B78"/>
    <w:rsid w:val="4A3E412A"/>
    <w:rsid w:val="4AB62838"/>
    <w:rsid w:val="4BAC2D47"/>
    <w:rsid w:val="50E74368"/>
    <w:rsid w:val="514D2BA7"/>
    <w:rsid w:val="518A3789"/>
    <w:rsid w:val="534650AE"/>
    <w:rsid w:val="53961C8B"/>
    <w:rsid w:val="553E1482"/>
    <w:rsid w:val="5A7B6861"/>
    <w:rsid w:val="5E126AB4"/>
    <w:rsid w:val="5E7B1D6D"/>
    <w:rsid w:val="61182D3F"/>
    <w:rsid w:val="645D0A98"/>
    <w:rsid w:val="663A3EE7"/>
    <w:rsid w:val="69034A64"/>
    <w:rsid w:val="6AF74958"/>
    <w:rsid w:val="6C9E6375"/>
    <w:rsid w:val="6E7A267C"/>
    <w:rsid w:val="6F70619D"/>
    <w:rsid w:val="6F851AE8"/>
    <w:rsid w:val="73810090"/>
    <w:rsid w:val="76CA63C9"/>
    <w:rsid w:val="7AB03CBF"/>
    <w:rsid w:val="7B6A7C5F"/>
    <w:rsid w:val="7B7946BD"/>
    <w:rsid w:val="7C9B7F72"/>
    <w:rsid w:val="7FC237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iPriority="99"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styleId="2">
    <w:name w:val="heading 2"/>
    <w:basedOn w:val="1"/>
    <w:next w:val="1"/>
    <w:qFormat/>
    <w:uiPriority w:val="0"/>
    <w:pPr>
      <w:keepNext/>
      <w:keepLines/>
      <w:spacing w:line="413" w:lineRule="auto"/>
      <w:outlineLvl w:val="1"/>
    </w:pPr>
    <w:rPr>
      <w:rFonts w:ascii="Arial" w:hAnsi="Arial" w:eastAsia="黑体"/>
      <w:b/>
    </w:rPr>
  </w:style>
  <w:style w:type="character" w:default="1" w:styleId="19">
    <w:name w:val="Default Paragraph Font"/>
    <w:semiHidden/>
    <w:qFormat/>
    <w:uiPriority w:val="0"/>
  </w:style>
  <w:style w:type="table" w:default="1" w:styleId="18">
    <w:name w:val="Normal Table"/>
    <w:semiHidden/>
    <w:qFormat/>
    <w:uiPriority w:val="0"/>
    <w:tblPr>
      <w:tblCellMar>
        <w:top w:w="0" w:type="dxa"/>
        <w:left w:w="108" w:type="dxa"/>
        <w:bottom w:w="0" w:type="dxa"/>
        <w:right w:w="108" w:type="dxa"/>
      </w:tblCellMar>
    </w:tblPr>
  </w:style>
  <w:style w:type="paragraph" w:styleId="3">
    <w:name w:val="Normal Indent"/>
    <w:basedOn w:val="1"/>
    <w:qFormat/>
    <w:uiPriority w:val="0"/>
    <w:pPr>
      <w:ind w:firstLine="420"/>
    </w:pPr>
  </w:style>
  <w:style w:type="paragraph" w:styleId="4">
    <w:name w:val="Body Text 3"/>
    <w:basedOn w:val="1"/>
    <w:next w:val="5"/>
    <w:qFormat/>
    <w:uiPriority w:val="0"/>
    <w:pPr>
      <w:spacing w:after="120" w:afterLines="0"/>
      <w:ind w:firstLine="3584"/>
    </w:pPr>
  </w:style>
  <w:style w:type="paragraph" w:styleId="5">
    <w:name w:val="List 2"/>
    <w:basedOn w:val="1"/>
    <w:next w:val="6"/>
    <w:qFormat/>
    <w:uiPriority w:val="0"/>
    <w:pPr>
      <w:ind w:left="100" w:firstLine="3640"/>
    </w:pPr>
  </w:style>
  <w:style w:type="paragraph" w:styleId="6">
    <w:name w:val="Date"/>
    <w:basedOn w:val="1"/>
    <w:next w:val="1"/>
    <w:unhideWhenUsed/>
    <w:qFormat/>
    <w:uiPriority w:val="99"/>
    <w:pPr>
      <w:ind w:left="100" w:leftChars="2500"/>
    </w:pPr>
  </w:style>
  <w:style w:type="paragraph" w:styleId="7">
    <w:name w:val="Body Text"/>
    <w:basedOn w:val="1"/>
    <w:qFormat/>
    <w:uiPriority w:val="0"/>
  </w:style>
  <w:style w:type="paragraph" w:styleId="8">
    <w:name w:val="Body Text Indent"/>
    <w:basedOn w:val="1"/>
    <w:qFormat/>
    <w:uiPriority w:val="0"/>
    <w:pPr>
      <w:ind w:firstLine="540"/>
    </w:pPr>
    <w:rPr>
      <w:sz w:val="30"/>
    </w:rPr>
  </w:style>
  <w:style w:type="paragraph" w:styleId="9">
    <w:name w:val="List Continue"/>
    <w:basedOn w:val="1"/>
    <w:next w:val="10"/>
    <w:qFormat/>
    <w:uiPriority w:val="0"/>
    <w:pPr>
      <w:spacing w:after="120" w:afterLines="0"/>
      <w:ind w:left="420" w:firstLine="3584"/>
    </w:pPr>
  </w:style>
  <w:style w:type="paragraph" w:styleId="10">
    <w:name w:val="Body Text First Indent"/>
    <w:basedOn w:val="7"/>
    <w:next w:val="4"/>
    <w:qFormat/>
    <w:uiPriority w:val="0"/>
    <w:pPr>
      <w:ind w:firstLine="420" w:firstLineChars="100"/>
    </w:pPr>
  </w:style>
  <w:style w:type="paragraph" w:styleId="11">
    <w:name w:val="footer"/>
    <w:basedOn w:val="1"/>
    <w:qFormat/>
    <w:uiPriority w:val="0"/>
    <w:pPr>
      <w:tabs>
        <w:tab w:val="center" w:pos="4153"/>
        <w:tab w:val="right" w:pos="8306"/>
      </w:tabs>
      <w:snapToGrid w:val="0"/>
      <w:jc w:val="left"/>
    </w:pPr>
    <w:rPr>
      <w:sz w:val="18"/>
    </w:rPr>
  </w:style>
  <w:style w:type="paragraph" w:styleId="12">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3">
    <w:name w:val="footnote text"/>
    <w:basedOn w:val="1"/>
    <w:next w:val="14"/>
    <w:qFormat/>
    <w:uiPriority w:val="0"/>
    <w:pPr>
      <w:snapToGrid w:val="0"/>
      <w:jc w:val="left"/>
    </w:pPr>
    <w:rPr>
      <w:sz w:val="18"/>
      <w:szCs w:val="18"/>
    </w:rPr>
  </w:style>
  <w:style w:type="paragraph" w:customStyle="1" w:styleId="14">
    <w:name w:val="Body Text First Indent 21"/>
    <w:basedOn w:val="15"/>
    <w:qFormat/>
    <w:uiPriority w:val="0"/>
    <w:pPr>
      <w:adjustRightInd w:val="0"/>
      <w:spacing w:line="312" w:lineRule="atLeast"/>
      <w:ind w:firstLine="420" w:firstLineChars="200"/>
      <w:textAlignment w:val="baseline"/>
    </w:pPr>
    <w:rPr>
      <w:rFonts w:ascii="仿宋_GB2312" w:eastAsia="仿宋_GB2312"/>
      <w:color w:val="auto"/>
      <w:kern w:val="0"/>
      <w:sz w:val="32"/>
      <w:szCs w:val="20"/>
    </w:rPr>
  </w:style>
  <w:style w:type="paragraph" w:customStyle="1" w:styleId="15">
    <w:name w:val="Body Text Indent1"/>
    <w:basedOn w:val="1"/>
    <w:qFormat/>
    <w:uiPriority w:val="0"/>
    <w:pPr>
      <w:ind w:firstLine="630"/>
    </w:pPr>
    <w:rPr>
      <w:rFonts w:ascii="仿宋_GB2312" w:eastAsia="仿宋_GB2312"/>
      <w:sz w:val="32"/>
    </w:rPr>
  </w:style>
  <w:style w:type="paragraph" w:styleId="16">
    <w:name w:val="Normal (Web)"/>
    <w:basedOn w:val="1"/>
    <w:unhideWhenUsed/>
    <w:qFormat/>
    <w:uiPriority w:val="0"/>
    <w:pPr>
      <w:widowControl/>
      <w:spacing w:before="100" w:beforeAutospacing="1" w:after="100" w:afterAutospacing="1"/>
      <w:jc w:val="left"/>
    </w:pPr>
    <w:rPr>
      <w:rFonts w:ascii="宋体" w:hAnsi="宋体" w:eastAsia="宋体" w:cs="宋体"/>
      <w:kern w:val="0"/>
      <w:sz w:val="24"/>
    </w:rPr>
  </w:style>
  <w:style w:type="paragraph" w:styleId="17">
    <w:name w:val="Title"/>
    <w:basedOn w:val="1"/>
    <w:next w:val="1"/>
    <w:qFormat/>
    <w:uiPriority w:val="0"/>
    <w:pPr>
      <w:spacing w:before="240" w:after="60" w:line="560" w:lineRule="exact"/>
      <w:jc w:val="center"/>
      <w:outlineLvl w:val="0"/>
    </w:pPr>
    <w:rPr>
      <w:rFonts w:ascii="Arial" w:hAnsi="Arial" w:eastAsia="华文中宋" w:cs="Arial"/>
      <w:b/>
      <w:bCs/>
      <w:color w:val="FF0000"/>
      <w:sz w:val="84"/>
      <w:szCs w:val="32"/>
      <w:lang w:val="en-US" w:eastAsia="zh-CN" w:bidi="ar-SA"/>
    </w:rPr>
  </w:style>
  <w:style w:type="character" w:styleId="20">
    <w:name w:val="page number"/>
    <w:basedOn w:val="19"/>
    <w:qFormat/>
    <w:uiPriority w:val="0"/>
  </w:style>
  <w:style w:type="paragraph" w:customStyle="1" w:styleId="21">
    <w:name w:val="Body Text Indent"/>
    <w:basedOn w:val="1"/>
    <w:qFormat/>
    <w:uiPriority w:val="0"/>
    <w:pPr>
      <w:ind w:firstLine="630"/>
    </w:pPr>
    <w:rPr>
      <w:rFonts w:ascii="仿宋_GB2312" w:eastAsia="仿宋_GB2312"/>
      <w:sz w:val="32"/>
    </w:rPr>
  </w:style>
  <w:style w:type="paragraph" w:customStyle="1" w:styleId="22">
    <w:name w:val="正文部分 Char Char Char"/>
    <w:basedOn w:val="7"/>
    <w:next w:val="23"/>
    <w:qFormat/>
    <w:uiPriority w:val="0"/>
    <w:pPr>
      <w:adjustRightInd w:val="0"/>
      <w:snapToGrid w:val="0"/>
      <w:spacing w:line="460" w:lineRule="exact"/>
      <w:textAlignment w:val="baseline"/>
    </w:pPr>
    <w:rPr>
      <w:rFonts w:hAnsi="Calibri" w:eastAsia="仿宋_GB2312"/>
    </w:rPr>
  </w:style>
  <w:style w:type="paragraph" w:customStyle="1" w:styleId="23">
    <w:name w:val="章标题"/>
    <w:basedOn w:val="17"/>
    <w:qFormat/>
    <w:uiPriority w:val="0"/>
    <w:pPr>
      <w:spacing w:line="360" w:lineRule="auto"/>
    </w:pPr>
    <w:rPr>
      <w:kern w:val="0"/>
      <w:sz w:val="21"/>
    </w:rPr>
  </w:style>
  <w:style w:type="paragraph" w:customStyle="1" w:styleId="24">
    <w:name w:val="Body Text First Indent 2"/>
    <w:basedOn w:val="21"/>
    <w:qFormat/>
    <w:uiPriority w:val="0"/>
    <w:pPr>
      <w:adjustRightInd w:val="0"/>
      <w:spacing w:line="312" w:lineRule="atLeast"/>
      <w:ind w:firstLine="420" w:firstLineChars="200"/>
      <w:textAlignment w:val="baseline"/>
    </w:pPr>
    <w:rPr>
      <w:rFonts w:ascii="仿宋_GB2312" w:eastAsia="仿宋_GB2312"/>
      <w:color w:val="auto"/>
      <w:kern w:val="0"/>
      <w:sz w:val="32"/>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3181</Words>
  <Characters>3404</Characters>
  <Lines>0</Lines>
  <Paragraphs>0</Paragraphs>
  <TotalTime>56</TotalTime>
  <ScaleCrop>false</ScaleCrop>
  <LinksUpToDate>false</LinksUpToDate>
  <CharactersWithSpaces>3405</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2024-07-01T07:52:00Z</dcterms:created>
  <dc:creator>微信用户</dc:creator>
  <cp:lastModifiedBy>微信用户</cp:lastModifiedBy>
  <dcterms:modified xsi:type="dcterms:W3CDTF">2026-01-04T08:20:32Z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00CECDEAA58E419D9F0715AFAD5EC200_11</vt:lpwstr>
  </property>
  <property fmtid="{D5CDD505-2E9C-101B-9397-08002B2CF9AE}" pid="4" name="KSOTemplateDocerSaveRecord">
    <vt:lpwstr>eyJoZGlkIjoiYjNmNTYxNTFjMzdiYzE2OGYxM2M5ODg5MDk3N2UyNjQiLCJ1c2VySWQiOiIxMjMyODg5NTYyIn0=</vt:lpwstr>
  </property>
</Properties>
</file>